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327777EC" w14:textId="77777777" w:rsidR="002648B0" w:rsidRPr="002A677E" w:rsidRDefault="00D11E4C" w:rsidP="00C87CEE">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B055FF">
      <w:pPr>
        <w:pStyle w:val="InstructionsText"/>
      </w:pPr>
      <w:r w:rsidRPr="002A677E">
        <w:t>Table of Contents</w:t>
      </w:r>
    </w:p>
    <w:p w14:paraId="1846071B" w14:textId="0302D067" w:rsidR="00BF7235" w:rsidRDefault="00745369">
      <w:pPr>
        <w:pStyle w:val="TOC2"/>
        <w:rPr>
          <w:rFonts w:asciiTheme="minorHAnsi" w:eastAsiaTheme="minorEastAsia" w:hAnsiTheme="minorHAnsi" w:cstheme="minorBidi"/>
          <w:b w:val="0"/>
          <w:smallCaps w:val="0"/>
          <w:kern w:val="2"/>
          <w:sz w:val="22"/>
          <w:lang w:eastAsia="en-GB"/>
          <w14:ligatures w14:val="standardContextual"/>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hyperlink w:anchor="_Toc151714353" w:history="1">
        <w:r w:rsidR="00BF7235" w:rsidRPr="00EC7A8D">
          <w:rPr>
            <w:rStyle w:val="Hyperlink"/>
            <w:rFonts w:ascii="Times New Roman" w:hAnsi="Times New Roman"/>
          </w:rPr>
          <w:t>PART I: GENERAL INSTRUCTIONS</w:t>
        </w:r>
        <w:r w:rsidR="00BF7235">
          <w:rPr>
            <w:webHidden/>
          </w:rPr>
          <w:tab/>
        </w:r>
        <w:r w:rsidR="00BF7235">
          <w:rPr>
            <w:webHidden/>
          </w:rPr>
          <w:fldChar w:fldCharType="begin"/>
        </w:r>
        <w:r w:rsidR="00BF7235">
          <w:rPr>
            <w:webHidden/>
          </w:rPr>
          <w:instrText xml:space="preserve"> PAGEREF _Toc151714353 \h </w:instrText>
        </w:r>
        <w:r w:rsidR="00BF7235">
          <w:rPr>
            <w:webHidden/>
          </w:rPr>
        </w:r>
        <w:r w:rsidR="00BF7235">
          <w:rPr>
            <w:webHidden/>
          </w:rPr>
          <w:fldChar w:fldCharType="separate"/>
        </w:r>
        <w:r w:rsidR="00BF7235">
          <w:rPr>
            <w:webHidden/>
          </w:rPr>
          <w:t>19</w:t>
        </w:r>
        <w:r w:rsidR="00BF7235">
          <w:rPr>
            <w:webHidden/>
          </w:rPr>
          <w:fldChar w:fldCharType="end"/>
        </w:r>
      </w:hyperlink>
    </w:p>
    <w:p w14:paraId="518B51DA" w14:textId="1A7B832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4" w:history="1">
        <w:r w:rsidRPr="00EC7A8D">
          <w:rPr>
            <w:rStyle w:val="Hyperlink"/>
            <w:rFonts w:ascii="Times New Roman" w:hAnsi="Times New Roman"/>
          </w:rPr>
          <w:t>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STRUCTURE AND CONVENTIONS</w:t>
        </w:r>
        <w:r>
          <w:rPr>
            <w:webHidden/>
          </w:rPr>
          <w:tab/>
        </w:r>
        <w:r>
          <w:rPr>
            <w:webHidden/>
          </w:rPr>
          <w:fldChar w:fldCharType="begin"/>
        </w:r>
        <w:r>
          <w:rPr>
            <w:webHidden/>
          </w:rPr>
          <w:instrText xml:space="preserve"> PAGEREF _Toc151714354 \h </w:instrText>
        </w:r>
        <w:r>
          <w:rPr>
            <w:webHidden/>
          </w:rPr>
        </w:r>
        <w:r>
          <w:rPr>
            <w:webHidden/>
          </w:rPr>
          <w:fldChar w:fldCharType="separate"/>
        </w:r>
        <w:r>
          <w:rPr>
            <w:webHidden/>
          </w:rPr>
          <w:t>19</w:t>
        </w:r>
        <w:r>
          <w:rPr>
            <w:webHidden/>
          </w:rPr>
          <w:fldChar w:fldCharType="end"/>
        </w:r>
      </w:hyperlink>
    </w:p>
    <w:p w14:paraId="68CFF721" w14:textId="3BFE623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5" w:history="1">
        <w:r w:rsidRPr="00EC7A8D">
          <w:rPr>
            <w:rStyle w:val="Hyperlink"/>
            <w:rFonts w:ascii="Times New Roman" w:hAnsi="Times New Roman"/>
          </w:rPr>
          <w:t>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STRUCTURE</w:t>
        </w:r>
        <w:r>
          <w:rPr>
            <w:webHidden/>
          </w:rPr>
          <w:tab/>
        </w:r>
        <w:r>
          <w:rPr>
            <w:webHidden/>
          </w:rPr>
          <w:fldChar w:fldCharType="begin"/>
        </w:r>
        <w:r>
          <w:rPr>
            <w:webHidden/>
          </w:rPr>
          <w:instrText xml:space="preserve"> PAGEREF _Toc151714355 \h </w:instrText>
        </w:r>
        <w:r>
          <w:rPr>
            <w:webHidden/>
          </w:rPr>
        </w:r>
        <w:r>
          <w:rPr>
            <w:webHidden/>
          </w:rPr>
          <w:fldChar w:fldCharType="separate"/>
        </w:r>
        <w:r>
          <w:rPr>
            <w:webHidden/>
          </w:rPr>
          <w:t>19</w:t>
        </w:r>
        <w:r>
          <w:rPr>
            <w:webHidden/>
          </w:rPr>
          <w:fldChar w:fldCharType="end"/>
        </w:r>
      </w:hyperlink>
    </w:p>
    <w:p w14:paraId="0D488C27" w14:textId="7143DB2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6" w:history="1">
        <w:r w:rsidRPr="00EC7A8D">
          <w:rPr>
            <w:rStyle w:val="Hyperlink"/>
            <w:rFonts w:ascii="Times New Roman" w:hAnsi="Times New Roman"/>
          </w:rPr>
          <w:t>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Numbering convention</w:t>
        </w:r>
        <w:r>
          <w:rPr>
            <w:webHidden/>
          </w:rPr>
          <w:tab/>
        </w:r>
        <w:r>
          <w:rPr>
            <w:webHidden/>
          </w:rPr>
          <w:fldChar w:fldCharType="begin"/>
        </w:r>
        <w:r>
          <w:rPr>
            <w:webHidden/>
          </w:rPr>
          <w:instrText xml:space="preserve"> PAGEREF _Toc151714356 \h </w:instrText>
        </w:r>
        <w:r>
          <w:rPr>
            <w:webHidden/>
          </w:rPr>
        </w:r>
        <w:r>
          <w:rPr>
            <w:webHidden/>
          </w:rPr>
          <w:fldChar w:fldCharType="separate"/>
        </w:r>
        <w:r>
          <w:rPr>
            <w:webHidden/>
          </w:rPr>
          <w:t>19</w:t>
        </w:r>
        <w:r>
          <w:rPr>
            <w:webHidden/>
          </w:rPr>
          <w:fldChar w:fldCharType="end"/>
        </w:r>
      </w:hyperlink>
    </w:p>
    <w:p w14:paraId="33355B82" w14:textId="3AC64C3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7" w:history="1">
        <w:r w:rsidRPr="00EC7A8D">
          <w:rPr>
            <w:rStyle w:val="Hyperlink"/>
            <w:rFonts w:ascii="Times New Roman" w:hAnsi="Times New Roman"/>
          </w:rPr>
          <w:t>1.3.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Sign convention</w:t>
        </w:r>
        <w:r>
          <w:rPr>
            <w:webHidden/>
          </w:rPr>
          <w:tab/>
        </w:r>
        <w:r>
          <w:rPr>
            <w:webHidden/>
          </w:rPr>
          <w:fldChar w:fldCharType="begin"/>
        </w:r>
        <w:r>
          <w:rPr>
            <w:webHidden/>
          </w:rPr>
          <w:instrText xml:space="preserve"> PAGEREF _Toc151714357 \h </w:instrText>
        </w:r>
        <w:r>
          <w:rPr>
            <w:webHidden/>
          </w:rPr>
        </w:r>
        <w:r>
          <w:rPr>
            <w:webHidden/>
          </w:rPr>
          <w:fldChar w:fldCharType="separate"/>
        </w:r>
        <w:r>
          <w:rPr>
            <w:webHidden/>
          </w:rPr>
          <w:t>20</w:t>
        </w:r>
        <w:r>
          <w:rPr>
            <w:webHidden/>
          </w:rPr>
          <w:fldChar w:fldCharType="end"/>
        </w:r>
      </w:hyperlink>
    </w:p>
    <w:p w14:paraId="21044B91" w14:textId="2E6A403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8" w:history="1">
        <w:r w:rsidRPr="00EC7A8D">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_Toc151714358 \h </w:instrText>
        </w:r>
        <w:r>
          <w:rPr>
            <w:webHidden/>
          </w:rPr>
        </w:r>
        <w:r>
          <w:rPr>
            <w:webHidden/>
          </w:rPr>
          <w:fldChar w:fldCharType="separate"/>
        </w:r>
        <w:r>
          <w:rPr>
            <w:webHidden/>
          </w:rPr>
          <w:t>21</w:t>
        </w:r>
        <w:r>
          <w:rPr>
            <w:webHidden/>
          </w:rPr>
          <w:fldChar w:fldCharType="end"/>
        </w:r>
      </w:hyperlink>
    </w:p>
    <w:p w14:paraId="3CD3BC23" w14:textId="21BF651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59" w:history="1">
        <w:r w:rsidRPr="00EC7A8D">
          <w:rPr>
            <w:rStyle w:val="Hyperlink"/>
            <w:rFonts w:ascii="Times New Roman" w:hAnsi="Times New Roman"/>
          </w:rPr>
          <w:t>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Capital Adequacy Overview (‘CA’)</w:t>
        </w:r>
        <w:r>
          <w:rPr>
            <w:webHidden/>
          </w:rPr>
          <w:tab/>
        </w:r>
        <w:r>
          <w:rPr>
            <w:webHidden/>
          </w:rPr>
          <w:fldChar w:fldCharType="begin"/>
        </w:r>
        <w:r>
          <w:rPr>
            <w:webHidden/>
          </w:rPr>
          <w:instrText xml:space="preserve"> PAGEREF _Toc151714359 \h </w:instrText>
        </w:r>
        <w:r>
          <w:rPr>
            <w:webHidden/>
          </w:rPr>
        </w:r>
        <w:r>
          <w:rPr>
            <w:webHidden/>
          </w:rPr>
          <w:fldChar w:fldCharType="separate"/>
        </w:r>
        <w:r>
          <w:rPr>
            <w:webHidden/>
          </w:rPr>
          <w:t>21</w:t>
        </w:r>
        <w:r>
          <w:rPr>
            <w:webHidden/>
          </w:rPr>
          <w:fldChar w:fldCharType="end"/>
        </w:r>
      </w:hyperlink>
    </w:p>
    <w:p w14:paraId="21E568FA" w14:textId="44EAA26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0" w:history="1">
        <w:r w:rsidRPr="00EC7A8D">
          <w:rPr>
            <w:rStyle w:val="Hyperlink"/>
            <w:rFonts w:ascii="Times New Roman" w:hAnsi="Times New Roman"/>
          </w:rPr>
          <w:t>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_Toc151714360 \h </w:instrText>
        </w:r>
        <w:r>
          <w:rPr>
            <w:webHidden/>
          </w:rPr>
        </w:r>
        <w:r>
          <w:rPr>
            <w:webHidden/>
          </w:rPr>
          <w:fldChar w:fldCharType="separate"/>
        </w:r>
        <w:r>
          <w:rPr>
            <w:webHidden/>
          </w:rPr>
          <w:t>21</w:t>
        </w:r>
        <w:r>
          <w:rPr>
            <w:webHidden/>
          </w:rPr>
          <w:fldChar w:fldCharType="end"/>
        </w:r>
      </w:hyperlink>
    </w:p>
    <w:p w14:paraId="78F905A0" w14:textId="2E8F8CB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1" w:history="1">
        <w:r w:rsidRPr="00EC7A8D">
          <w:rPr>
            <w:rStyle w:val="Hyperlink"/>
            <w:rFonts w:ascii="Times New Roman" w:hAnsi="Times New Roman"/>
          </w:rPr>
          <w:t>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01.00 - OWN FUNDS (CA1)</w:t>
        </w:r>
        <w:r>
          <w:rPr>
            <w:webHidden/>
          </w:rPr>
          <w:tab/>
        </w:r>
        <w:r>
          <w:rPr>
            <w:webHidden/>
          </w:rPr>
          <w:fldChar w:fldCharType="begin"/>
        </w:r>
        <w:r>
          <w:rPr>
            <w:webHidden/>
          </w:rPr>
          <w:instrText xml:space="preserve"> PAGEREF _Toc151714361 \h </w:instrText>
        </w:r>
        <w:r>
          <w:rPr>
            <w:webHidden/>
          </w:rPr>
        </w:r>
        <w:r>
          <w:rPr>
            <w:webHidden/>
          </w:rPr>
          <w:fldChar w:fldCharType="separate"/>
        </w:r>
        <w:r>
          <w:rPr>
            <w:webHidden/>
          </w:rPr>
          <w:t>23</w:t>
        </w:r>
        <w:r>
          <w:rPr>
            <w:webHidden/>
          </w:rPr>
          <w:fldChar w:fldCharType="end"/>
        </w:r>
      </w:hyperlink>
    </w:p>
    <w:p w14:paraId="0459BDEB" w14:textId="466DA72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2" w:history="1">
        <w:r w:rsidRPr="00EC7A8D">
          <w:rPr>
            <w:rStyle w:val="Hyperlink"/>
            <w:rFonts w:ascii="Times New Roman" w:hAnsi="Times New Roman"/>
          </w:rPr>
          <w:t>1.2.1.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_Toc151714362 \h </w:instrText>
        </w:r>
        <w:r>
          <w:rPr>
            <w:webHidden/>
          </w:rPr>
        </w:r>
        <w:r>
          <w:rPr>
            <w:webHidden/>
          </w:rPr>
          <w:fldChar w:fldCharType="separate"/>
        </w:r>
        <w:r>
          <w:rPr>
            <w:webHidden/>
          </w:rPr>
          <w:t>23</w:t>
        </w:r>
        <w:r>
          <w:rPr>
            <w:webHidden/>
          </w:rPr>
          <w:fldChar w:fldCharType="end"/>
        </w:r>
      </w:hyperlink>
    </w:p>
    <w:p w14:paraId="01D79E57" w14:textId="108D3E7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3" w:history="1">
        <w:r w:rsidRPr="00EC7A8D">
          <w:rPr>
            <w:rStyle w:val="Hyperlink"/>
            <w:rFonts w:ascii="Times New Roman" w:hAnsi="Times New Roman"/>
          </w:rPr>
          <w:t>1.3.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02.00 - OWN FUNDS REQUIREMENTS (CA2)</w:t>
        </w:r>
        <w:r>
          <w:rPr>
            <w:webHidden/>
          </w:rPr>
          <w:tab/>
        </w:r>
        <w:r>
          <w:rPr>
            <w:webHidden/>
          </w:rPr>
          <w:fldChar w:fldCharType="begin"/>
        </w:r>
        <w:r>
          <w:rPr>
            <w:webHidden/>
          </w:rPr>
          <w:instrText xml:space="preserve"> PAGEREF _Toc151714363 \h </w:instrText>
        </w:r>
        <w:r>
          <w:rPr>
            <w:webHidden/>
          </w:rPr>
        </w:r>
        <w:r>
          <w:rPr>
            <w:webHidden/>
          </w:rPr>
          <w:fldChar w:fldCharType="separate"/>
        </w:r>
        <w:r>
          <w:rPr>
            <w:webHidden/>
          </w:rPr>
          <w:t>41</w:t>
        </w:r>
        <w:r>
          <w:rPr>
            <w:webHidden/>
          </w:rPr>
          <w:fldChar w:fldCharType="end"/>
        </w:r>
      </w:hyperlink>
    </w:p>
    <w:p w14:paraId="47E22B66" w14:textId="143FB21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4" w:history="1">
        <w:r w:rsidRPr="00EC7A8D">
          <w:rPr>
            <w:rStyle w:val="Hyperlink"/>
            <w:rFonts w:ascii="Times New Roman" w:hAnsi="Times New Roman"/>
          </w:rPr>
          <w:t>1.3.1.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_Toc151714364 \h </w:instrText>
        </w:r>
        <w:r>
          <w:rPr>
            <w:webHidden/>
          </w:rPr>
        </w:r>
        <w:r>
          <w:rPr>
            <w:webHidden/>
          </w:rPr>
          <w:fldChar w:fldCharType="separate"/>
        </w:r>
        <w:r>
          <w:rPr>
            <w:webHidden/>
          </w:rPr>
          <w:t>41</w:t>
        </w:r>
        <w:r>
          <w:rPr>
            <w:webHidden/>
          </w:rPr>
          <w:fldChar w:fldCharType="end"/>
        </w:r>
      </w:hyperlink>
    </w:p>
    <w:p w14:paraId="4AA7BFF3" w14:textId="2CE60F7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5" w:history="1">
        <w:r w:rsidRPr="00EC7A8D">
          <w:rPr>
            <w:rStyle w:val="Hyperlink"/>
            <w:rFonts w:ascii="Times New Roman" w:hAnsi="Times New Roman"/>
          </w:rPr>
          <w:t>1.4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03.00 - CAPITAL RATIOS AND CAPITAL LEVELS (CA3)</w:t>
        </w:r>
        <w:r>
          <w:rPr>
            <w:webHidden/>
          </w:rPr>
          <w:tab/>
        </w:r>
        <w:r>
          <w:rPr>
            <w:webHidden/>
          </w:rPr>
          <w:fldChar w:fldCharType="begin"/>
        </w:r>
        <w:r>
          <w:rPr>
            <w:webHidden/>
          </w:rPr>
          <w:instrText xml:space="preserve"> PAGEREF _Toc151714365 \h </w:instrText>
        </w:r>
        <w:r>
          <w:rPr>
            <w:webHidden/>
          </w:rPr>
        </w:r>
        <w:r>
          <w:rPr>
            <w:webHidden/>
          </w:rPr>
          <w:fldChar w:fldCharType="separate"/>
        </w:r>
        <w:r>
          <w:rPr>
            <w:webHidden/>
          </w:rPr>
          <w:t>51</w:t>
        </w:r>
        <w:r>
          <w:rPr>
            <w:webHidden/>
          </w:rPr>
          <w:fldChar w:fldCharType="end"/>
        </w:r>
      </w:hyperlink>
    </w:p>
    <w:p w14:paraId="207B9A3B" w14:textId="5E10F57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6" w:history="1">
        <w:r w:rsidRPr="00EC7A8D">
          <w:rPr>
            <w:rStyle w:val="Hyperlink"/>
            <w:rFonts w:ascii="Times New Roman" w:hAnsi="Times New Roman"/>
          </w:rPr>
          <w:t>1.4.1.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_Toc151714366 \h </w:instrText>
        </w:r>
        <w:r>
          <w:rPr>
            <w:webHidden/>
          </w:rPr>
        </w:r>
        <w:r>
          <w:rPr>
            <w:webHidden/>
          </w:rPr>
          <w:fldChar w:fldCharType="separate"/>
        </w:r>
        <w:r>
          <w:rPr>
            <w:webHidden/>
          </w:rPr>
          <w:t>51</w:t>
        </w:r>
        <w:r>
          <w:rPr>
            <w:webHidden/>
          </w:rPr>
          <w:fldChar w:fldCharType="end"/>
        </w:r>
      </w:hyperlink>
    </w:p>
    <w:p w14:paraId="40D891D1" w14:textId="303F91B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7" w:history="1">
        <w:r w:rsidRPr="00EC7A8D">
          <w:rPr>
            <w:rStyle w:val="Hyperlink"/>
            <w:rFonts w:ascii="Times New Roman" w:hAnsi="Times New Roman"/>
          </w:rPr>
          <w:t>1.5.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04.00 - MEMORANDUM ITEMS (CA4)</w:t>
        </w:r>
        <w:r>
          <w:rPr>
            <w:webHidden/>
          </w:rPr>
          <w:tab/>
        </w:r>
        <w:r>
          <w:rPr>
            <w:webHidden/>
          </w:rPr>
          <w:fldChar w:fldCharType="begin"/>
        </w:r>
        <w:r>
          <w:rPr>
            <w:webHidden/>
          </w:rPr>
          <w:instrText xml:space="preserve"> PAGEREF _Toc151714367 \h </w:instrText>
        </w:r>
        <w:r>
          <w:rPr>
            <w:webHidden/>
          </w:rPr>
        </w:r>
        <w:r>
          <w:rPr>
            <w:webHidden/>
          </w:rPr>
          <w:fldChar w:fldCharType="separate"/>
        </w:r>
        <w:r>
          <w:rPr>
            <w:webHidden/>
          </w:rPr>
          <w:t>57</w:t>
        </w:r>
        <w:r>
          <w:rPr>
            <w:webHidden/>
          </w:rPr>
          <w:fldChar w:fldCharType="end"/>
        </w:r>
      </w:hyperlink>
    </w:p>
    <w:p w14:paraId="4F5EC43C" w14:textId="0A5E8C0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8" w:history="1">
        <w:r w:rsidRPr="00EC7A8D">
          <w:rPr>
            <w:rStyle w:val="Hyperlink"/>
            <w:rFonts w:ascii="Times New Roman" w:hAnsi="Times New Roman"/>
          </w:rPr>
          <w:t>1.5.1.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_Toc151714368 \h </w:instrText>
        </w:r>
        <w:r>
          <w:rPr>
            <w:webHidden/>
          </w:rPr>
        </w:r>
        <w:r>
          <w:rPr>
            <w:webHidden/>
          </w:rPr>
          <w:fldChar w:fldCharType="separate"/>
        </w:r>
        <w:r>
          <w:rPr>
            <w:webHidden/>
          </w:rPr>
          <w:t>57</w:t>
        </w:r>
        <w:r>
          <w:rPr>
            <w:webHidden/>
          </w:rPr>
          <w:fldChar w:fldCharType="end"/>
        </w:r>
      </w:hyperlink>
    </w:p>
    <w:p w14:paraId="019B0C50" w14:textId="78C0857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69" w:history="1">
        <w:r w:rsidRPr="00EC7A8D">
          <w:rPr>
            <w:rStyle w:val="Hyperlink"/>
            <w:rFonts w:ascii="Times New Roman" w:hAnsi="Times New Roman"/>
          </w:rPr>
          <w:t>1.6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TRANSITIONAL PROVISIONS and GRANDFATHERED INSTRUMENTS: INSTRUMENTS NOT CONSTITUTING STATE AID (CA5)</w:t>
        </w:r>
        <w:r>
          <w:rPr>
            <w:webHidden/>
          </w:rPr>
          <w:tab/>
        </w:r>
        <w:r>
          <w:rPr>
            <w:webHidden/>
          </w:rPr>
          <w:fldChar w:fldCharType="begin"/>
        </w:r>
        <w:r>
          <w:rPr>
            <w:webHidden/>
          </w:rPr>
          <w:instrText xml:space="preserve"> PAGEREF _Toc151714369 \h </w:instrText>
        </w:r>
        <w:r>
          <w:rPr>
            <w:webHidden/>
          </w:rPr>
        </w:r>
        <w:r>
          <w:rPr>
            <w:webHidden/>
          </w:rPr>
          <w:fldChar w:fldCharType="separate"/>
        </w:r>
        <w:r>
          <w:rPr>
            <w:webHidden/>
          </w:rPr>
          <w:t>76</w:t>
        </w:r>
        <w:r>
          <w:rPr>
            <w:webHidden/>
          </w:rPr>
          <w:fldChar w:fldCharType="end"/>
        </w:r>
      </w:hyperlink>
    </w:p>
    <w:p w14:paraId="34341CB9" w14:textId="1D75A76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0" w:history="1">
        <w:r w:rsidRPr="00EC7A8D">
          <w:rPr>
            <w:rStyle w:val="Hyperlink"/>
            <w:rFonts w:ascii="Times New Roman" w:hAnsi="Times New Roman"/>
          </w:rPr>
          <w:t>1.6.1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_Toc151714370 \h </w:instrText>
        </w:r>
        <w:r>
          <w:rPr>
            <w:webHidden/>
          </w:rPr>
        </w:r>
        <w:r>
          <w:rPr>
            <w:webHidden/>
          </w:rPr>
          <w:fldChar w:fldCharType="separate"/>
        </w:r>
        <w:r>
          <w:rPr>
            <w:webHidden/>
          </w:rPr>
          <w:t>76</w:t>
        </w:r>
        <w:r>
          <w:rPr>
            <w:webHidden/>
          </w:rPr>
          <w:fldChar w:fldCharType="end"/>
        </w:r>
      </w:hyperlink>
    </w:p>
    <w:p w14:paraId="4E3EBFDF" w14:textId="37652EFD"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1" w:history="1">
        <w:r w:rsidRPr="00EC7A8D">
          <w:rPr>
            <w:rStyle w:val="Hyperlink"/>
            <w:rFonts w:ascii="Times New Roman" w:hAnsi="Times New Roman"/>
          </w:rPr>
          <w:t>1.6.2.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05.01 - TRANSITIONAL PROVISIONS (CA5.1)</w:t>
        </w:r>
        <w:r>
          <w:rPr>
            <w:webHidden/>
          </w:rPr>
          <w:tab/>
        </w:r>
        <w:r>
          <w:rPr>
            <w:webHidden/>
          </w:rPr>
          <w:fldChar w:fldCharType="begin"/>
        </w:r>
        <w:r>
          <w:rPr>
            <w:webHidden/>
          </w:rPr>
          <w:instrText xml:space="preserve"> PAGEREF _Toc151714371 \h </w:instrText>
        </w:r>
        <w:r>
          <w:rPr>
            <w:webHidden/>
          </w:rPr>
        </w:r>
        <w:r>
          <w:rPr>
            <w:webHidden/>
          </w:rPr>
          <w:fldChar w:fldCharType="separate"/>
        </w:r>
        <w:r>
          <w:rPr>
            <w:webHidden/>
          </w:rPr>
          <w:t>76</w:t>
        </w:r>
        <w:r>
          <w:rPr>
            <w:webHidden/>
          </w:rPr>
          <w:fldChar w:fldCharType="end"/>
        </w:r>
      </w:hyperlink>
    </w:p>
    <w:p w14:paraId="5853AB1C" w14:textId="56F2D0D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2" w:history="1">
        <w:r w:rsidRPr="00EC7A8D">
          <w:rPr>
            <w:rStyle w:val="Hyperlink"/>
            <w:rFonts w:ascii="Times New Roman" w:hAnsi="Times New Roman"/>
          </w:rPr>
          <w:t>1.6.2.1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_Toc151714372 \h </w:instrText>
        </w:r>
        <w:r>
          <w:rPr>
            <w:webHidden/>
          </w:rPr>
        </w:r>
        <w:r>
          <w:rPr>
            <w:webHidden/>
          </w:rPr>
          <w:fldChar w:fldCharType="separate"/>
        </w:r>
        <w:r>
          <w:rPr>
            <w:webHidden/>
          </w:rPr>
          <w:t>77</w:t>
        </w:r>
        <w:r>
          <w:rPr>
            <w:webHidden/>
          </w:rPr>
          <w:fldChar w:fldCharType="end"/>
        </w:r>
      </w:hyperlink>
    </w:p>
    <w:p w14:paraId="1CD83248" w14:textId="210985C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3" w:history="1">
        <w:r w:rsidRPr="00EC7A8D">
          <w:rPr>
            <w:rStyle w:val="Hyperlink"/>
            <w:rFonts w:ascii="Times New Roman" w:hAnsi="Times New Roman"/>
          </w:rPr>
          <w:t>1.6.3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05.02 - GRANDFATHERED INSTRUMENTS: INSTRUMENTS NOT CONSTITUING STATE AID (CA5.2)</w:t>
        </w:r>
        <w:r>
          <w:rPr>
            <w:webHidden/>
          </w:rPr>
          <w:tab/>
        </w:r>
        <w:r>
          <w:rPr>
            <w:webHidden/>
          </w:rPr>
          <w:fldChar w:fldCharType="begin"/>
        </w:r>
        <w:r>
          <w:rPr>
            <w:webHidden/>
          </w:rPr>
          <w:instrText xml:space="preserve"> PAGEREF _Toc151714373 \h </w:instrText>
        </w:r>
        <w:r>
          <w:rPr>
            <w:webHidden/>
          </w:rPr>
        </w:r>
        <w:r>
          <w:rPr>
            <w:webHidden/>
          </w:rPr>
          <w:fldChar w:fldCharType="separate"/>
        </w:r>
        <w:r>
          <w:rPr>
            <w:webHidden/>
          </w:rPr>
          <w:t>82</w:t>
        </w:r>
        <w:r>
          <w:rPr>
            <w:webHidden/>
          </w:rPr>
          <w:fldChar w:fldCharType="end"/>
        </w:r>
      </w:hyperlink>
    </w:p>
    <w:p w14:paraId="2D0DB738" w14:textId="50D4E97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4" w:history="1">
        <w:r w:rsidRPr="00EC7A8D">
          <w:rPr>
            <w:rStyle w:val="Hyperlink"/>
            <w:rFonts w:ascii="Times New Roman" w:hAnsi="Times New Roman"/>
          </w:rPr>
          <w:t>1.6.3.1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_Toc151714374 \h </w:instrText>
        </w:r>
        <w:r>
          <w:rPr>
            <w:webHidden/>
          </w:rPr>
        </w:r>
        <w:r>
          <w:rPr>
            <w:webHidden/>
          </w:rPr>
          <w:fldChar w:fldCharType="separate"/>
        </w:r>
        <w:r>
          <w:rPr>
            <w:webHidden/>
          </w:rPr>
          <w:t>82</w:t>
        </w:r>
        <w:r>
          <w:rPr>
            <w:webHidden/>
          </w:rPr>
          <w:fldChar w:fldCharType="end"/>
        </w:r>
      </w:hyperlink>
    </w:p>
    <w:p w14:paraId="023AA8A1" w14:textId="7240C1E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5" w:history="1">
        <w:r w:rsidRPr="00EC7A8D">
          <w:rPr>
            <w:rStyle w:val="Hyperlink"/>
            <w:rFonts w:ascii="Times New Roman" w:hAnsi="Times New Roman"/>
          </w:rPr>
          <w:t>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GROUP SOLVENCY: INFORMATION ON AFFILIATES (GS)</w:t>
        </w:r>
        <w:r>
          <w:rPr>
            <w:webHidden/>
          </w:rPr>
          <w:tab/>
        </w:r>
        <w:r>
          <w:rPr>
            <w:webHidden/>
          </w:rPr>
          <w:fldChar w:fldCharType="begin"/>
        </w:r>
        <w:r>
          <w:rPr>
            <w:webHidden/>
          </w:rPr>
          <w:instrText xml:space="preserve"> PAGEREF _Toc151714375 \h </w:instrText>
        </w:r>
        <w:r>
          <w:rPr>
            <w:webHidden/>
          </w:rPr>
        </w:r>
        <w:r>
          <w:rPr>
            <w:webHidden/>
          </w:rPr>
          <w:fldChar w:fldCharType="separate"/>
        </w:r>
        <w:r>
          <w:rPr>
            <w:webHidden/>
          </w:rPr>
          <w:t>85</w:t>
        </w:r>
        <w:r>
          <w:rPr>
            <w:webHidden/>
          </w:rPr>
          <w:fldChar w:fldCharType="end"/>
        </w:r>
      </w:hyperlink>
    </w:p>
    <w:p w14:paraId="1F63CE54" w14:textId="275BE4A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6" w:history="1">
        <w:r w:rsidRPr="00EC7A8D">
          <w:rPr>
            <w:rStyle w:val="Hyperlink"/>
            <w:rFonts w:ascii="Times New Roman" w:hAnsi="Times New Roman"/>
          </w:rPr>
          <w:t>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_Toc151714376 \h </w:instrText>
        </w:r>
        <w:r>
          <w:rPr>
            <w:webHidden/>
          </w:rPr>
        </w:r>
        <w:r>
          <w:rPr>
            <w:webHidden/>
          </w:rPr>
          <w:fldChar w:fldCharType="separate"/>
        </w:r>
        <w:r>
          <w:rPr>
            <w:webHidden/>
          </w:rPr>
          <w:t>85</w:t>
        </w:r>
        <w:r>
          <w:rPr>
            <w:webHidden/>
          </w:rPr>
          <w:fldChar w:fldCharType="end"/>
        </w:r>
      </w:hyperlink>
    </w:p>
    <w:p w14:paraId="52EF3BF1" w14:textId="731CABA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7" w:history="1">
        <w:r w:rsidRPr="00EC7A8D">
          <w:rPr>
            <w:rStyle w:val="Hyperlink"/>
            <w:rFonts w:ascii="Times New Roman" w:hAnsi="Times New Roman"/>
          </w:rPr>
          <w:t>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Detailed group solvency information</w:t>
        </w:r>
        <w:r>
          <w:rPr>
            <w:webHidden/>
          </w:rPr>
          <w:tab/>
        </w:r>
        <w:r>
          <w:rPr>
            <w:webHidden/>
          </w:rPr>
          <w:fldChar w:fldCharType="begin"/>
        </w:r>
        <w:r>
          <w:rPr>
            <w:webHidden/>
          </w:rPr>
          <w:instrText xml:space="preserve"> PAGEREF _Toc151714377 \h </w:instrText>
        </w:r>
        <w:r>
          <w:rPr>
            <w:webHidden/>
          </w:rPr>
        </w:r>
        <w:r>
          <w:rPr>
            <w:webHidden/>
          </w:rPr>
          <w:fldChar w:fldCharType="separate"/>
        </w:r>
        <w:r>
          <w:rPr>
            <w:webHidden/>
          </w:rPr>
          <w:t>85</w:t>
        </w:r>
        <w:r>
          <w:rPr>
            <w:webHidden/>
          </w:rPr>
          <w:fldChar w:fldCharType="end"/>
        </w:r>
      </w:hyperlink>
    </w:p>
    <w:p w14:paraId="3EDB6BB6" w14:textId="7F520C0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8" w:history="1">
        <w:r w:rsidRPr="00EC7A8D">
          <w:rPr>
            <w:rStyle w:val="Hyperlink"/>
            <w:rFonts w:ascii="Times New Roman" w:hAnsi="Times New Roman"/>
          </w:rPr>
          <w:t>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Information on the contributions of individual entities to group solvency</w:t>
        </w:r>
        <w:r>
          <w:rPr>
            <w:webHidden/>
          </w:rPr>
          <w:tab/>
        </w:r>
        <w:r>
          <w:rPr>
            <w:webHidden/>
          </w:rPr>
          <w:fldChar w:fldCharType="begin"/>
        </w:r>
        <w:r>
          <w:rPr>
            <w:webHidden/>
          </w:rPr>
          <w:instrText xml:space="preserve"> PAGEREF _Toc151714378 \h </w:instrText>
        </w:r>
        <w:r>
          <w:rPr>
            <w:webHidden/>
          </w:rPr>
        </w:r>
        <w:r>
          <w:rPr>
            <w:webHidden/>
          </w:rPr>
          <w:fldChar w:fldCharType="separate"/>
        </w:r>
        <w:r>
          <w:rPr>
            <w:webHidden/>
          </w:rPr>
          <w:t>86</w:t>
        </w:r>
        <w:r>
          <w:rPr>
            <w:webHidden/>
          </w:rPr>
          <w:fldChar w:fldCharType="end"/>
        </w:r>
      </w:hyperlink>
    </w:p>
    <w:p w14:paraId="02BFF2D2" w14:textId="32EE360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79" w:history="1">
        <w:r w:rsidRPr="00EC7A8D">
          <w:rPr>
            <w:rStyle w:val="Hyperlink"/>
            <w:rFonts w:ascii="Times New Roman" w:hAnsi="Times New Roman"/>
          </w:rPr>
          <w:t>2.4.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06.01 – GROUP SOLVENCY: INFORMATION ON AFFILIATES – Total (GS Total)</w:t>
        </w:r>
        <w:r>
          <w:rPr>
            <w:webHidden/>
          </w:rPr>
          <w:tab/>
        </w:r>
        <w:r>
          <w:rPr>
            <w:webHidden/>
          </w:rPr>
          <w:fldChar w:fldCharType="begin"/>
        </w:r>
        <w:r>
          <w:rPr>
            <w:webHidden/>
          </w:rPr>
          <w:instrText xml:space="preserve"> PAGEREF _Toc151714379 \h </w:instrText>
        </w:r>
        <w:r>
          <w:rPr>
            <w:webHidden/>
          </w:rPr>
        </w:r>
        <w:r>
          <w:rPr>
            <w:webHidden/>
          </w:rPr>
          <w:fldChar w:fldCharType="separate"/>
        </w:r>
        <w:r>
          <w:rPr>
            <w:webHidden/>
          </w:rPr>
          <w:t>87</w:t>
        </w:r>
        <w:r>
          <w:rPr>
            <w:webHidden/>
          </w:rPr>
          <w:fldChar w:fldCharType="end"/>
        </w:r>
      </w:hyperlink>
    </w:p>
    <w:p w14:paraId="18D323A1" w14:textId="63F09BA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0" w:history="1">
        <w:r w:rsidRPr="00EC7A8D">
          <w:rPr>
            <w:rStyle w:val="Hyperlink"/>
            <w:rFonts w:ascii="Times New Roman" w:hAnsi="Times New Roman"/>
          </w:rPr>
          <w:t>2.5.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06.02 – GROUP SOLVENCY: INFORMATION ON AFFILIATES (GS)</w:t>
        </w:r>
        <w:r>
          <w:rPr>
            <w:webHidden/>
          </w:rPr>
          <w:tab/>
        </w:r>
        <w:r>
          <w:rPr>
            <w:webHidden/>
          </w:rPr>
          <w:fldChar w:fldCharType="begin"/>
        </w:r>
        <w:r>
          <w:rPr>
            <w:webHidden/>
          </w:rPr>
          <w:instrText xml:space="preserve"> PAGEREF _Toc151714380 \h </w:instrText>
        </w:r>
        <w:r>
          <w:rPr>
            <w:webHidden/>
          </w:rPr>
        </w:r>
        <w:r>
          <w:rPr>
            <w:webHidden/>
          </w:rPr>
          <w:fldChar w:fldCharType="separate"/>
        </w:r>
        <w:r>
          <w:rPr>
            <w:webHidden/>
          </w:rPr>
          <w:t>87</w:t>
        </w:r>
        <w:r>
          <w:rPr>
            <w:webHidden/>
          </w:rPr>
          <w:fldChar w:fldCharType="end"/>
        </w:r>
      </w:hyperlink>
    </w:p>
    <w:p w14:paraId="770A99F3" w14:textId="4473C17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1" w:history="1">
        <w:r w:rsidRPr="00EC7A8D">
          <w:rPr>
            <w:rStyle w:val="Hyperlink"/>
            <w:rFonts w:ascii="Times New Roman" w:hAnsi="Times New Roman"/>
          </w:rPr>
          <w:t>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Risk Templates</w:t>
        </w:r>
        <w:r>
          <w:rPr>
            <w:webHidden/>
          </w:rPr>
          <w:tab/>
        </w:r>
        <w:r>
          <w:rPr>
            <w:webHidden/>
          </w:rPr>
          <w:fldChar w:fldCharType="begin"/>
        </w:r>
        <w:r>
          <w:rPr>
            <w:webHidden/>
          </w:rPr>
          <w:instrText xml:space="preserve"> PAGEREF _Toc151714381 \h </w:instrText>
        </w:r>
        <w:r>
          <w:rPr>
            <w:webHidden/>
          </w:rPr>
        </w:r>
        <w:r>
          <w:rPr>
            <w:webHidden/>
          </w:rPr>
          <w:fldChar w:fldCharType="separate"/>
        </w:r>
        <w:r>
          <w:rPr>
            <w:webHidden/>
          </w:rPr>
          <w:t>96</w:t>
        </w:r>
        <w:r>
          <w:rPr>
            <w:webHidden/>
          </w:rPr>
          <w:fldChar w:fldCharType="end"/>
        </w:r>
      </w:hyperlink>
    </w:p>
    <w:p w14:paraId="6CC0F48A" w14:textId="6DD48EB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2" w:history="1">
        <w:r w:rsidRPr="00EC7A8D">
          <w:rPr>
            <w:rStyle w:val="Hyperlink"/>
            <w:rFonts w:ascii="Times New Roman" w:hAnsi="Times New Roman"/>
          </w:rPr>
          <w:t>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_Toc151714382 \h </w:instrText>
        </w:r>
        <w:r>
          <w:rPr>
            <w:webHidden/>
          </w:rPr>
        </w:r>
        <w:r>
          <w:rPr>
            <w:webHidden/>
          </w:rPr>
          <w:fldChar w:fldCharType="separate"/>
        </w:r>
        <w:r>
          <w:rPr>
            <w:webHidden/>
          </w:rPr>
          <w:t>96</w:t>
        </w:r>
        <w:r>
          <w:rPr>
            <w:webHidden/>
          </w:rPr>
          <w:fldChar w:fldCharType="end"/>
        </w:r>
      </w:hyperlink>
    </w:p>
    <w:p w14:paraId="41723650" w14:textId="2608031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3" w:history="1">
        <w:r w:rsidRPr="00EC7A8D">
          <w:rPr>
            <w:rStyle w:val="Hyperlink"/>
            <w:rFonts w:ascii="Times New Roman" w:hAnsi="Times New Roman"/>
          </w:rPr>
          <w:t>3.1.1.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Reporting of CRM techniques with substitution effect</w:t>
        </w:r>
        <w:r>
          <w:rPr>
            <w:webHidden/>
          </w:rPr>
          <w:tab/>
        </w:r>
        <w:r>
          <w:rPr>
            <w:webHidden/>
          </w:rPr>
          <w:fldChar w:fldCharType="begin"/>
        </w:r>
        <w:r>
          <w:rPr>
            <w:webHidden/>
          </w:rPr>
          <w:instrText xml:space="preserve"> PAGEREF _Toc151714383 \h </w:instrText>
        </w:r>
        <w:r>
          <w:rPr>
            <w:webHidden/>
          </w:rPr>
        </w:r>
        <w:r>
          <w:rPr>
            <w:webHidden/>
          </w:rPr>
          <w:fldChar w:fldCharType="separate"/>
        </w:r>
        <w:r>
          <w:rPr>
            <w:webHidden/>
          </w:rPr>
          <w:t>97</w:t>
        </w:r>
        <w:r>
          <w:rPr>
            <w:webHidden/>
          </w:rPr>
          <w:fldChar w:fldCharType="end"/>
        </w:r>
      </w:hyperlink>
    </w:p>
    <w:p w14:paraId="559A6F5B" w14:textId="3AB922B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4" w:history="1">
        <w:r w:rsidRPr="00EC7A8D">
          <w:rPr>
            <w:rStyle w:val="Hyperlink"/>
            <w:rFonts w:ascii="Times New Roman" w:hAnsi="Times New Roman"/>
          </w:rPr>
          <w:t>3.1.2.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Reporting of Counterparty Credit Risk</w:t>
        </w:r>
        <w:r>
          <w:rPr>
            <w:webHidden/>
          </w:rPr>
          <w:tab/>
        </w:r>
        <w:r>
          <w:rPr>
            <w:webHidden/>
          </w:rPr>
          <w:fldChar w:fldCharType="begin"/>
        </w:r>
        <w:r>
          <w:rPr>
            <w:webHidden/>
          </w:rPr>
          <w:instrText xml:space="preserve"> PAGEREF _Toc151714384 \h </w:instrText>
        </w:r>
        <w:r>
          <w:rPr>
            <w:webHidden/>
          </w:rPr>
        </w:r>
        <w:r>
          <w:rPr>
            <w:webHidden/>
          </w:rPr>
          <w:fldChar w:fldCharType="separate"/>
        </w:r>
        <w:r>
          <w:rPr>
            <w:webHidden/>
          </w:rPr>
          <w:t>97</w:t>
        </w:r>
        <w:r>
          <w:rPr>
            <w:webHidden/>
          </w:rPr>
          <w:fldChar w:fldCharType="end"/>
        </w:r>
      </w:hyperlink>
    </w:p>
    <w:p w14:paraId="20AEDD2A" w14:textId="1B4B21B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5" w:history="1">
        <w:r w:rsidRPr="00EC7A8D">
          <w:rPr>
            <w:rStyle w:val="Hyperlink"/>
            <w:rFonts w:ascii="Times New Roman" w:hAnsi="Times New Roman"/>
          </w:rPr>
          <w:t>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07.00 - Credit and counterparty credit risks and free deliveries: Standardised approach to Capital Requirements (CR SA)</w:t>
        </w:r>
        <w:r>
          <w:rPr>
            <w:webHidden/>
          </w:rPr>
          <w:tab/>
        </w:r>
        <w:r>
          <w:rPr>
            <w:webHidden/>
          </w:rPr>
          <w:fldChar w:fldCharType="begin"/>
        </w:r>
        <w:r>
          <w:rPr>
            <w:webHidden/>
          </w:rPr>
          <w:instrText xml:space="preserve"> PAGEREF _Toc151714385 \h </w:instrText>
        </w:r>
        <w:r>
          <w:rPr>
            <w:webHidden/>
          </w:rPr>
        </w:r>
        <w:r>
          <w:rPr>
            <w:webHidden/>
          </w:rPr>
          <w:fldChar w:fldCharType="separate"/>
        </w:r>
        <w:r>
          <w:rPr>
            <w:webHidden/>
          </w:rPr>
          <w:t>97</w:t>
        </w:r>
        <w:r>
          <w:rPr>
            <w:webHidden/>
          </w:rPr>
          <w:fldChar w:fldCharType="end"/>
        </w:r>
      </w:hyperlink>
    </w:p>
    <w:p w14:paraId="6F674555" w14:textId="4960F09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6" w:history="1">
        <w:r w:rsidRPr="00EC7A8D">
          <w:rPr>
            <w:rStyle w:val="Hyperlink"/>
            <w:rFonts w:ascii="Times New Roman" w:hAnsi="Times New Roman"/>
          </w:rPr>
          <w:t>3.2.1.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_Toc151714386 \h </w:instrText>
        </w:r>
        <w:r>
          <w:rPr>
            <w:webHidden/>
          </w:rPr>
        </w:r>
        <w:r>
          <w:rPr>
            <w:webHidden/>
          </w:rPr>
          <w:fldChar w:fldCharType="separate"/>
        </w:r>
        <w:r>
          <w:rPr>
            <w:webHidden/>
          </w:rPr>
          <w:t>97</w:t>
        </w:r>
        <w:r>
          <w:rPr>
            <w:webHidden/>
          </w:rPr>
          <w:fldChar w:fldCharType="end"/>
        </w:r>
      </w:hyperlink>
    </w:p>
    <w:p w14:paraId="67DBCD1B" w14:textId="37AE8EF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7" w:history="1">
        <w:r w:rsidRPr="00EC7A8D">
          <w:rPr>
            <w:rStyle w:val="Hyperlink"/>
            <w:rFonts w:ascii="Times New Roman" w:hAnsi="Times New Roman"/>
          </w:rPr>
          <w:t>3.2.2.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CR SA template</w:t>
        </w:r>
        <w:r>
          <w:rPr>
            <w:webHidden/>
          </w:rPr>
          <w:tab/>
        </w:r>
        <w:r>
          <w:rPr>
            <w:webHidden/>
          </w:rPr>
          <w:fldChar w:fldCharType="begin"/>
        </w:r>
        <w:r>
          <w:rPr>
            <w:webHidden/>
          </w:rPr>
          <w:instrText xml:space="preserve"> PAGEREF _Toc151714387 \h </w:instrText>
        </w:r>
        <w:r>
          <w:rPr>
            <w:webHidden/>
          </w:rPr>
        </w:r>
        <w:r>
          <w:rPr>
            <w:webHidden/>
          </w:rPr>
          <w:fldChar w:fldCharType="separate"/>
        </w:r>
        <w:r>
          <w:rPr>
            <w:webHidden/>
          </w:rPr>
          <w:t>97</w:t>
        </w:r>
        <w:r>
          <w:rPr>
            <w:webHidden/>
          </w:rPr>
          <w:fldChar w:fldCharType="end"/>
        </w:r>
      </w:hyperlink>
    </w:p>
    <w:p w14:paraId="76586F21" w14:textId="2984AAD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8" w:history="1">
        <w:r w:rsidRPr="00EC7A8D">
          <w:rPr>
            <w:rStyle w:val="Hyperlink"/>
            <w:rFonts w:ascii="Times New Roman" w:hAnsi="Times New Roman"/>
          </w:rPr>
          <w:t>3.2.3.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 xml:space="preserve"> Assignment of exposures to exposure classes under the Standardised approach</w:t>
        </w:r>
        <w:r>
          <w:rPr>
            <w:webHidden/>
          </w:rPr>
          <w:tab/>
        </w:r>
        <w:r>
          <w:rPr>
            <w:webHidden/>
          </w:rPr>
          <w:fldChar w:fldCharType="begin"/>
        </w:r>
        <w:r>
          <w:rPr>
            <w:webHidden/>
          </w:rPr>
          <w:instrText xml:space="preserve"> PAGEREF _Toc151714388 \h </w:instrText>
        </w:r>
        <w:r>
          <w:rPr>
            <w:webHidden/>
          </w:rPr>
        </w:r>
        <w:r>
          <w:rPr>
            <w:webHidden/>
          </w:rPr>
          <w:fldChar w:fldCharType="separate"/>
        </w:r>
        <w:r>
          <w:rPr>
            <w:webHidden/>
          </w:rPr>
          <w:t>99</w:t>
        </w:r>
        <w:r>
          <w:rPr>
            <w:webHidden/>
          </w:rPr>
          <w:fldChar w:fldCharType="end"/>
        </w:r>
      </w:hyperlink>
    </w:p>
    <w:p w14:paraId="39AC3B87" w14:textId="35F8EA9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89" w:history="1">
        <w:r w:rsidRPr="00EC7A8D">
          <w:rPr>
            <w:rStyle w:val="Hyperlink"/>
            <w:rFonts w:ascii="Times New Roman" w:hAnsi="Times New Roman"/>
          </w:rPr>
          <w:t>3.2.4.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Clarifications on the scope of some specific exposure classes referred to in Article 112 of Regulation (EU) No 575/2013</w:t>
        </w:r>
        <w:r>
          <w:rPr>
            <w:webHidden/>
          </w:rPr>
          <w:tab/>
        </w:r>
        <w:r>
          <w:rPr>
            <w:webHidden/>
          </w:rPr>
          <w:fldChar w:fldCharType="begin"/>
        </w:r>
        <w:r>
          <w:rPr>
            <w:webHidden/>
          </w:rPr>
          <w:instrText xml:space="preserve"> PAGEREF _Toc151714389 \h </w:instrText>
        </w:r>
        <w:r>
          <w:rPr>
            <w:webHidden/>
          </w:rPr>
        </w:r>
        <w:r>
          <w:rPr>
            <w:webHidden/>
          </w:rPr>
          <w:fldChar w:fldCharType="separate"/>
        </w:r>
        <w:r>
          <w:rPr>
            <w:webHidden/>
          </w:rPr>
          <w:t>105</w:t>
        </w:r>
        <w:r>
          <w:rPr>
            <w:webHidden/>
          </w:rPr>
          <w:fldChar w:fldCharType="end"/>
        </w:r>
      </w:hyperlink>
    </w:p>
    <w:p w14:paraId="1F746B4F" w14:textId="69AC9B9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0" w:history="1">
        <w:r w:rsidRPr="00EC7A8D">
          <w:rPr>
            <w:rStyle w:val="Hyperlink"/>
            <w:rFonts w:ascii="Times New Roman" w:hAnsi="Times New Roman"/>
          </w:rPr>
          <w:t>3.2.4.1.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“Institutions”</w:t>
        </w:r>
        <w:r>
          <w:rPr>
            <w:webHidden/>
          </w:rPr>
          <w:tab/>
        </w:r>
        <w:r>
          <w:rPr>
            <w:webHidden/>
          </w:rPr>
          <w:fldChar w:fldCharType="begin"/>
        </w:r>
        <w:r>
          <w:rPr>
            <w:webHidden/>
          </w:rPr>
          <w:instrText xml:space="preserve"> PAGEREF _Toc151714390 \h </w:instrText>
        </w:r>
        <w:r>
          <w:rPr>
            <w:webHidden/>
          </w:rPr>
        </w:r>
        <w:r>
          <w:rPr>
            <w:webHidden/>
          </w:rPr>
          <w:fldChar w:fldCharType="separate"/>
        </w:r>
        <w:r>
          <w:rPr>
            <w:webHidden/>
          </w:rPr>
          <w:t>105</w:t>
        </w:r>
        <w:r>
          <w:rPr>
            <w:webHidden/>
          </w:rPr>
          <w:fldChar w:fldCharType="end"/>
        </w:r>
      </w:hyperlink>
    </w:p>
    <w:p w14:paraId="50457131" w14:textId="729B464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1" w:history="1">
        <w:r w:rsidRPr="00EC7A8D">
          <w:rPr>
            <w:rStyle w:val="Hyperlink"/>
            <w:rFonts w:ascii="Times New Roman" w:hAnsi="Times New Roman"/>
          </w:rPr>
          <w:t>3.2.4.2.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“Covered Bonds”</w:t>
        </w:r>
        <w:r>
          <w:rPr>
            <w:webHidden/>
          </w:rPr>
          <w:tab/>
        </w:r>
        <w:r>
          <w:rPr>
            <w:webHidden/>
          </w:rPr>
          <w:fldChar w:fldCharType="begin"/>
        </w:r>
        <w:r>
          <w:rPr>
            <w:webHidden/>
          </w:rPr>
          <w:instrText xml:space="preserve"> PAGEREF _Toc151714391 \h </w:instrText>
        </w:r>
        <w:r>
          <w:rPr>
            <w:webHidden/>
          </w:rPr>
        </w:r>
        <w:r>
          <w:rPr>
            <w:webHidden/>
          </w:rPr>
          <w:fldChar w:fldCharType="separate"/>
        </w:r>
        <w:r>
          <w:rPr>
            <w:webHidden/>
          </w:rPr>
          <w:t>105</w:t>
        </w:r>
        <w:r>
          <w:rPr>
            <w:webHidden/>
          </w:rPr>
          <w:fldChar w:fldCharType="end"/>
        </w:r>
      </w:hyperlink>
    </w:p>
    <w:p w14:paraId="1314472F" w14:textId="4DA5E1D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2" w:history="1">
        <w:r w:rsidRPr="00EC7A8D">
          <w:rPr>
            <w:rStyle w:val="Hyperlink"/>
            <w:rFonts w:ascii="Times New Roman" w:hAnsi="Times New Roman"/>
          </w:rPr>
          <w:t>3.2.4.3.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“Collective Investment Undertakings”</w:t>
        </w:r>
        <w:r>
          <w:rPr>
            <w:webHidden/>
          </w:rPr>
          <w:tab/>
        </w:r>
        <w:r>
          <w:rPr>
            <w:webHidden/>
          </w:rPr>
          <w:fldChar w:fldCharType="begin"/>
        </w:r>
        <w:r>
          <w:rPr>
            <w:webHidden/>
          </w:rPr>
          <w:instrText xml:space="preserve"> PAGEREF _Toc151714392 \h </w:instrText>
        </w:r>
        <w:r>
          <w:rPr>
            <w:webHidden/>
          </w:rPr>
        </w:r>
        <w:r>
          <w:rPr>
            <w:webHidden/>
          </w:rPr>
          <w:fldChar w:fldCharType="separate"/>
        </w:r>
        <w:r>
          <w:rPr>
            <w:webHidden/>
          </w:rPr>
          <w:t>105</w:t>
        </w:r>
        <w:r>
          <w:rPr>
            <w:webHidden/>
          </w:rPr>
          <w:fldChar w:fldCharType="end"/>
        </w:r>
      </w:hyperlink>
    </w:p>
    <w:p w14:paraId="0BFB9C83" w14:textId="1383E93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3" w:history="1">
        <w:r w:rsidRPr="00EC7A8D">
          <w:rPr>
            <w:rStyle w:val="Hyperlink"/>
            <w:rFonts w:ascii="Times New Roman" w:hAnsi="Times New Roman"/>
          </w:rPr>
          <w:t>3.2.5.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_Toc151714393 \h </w:instrText>
        </w:r>
        <w:r>
          <w:rPr>
            <w:webHidden/>
          </w:rPr>
        </w:r>
        <w:r>
          <w:rPr>
            <w:webHidden/>
          </w:rPr>
          <w:fldChar w:fldCharType="separate"/>
        </w:r>
        <w:r>
          <w:rPr>
            <w:webHidden/>
          </w:rPr>
          <w:t>107</w:t>
        </w:r>
        <w:r>
          <w:rPr>
            <w:webHidden/>
          </w:rPr>
          <w:fldChar w:fldCharType="end"/>
        </w:r>
      </w:hyperlink>
    </w:p>
    <w:p w14:paraId="4EAFF72D" w14:textId="48F4231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4" w:history="1">
        <w:r w:rsidRPr="00EC7A8D">
          <w:rPr>
            <w:rStyle w:val="Hyperlink"/>
            <w:rFonts w:ascii="Times New Roman" w:hAnsi="Times New Roman"/>
          </w:rPr>
          <w:t>3.3.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and counterparty credit risks and free deliveries: IRB approach to Own funds Requirements (CR IRB)</w:t>
        </w:r>
        <w:r>
          <w:rPr>
            <w:webHidden/>
          </w:rPr>
          <w:tab/>
        </w:r>
        <w:r>
          <w:rPr>
            <w:webHidden/>
          </w:rPr>
          <w:fldChar w:fldCharType="begin"/>
        </w:r>
        <w:r>
          <w:rPr>
            <w:webHidden/>
          </w:rPr>
          <w:instrText xml:space="preserve"> PAGEREF _Toc151714394 \h </w:instrText>
        </w:r>
        <w:r>
          <w:rPr>
            <w:webHidden/>
          </w:rPr>
        </w:r>
        <w:r>
          <w:rPr>
            <w:webHidden/>
          </w:rPr>
          <w:fldChar w:fldCharType="separate"/>
        </w:r>
        <w:r>
          <w:rPr>
            <w:webHidden/>
          </w:rPr>
          <w:t>116</w:t>
        </w:r>
        <w:r>
          <w:rPr>
            <w:webHidden/>
          </w:rPr>
          <w:fldChar w:fldCharType="end"/>
        </w:r>
      </w:hyperlink>
    </w:p>
    <w:p w14:paraId="4FAA4BEB" w14:textId="07A94C9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5" w:history="1">
        <w:r w:rsidRPr="00EC7A8D">
          <w:rPr>
            <w:rStyle w:val="Hyperlink"/>
            <w:rFonts w:ascii="Times New Roman" w:hAnsi="Times New Roman"/>
          </w:rPr>
          <w:t>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CR IRB template</w:t>
        </w:r>
        <w:r>
          <w:rPr>
            <w:webHidden/>
          </w:rPr>
          <w:tab/>
        </w:r>
        <w:r>
          <w:rPr>
            <w:webHidden/>
          </w:rPr>
          <w:fldChar w:fldCharType="begin"/>
        </w:r>
        <w:r>
          <w:rPr>
            <w:webHidden/>
          </w:rPr>
          <w:instrText xml:space="preserve"> PAGEREF _Toc151714395 \h </w:instrText>
        </w:r>
        <w:r>
          <w:rPr>
            <w:webHidden/>
          </w:rPr>
        </w:r>
        <w:r>
          <w:rPr>
            <w:webHidden/>
          </w:rPr>
          <w:fldChar w:fldCharType="separate"/>
        </w:r>
        <w:r>
          <w:rPr>
            <w:webHidden/>
          </w:rPr>
          <w:t>116</w:t>
        </w:r>
        <w:r>
          <w:rPr>
            <w:webHidden/>
          </w:rPr>
          <w:fldChar w:fldCharType="end"/>
        </w:r>
      </w:hyperlink>
    </w:p>
    <w:p w14:paraId="532F56A7" w14:textId="4ECF64E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6" w:history="1">
        <w:r w:rsidRPr="00EC7A8D">
          <w:rPr>
            <w:rStyle w:val="Hyperlink"/>
            <w:rFonts w:ascii="Times New Roman" w:hAnsi="Times New Roman"/>
          </w:rPr>
          <w:t>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Breakdown of the CR IRB template</w:t>
        </w:r>
        <w:r>
          <w:rPr>
            <w:webHidden/>
          </w:rPr>
          <w:tab/>
        </w:r>
        <w:r>
          <w:rPr>
            <w:webHidden/>
          </w:rPr>
          <w:fldChar w:fldCharType="begin"/>
        </w:r>
        <w:r>
          <w:rPr>
            <w:webHidden/>
          </w:rPr>
          <w:instrText xml:space="preserve"> PAGEREF _Toc151714396 \h </w:instrText>
        </w:r>
        <w:r>
          <w:rPr>
            <w:webHidden/>
          </w:rPr>
        </w:r>
        <w:r>
          <w:rPr>
            <w:webHidden/>
          </w:rPr>
          <w:fldChar w:fldCharType="separate"/>
        </w:r>
        <w:r>
          <w:rPr>
            <w:webHidden/>
          </w:rPr>
          <w:t>118</w:t>
        </w:r>
        <w:r>
          <w:rPr>
            <w:webHidden/>
          </w:rPr>
          <w:fldChar w:fldCharType="end"/>
        </w:r>
      </w:hyperlink>
    </w:p>
    <w:p w14:paraId="5A1C2E2A" w14:textId="6BC3E9D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7" w:history="1">
        <w:r w:rsidRPr="00EC7A8D">
          <w:rPr>
            <w:rStyle w:val="Hyperlink"/>
            <w:rFonts w:ascii="Times New Roman" w:hAnsi="Times New Roman"/>
          </w:rPr>
          <w:t>3.3.3.1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_Toc151714397 \h </w:instrText>
        </w:r>
        <w:r>
          <w:rPr>
            <w:webHidden/>
          </w:rPr>
        </w:r>
        <w:r>
          <w:rPr>
            <w:webHidden/>
          </w:rPr>
          <w:fldChar w:fldCharType="separate"/>
        </w:r>
        <w:r>
          <w:rPr>
            <w:webHidden/>
          </w:rPr>
          <w:t>123</w:t>
        </w:r>
        <w:r>
          <w:rPr>
            <w:webHidden/>
          </w:rPr>
          <w:fldChar w:fldCharType="end"/>
        </w:r>
      </w:hyperlink>
    </w:p>
    <w:p w14:paraId="0623F7E0" w14:textId="01699BD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8" w:history="1">
        <w:r w:rsidRPr="00EC7A8D">
          <w:rPr>
            <w:rStyle w:val="Hyperlink"/>
            <w:rFonts w:ascii="Times New Roman" w:hAnsi="Times New Roman"/>
          </w:rPr>
          <w:t>3.3.4.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08.02 - Credit and counterparty credit risks and free deliveries: IRB approach to capital requirements: breakdown by obligor grades or pools (CR IRB 2 template)</w:t>
        </w:r>
        <w:r>
          <w:rPr>
            <w:webHidden/>
          </w:rPr>
          <w:tab/>
        </w:r>
        <w:r>
          <w:rPr>
            <w:webHidden/>
          </w:rPr>
          <w:fldChar w:fldCharType="begin"/>
        </w:r>
        <w:r>
          <w:rPr>
            <w:webHidden/>
          </w:rPr>
          <w:instrText xml:space="preserve"> PAGEREF _Toc151714398 \h </w:instrText>
        </w:r>
        <w:r>
          <w:rPr>
            <w:webHidden/>
          </w:rPr>
        </w:r>
        <w:r>
          <w:rPr>
            <w:webHidden/>
          </w:rPr>
          <w:fldChar w:fldCharType="separate"/>
        </w:r>
        <w:r>
          <w:rPr>
            <w:webHidden/>
          </w:rPr>
          <w:t>136</w:t>
        </w:r>
        <w:r>
          <w:rPr>
            <w:webHidden/>
          </w:rPr>
          <w:fldChar w:fldCharType="end"/>
        </w:r>
      </w:hyperlink>
    </w:p>
    <w:p w14:paraId="2CE8EE18" w14:textId="25FBB18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399" w:history="1">
        <w:r w:rsidRPr="00EC7A8D">
          <w:rPr>
            <w:rStyle w:val="Hyperlink"/>
            <w:rFonts w:ascii="Times New Roman" w:hAnsi="Times New Roman"/>
          </w:rPr>
          <w:t>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08.03 - Credit risk and free deliveries: IRB approach to Capital Requirements (breakdown by PD ranges (CR IRB 3))</w:t>
        </w:r>
        <w:r>
          <w:rPr>
            <w:webHidden/>
          </w:rPr>
          <w:tab/>
        </w:r>
        <w:r>
          <w:rPr>
            <w:webHidden/>
          </w:rPr>
          <w:fldChar w:fldCharType="begin"/>
        </w:r>
        <w:r>
          <w:rPr>
            <w:webHidden/>
          </w:rPr>
          <w:instrText xml:space="preserve"> PAGEREF _Toc151714399 \h </w:instrText>
        </w:r>
        <w:r>
          <w:rPr>
            <w:webHidden/>
          </w:rPr>
        </w:r>
        <w:r>
          <w:rPr>
            <w:webHidden/>
          </w:rPr>
          <w:fldChar w:fldCharType="separate"/>
        </w:r>
        <w:r>
          <w:rPr>
            <w:webHidden/>
          </w:rPr>
          <w:t>136</w:t>
        </w:r>
        <w:r>
          <w:rPr>
            <w:webHidden/>
          </w:rPr>
          <w:fldChar w:fldCharType="end"/>
        </w:r>
      </w:hyperlink>
    </w:p>
    <w:p w14:paraId="7F02DE84" w14:textId="2809C7D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0" w:history="1">
        <w:r w:rsidRPr="00EC7A8D">
          <w:rPr>
            <w:rStyle w:val="Hyperlink"/>
            <w:rFonts w:ascii="Times New Roman" w:hAnsi="Times New Roman"/>
          </w:rPr>
          <w:t>3.3.1.1.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_Toc151714400 \h </w:instrText>
        </w:r>
        <w:r>
          <w:rPr>
            <w:webHidden/>
          </w:rPr>
        </w:r>
        <w:r>
          <w:rPr>
            <w:webHidden/>
          </w:rPr>
          <w:fldChar w:fldCharType="separate"/>
        </w:r>
        <w:r>
          <w:rPr>
            <w:webHidden/>
          </w:rPr>
          <w:t>136</w:t>
        </w:r>
        <w:r>
          <w:rPr>
            <w:webHidden/>
          </w:rPr>
          <w:fldChar w:fldCharType="end"/>
        </w:r>
      </w:hyperlink>
    </w:p>
    <w:p w14:paraId="2C1F58F4" w14:textId="61AF4BF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1" w:history="1">
        <w:r w:rsidRPr="00EC7A8D">
          <w:rPr>
            <w:rStyle w:val="Hyperlink"/>
            <w:rFonts w:ascii="Times New Roman" w:hAnsi="Times New Roman"/>
          </w:rPr>
          <w:t>3.3.1.2.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_Toc151714401 \h </w:instrText>
        </w:r>
        <w:r>
          <w:rPr>
            <w:webHidden/>
          </w:rPr>
        </w:r>
        <w:r>
          <w:rPr>
            <w:webHidden/>
          </w:rPr>
          <w:fldChar w:fldCharType="separate"/>
        </w:r>
        <w:r>
          <w:rPr>
            <w:webHidden/>
          </w:rPr>
          <w:t>137</w:t>
        </w:r>
        <w:r>
          <w:rPr>
            <w:webHidden/>
          </w:rPr>
          <w:fldChar w:fldCharType="end"/>
        </w:r>
      </w:hyperlink>
    </w:p>
    <w:p w14:paraId="49A44ACD" w14:textId="374EE83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2" w:history="1">
        <w:r w:rsidRPr="00EC7A8D">
          <w:rPr>
            <w:rStyle w:val="Hyperlink"/>
            <w:rFonts w:ascii="Times New Roman" w:hAnsi="Times New Roman"/>
          </w:rPr>
          <w:t>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08.04 - Credit risk and free deliveries: IRB approach to Capital Requirements (RWEA flow statements (CR IRB 4))</w:t>
        </w:r>
        <w:r>
          <w:rPr>
            <w:webHidden/>
          </w:rPr>
          <w:tab/>
        </w:r>
        <w:r>
          <w:rPr>
            <w:webHidden/>
          </w:rPr>
          <w:fldChar w:fldCharType="begin"/>
        </w:r>
        <w:r>
          <w:rPr>
            <w:webHidden/>
          </w:rPr>
          <w:instrText xml:space="preserve"> PAGEREF _Toc151714402 \h </w:instrText>
        </w:r>
        <w:r>
          <w:rPr>
            <w:webHidden/>
          </w:rPr>
        </w:r>
        <w:r>
          <w:rPr>
            <w:webHidden/>
          </w:rPr>
          <w:fldChar w:fldCharType="separate"/>
        </w:r>
        <w:r>
          <w:rPr>
            <w:webHidden/>
          </w:rPr>
          <w:t>139</w:t>
        </w:r>
        <w:r>
          <w:rPr>
            <w:webHidden/>
          </w:rPr>
          <w:fldChar w:fldCharType="end"/>
        </w:r>
      </w:hyperlink>
    </w:p>
    <w:p w14:paraId="3ED68339" w14:textId="6452A4C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3" w:history="1">
        <w:r w:rsidRPr="00EC7A8D">
          <w:rPr>
            <w:rStyle w:val="Hyperlink"/>
            <w:rFonts w:ascii="Times New Roman" w:hAnsi="Times New Roman"/>
          </w:rPr>
          <w:t>3.3.2.1.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_Toc151714403 \h </w:instrText>
        </w:r>
        <w:r>
          <w:rPr>
            <w:webHidden/>
          </w:rPr>
        </w:r>
        <w:r>
          <w:rPr>
            <w:webHidden/>
          </w:rPr>
          <w:fldChar w:fldCharType="separate"/>
        </w:r>
        <w:r>
          <w:rPr>
            <w:webHidden/>
          </w:rPr>
          <w:t>139</w:t>
        </w:r>
        <w:r>
          <w:rPr>
            <w:webHidden/>
          </w:rPr>
          <w:fldChar w:fldCharType="end"/>
        </w:r>
      </w:hyperlink>
    </w:p>
    <w:p w14:paraId="4674F900" w14:textId="0C99173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4" w:history="1">
        <w:r w:rsidRPr="00EC7A8D">
          <w:rPr>
            <w:rStyle w:val="Hyperlink"/>
            <w:rFonts w:ascii="Times New Roman" w:hAnsi="Times New Roman"/>
          </w:rPr>
          <w:t>3.3.2.2.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_Toc151714404 \h </w:instrText>
        </w:r>
        <w:r>
          <w:rPr>
            <w:webHidden/>
          </w:rPr>
        </w:r>
        <w:r>
          <w:rPr>
            <w:webHidden/>
          </w:rPr>
          <w:fldChar w:fldCharType="separate"/>
        </w:r>
        <w:r>
          <w:rPr>
            <w:webHidden/>
          </w:rPr>
          <w:t>139</w:t>
        </w:r>
        <w:r>
          <w:rPr>
            <w:webHidden/>
          </w:rPr>
          <w:fldChar w:fldCharType="end"/>
        </w:r>
      </w:hyperlink>
    </w:p>
    <w:p w14:paraId="10813FEE" w14:textId="334AC49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5" w:history="1">
        <w:r w:rsidRPr="00EC7A8D">
          <w:rPr>
            <w:rStyle w:val="Hyperlink"/>
            <w:rFonts w:ascii="Times New Roman" w:hAnsi="Times New Roman"/>
          </w:rPr>
          <w:t>3.3.3.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08.05 - Credit risk and free deliveries: IRB approach to Capital Requirements (Back-testing of PD (CR IRB 5))</w:t>
        </w:r>
        <w:r>
          <w:rPr>
            <w:webHidden/>
          </w:rPr>
          <w:tab/>
        </w:r>
        <w:r>
          <w:rPr>
            <w:webHidden/>
          </w:rPr>
          <w:fldChar w:fldCharType="begin"/>
        </w:r>
        <w:r>
          <w:rPr>
            <w:webHidden/>
          </w:rPr>
          <w:instrText xml:space="preserve"> PAGEREF _Toc151714405 \h </w:instrText>
        </w:r>
        <w:r>
          <w:rPr>
            <w:webHidden/>
          </w:rPr>
        </w:r>
        <w:r>
          <w:rPr>
            <w:webHidden/>
          </w:rPr>
          <w:fldChar w:fldCharType="separate"/>
        </w:r>
        <w:r>
          <w:rPr>
            <w:webHidden/>
          </w:rPr>
          <w:t>141</w:t>
        </w:r>
        <w:r>
          <w:rPr>
            <w:webHidden/>
          </w:rPr>
          <w:fldChar w:fldCharType="end"/>
        </w:r>
      </w:hyperlink>
    </w:p>
    <w:p w14:paraId="497E5983" w14:textId="72E37DF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6" w:history="1">
        <w:r w:rsidRPr="00EC7A8D">
          <w:rPr>
            <w:rStyle w:val="Hyperlink"/>
            <w:rFonts w:ascii="Times New Roman" w:hAnsi="Times New Roman"/>
          </w:rPr>
          <w:t>3.3.3.1.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_Toc151714406 \h </w:instrText>
        </w:r>
        <w:r>
          <w:rPr>
            <w:webHidden/>
          </w:rPr>
        </w:r>
        <w:r>
          <w:rPr>
            <w:webHidden/>
          </w:rPr>
          <w:fldChar w:fldCharType="separate"/>
        </w:r>
        <w:r>
          <w:rPr>
            <w:webHidden/>
          </w:rPr>
          <w:t>141</w:t>
        </w:r>
        <w:r>
          <w:rPr>
            <w:webHidden/>
          </w:rPr>
          <w:fldChar w:fldCharType="end"/>
        </w:r>
      </w:hyperlink>
    </w:p>
    <w:p w14:paraId="0F3CDE72" w14:textId="02314C1D"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7" w:history="1">
        <w:r w:rsidRPr="00EC7A8D">
          <w:rPr>
            <w:rStyle w:val="Hyperlink"/>
            <w:rFonts w:ascii="Times New Roman" w:hAnsi="Times New Roman"/>
          </w:rPr>
          <w:t>3.3.3.2.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_Toc151714407 \h </w:instrText>
        </w:r>
        <w:r>
          <w:rPr>
            <w:webHidden/>
          </w:rPr>
        </w:r>
        <w:r>
          <w:rPr>
            <w:webHidden/>
          </w:rPr>
          <w:fldChar w:fldCharType="separate"/>
        </w:r>
        <w:r>
          <w:rPr>
            <w:webHidden/>
          </w:rPr>
          <w:t>141</w:t>
        </w:r>
        <w:r>
          <w:rPr>
            <w:webHidden/>
          </w:rPr>
          <w:fldChar w:fldCharType="end"/>
        </w:r>
      </w:hyperlink>
    </w:p>
    <w:p w14:paraId="2D2E6573" w14:textId="3636B04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8" w:history="1">
        <w:r w:rsidRPr="00EC7A8D">
          <w:rPr>
            <w:rStyle w:val="Hyperlink"/>
            <w:rFonts w:ascii="Times New Roman" w:hAnsi="Times New Roman"/>
          </w:rPr>
          <w:t>3.3.4.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08.05.1 - Credit risk and free deliveries: IRB approach to Capital Requirements: Back-testing of PD in accordance with Article 180(1), point (f), of Regulation (EU) No 575/2013 (CR IRB 5B)</w:t>
        </w:r>
        <w:r>
          <w:rPr>
            <w:webHidden/>
          </w:rPr>
          <w:tab/>
        </w:r>
        <w:r>
          <w:rPr>
            <w:webHidden/>
          </w:rPr>
          <w:fldChar w:fldCharType="begin"/>
        </w:r>
        <w:r>
          <w:rPr>
            <w:webHidden/>
          </w:rPr>
          <w:instrText xml:space="preserve"> PAGEREF _Toc151714408 \h </w:instrText>
        </w:r>
        <w:r>
          <w:rPr>
            <w:webHidden/>
          </w:rPr>
        </w:r>
        <w:r>
          <w:rPr>
            <w:webHidden/>
          </w:rPr>
          <w:fldChar w:fldCharType="separate"/>
        </w:r>
        <w:r>
          <w:rPr>
            <w:webHidden/>
          </w:rPr>
          <w:t>143</w:t>
        </w:r>
        <w:r>
          <w:rPr>
            <w:webHidden/>
          </w:rPr>
          <w:fldChar w:fldCharType="end"/>
        </w:r>
      </w:hyperlink>
    </w:p>
    <w:p w14:paraId="67F6C2CB" w14:textId="43D6505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09" w:history="1">
        <w:r w:rsidRPr="00EC7A8D">
          <w:rPr>
            <w:rStyle w:val="Hyperlink"/>
            <w:rFonts w:ascii="Times New Roman" w:hAnsi="Times New Roman"/>
          </w:rPr>
          <w:t>3.3.4.1.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_Toc151714409 \h </w:instrText>
        </w:r>
        <w:r>
          <w:rPr>
            <w:webHidden/>
          </w:rPr>
        </w:r>
        <w:r>
          <w:rPr>
            <w:webHidden/>
          </w:rPr>
          <w:fldChar w:fldCharType="separate"/>
        </w:r>
        <w:r>
          <w:rPr>
            <w:webHidden/>
          </w:rPr>
          <w:t>143</w:t>
        </w:r>
        <w:r>
          <w:rPr>
            <w:webHidden/>
          </w:rPr>
          <w:fldChar w:fldCharType="end"/>
        </w:r>
      </w:hyperlink>
    </w:p>
    <w:p w14:paraId="009BD3AC" w14:textId="62C7012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0" w:history="1">
        <w:r w:rsidRPr="00EC7A8D">
          <w:rPr>
            <w:rStyle w:val="Hyperlink"/>
            <w:rFonts w:ascii="Times New Roman" w:hAnsi="Times New Roman"/>
          </w:rPr>
          <w:t>3.3.5.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08.06 - Credit risk and free deliveries: IRB approach to Capital Requirements (Specialised lending slotting approach (CR IRB 6))</w:t>
        </w:r>
        <w:r>
          <w:rPr>
            <w:webHidden/>
          </w:rPr>
          <w:tab/>
        </w:r>
        <w:r>
          <w:rPr>
            <w:webHidden/>
          </w:rPr>
          <w:fldChar w:fldCharType="begin"/>
        </w:r>
        <w:r>
          <w:rPr>
            <w:webHidden/>
          </w:rPr>
          <w:instrText xml:space="preserve"> PAGEREF _Toc151714410 \h </w:instrText>
        </w:r>
        <w:r>
          <w:rPr>
            <w:webHidden/>
          </w:rPr>
        </w:r>
        <w:r>
          <w:rPr>
            <w:webHidden/>
          </w:rPr>
          <w:fldChar w:fldCharType="separate"/>
        </w:r>
        <w:r>
          <w:rPr>
            <w:webHidden/>
          </w:rPr>
          <w:t>143</w:t>
        </w:r>
        <w:r>
          <w:rPr>
            <w:webHidden/>
          </w:rPr>
          <w:fldChar w:fldCharType="end"/>
        </w:r>
      </w:hyperlink>
    </w:p>
    <w:p w14:paraId="75140C80" w14:textId="2994E6C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1" w:history="1">
        <w:r w:rsidRPr="00EC7A8D">
          <w:rPr>
            <w:rStyle w:val="Hyperlink"/>
            <w:rFonts w:ascii="Times New Roman" w:hAnsi="Times New Roman"/>
          </w:rPr>
          <w:t>3.3.5.1.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_Toc151714411 \h </w:instrText>
        </w:r>
        <w:r>
          <w:rPr>
            <w:webHidden/>
          </w:rPr>
        </w:r>
        <w:r>
          <w:rPr>
            <w:webHidden/>
          </w:rPr>
          <w:fldChar w:fldCharType="separate"/>
        </w:r>
        <w:r>
          <w:rPr>
            <w:webHidden/>
          </w:rPr>
          <w:t>143</w:t>
        </w:r>
        <w:r>
          <w:rPr>
            <w:webHidden/>
          </w:rPr>
          <w:fldChar w:fldCharType="end"/>
        </w:r>
      </w:hyperlink>
    </w:p>
    <w:p w14:paraId="1D309259" w14:textId="595924D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2" w:history="1">
        <w:r w:rsidRPr="00EC7A8D">
          <w:rPr>
            <w:rStyle w:val="Hyperlink"/>
            <w:rFonts w:ascii="Times New Roman" w:hAnsi="Times New Roman"/>
          </w:rPr>
          <w:t>3.3.5.2.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_Toc151714412 \h </w:instrText>
        </w:r>
        <w:r>
          <w:rPr>
            <w:webHidden/>
          </w:rPr>
        </w:r>
        <w:r>
          <w:rPr>
            <w:webHidden/>
          </w:rPr>
          <w:fldChar w:fldCharType="separate"/>
        </w:r>
        <w:r>
          <w:rPr>
            <w:webHidden/>
          </w:rPr>
          <w:t>143</w:t>
        </w:r>
        <w:r>
          <w:rPr>
            <w:webHidden/>
          </w:rPr>
          <w:fldChar w:fldCharType="end"/>
        </w:r>
      </w:hyperlink>
    </w:p>
    <w:p w14:paraId="6B6B2B7C" w14:textId="000C7BE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3" w:history="1">
        <w:r w:rsidRPr="00EC7A8D">
          <w:rPr>
            <w:rStyle w:val="Hyperlink"/>
            <w:rFonts w:ascii="Times New Roman" w:hAnsi="Times New Roman"/>
          </w:rPr>
          <w:t>3.3.6.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08.07 - Credit risk and free deliveries: IRB approach to Capital Requirements (Scope of use of IRB and SA approaches (CR IRB 7))</w:t>
        </w:r>
        <w:r>
          <w:rPr>
            <w:webHidden/>
          </w:rPr>
          <w:tab/>
        </w:r>
        <w:r>
          <w:rPr>
            <w:webHidden/>
          </w:rPr>
          <w:fldChar w:fldCharType="begin"/>
        </w:r>
        <w:r>
          <w:rPr>
            <w:webHidden/>
          </w:rPr>
          <w:instrText xml:space="preserve"> PAGEREF _Toc151714413 \h </w:instrText>
        </w:r>
        <w:r>
          <w:rPr>
            <w:webHidden/>
          </w:rPr>
        </w:r>
        <w:r>
          <w:rPr>
            <w:webHidden/>
          </w:rPr>
          <w:fldChar w:fldCharType="separate"/>
        </w:r>
        <w:r>
          <w:rPr>
            <w:webHidden/>
          </w:rPr>
          <w:t>144</w:t>
        </w:r>
        <w:r>
          <w:rPr>
            <w:webHidden/>
          </w:rPr>
          <w:fldChar w:fldCharType="end"/>
        </w:r>
      </w:hyperlink>
    </w:p>
    <w:p w14:paraId="09701502" w14:textId="2C537FC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4" w:history="1">
        <w:r w:rsidRPr="00EC7A8D">
          <w:rPr>
            <w:rStyle w:val="Hyperlink"/>
            <w:rFonts w:ascii="Times New Roman" w:hAnsi="Times New Roman"/>
          </w:rPr>
          <w:t>3.3.6.1.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_Toc151714414 \h </w:instrText>
        </w:r>
        <w:r>
          <w:rPr>
            <w:webHidden/>
          </w:rPr>
        </w:r>
        <w:r>
          <w:rPr>
            <w:webHidden/>
          </w:rPr>
          <w:fldChar w:fldCharType="separate"/>
        </w:r>
        <w:r>
          <w:rPr>
            <w:webHidden/>
          </w:rPr>
          <w:t>144</w:t>
        </w:r>
        <w:r>
          <w:rPr>
            <w:webHidden/>
          </w:rPr>
          <w:fldChar w:fldCharType="end"/>
        </w:r>
      </w:hyperlink>
    </w:p>
    <w:p w14:paraId="2BE2A301" w14:textId="22E3BE5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5" w:history="1">
        <w:r w:rsidRPr="00EC7A8D">
          <w:rPr>
            <w:rStyle w:val="Hyperlink"/>
            <w:rFonts w:ascii="Times New Roman" w:hAnsi="Times New Roman"/>
          </w:rPr>
          <w:t>3.3.6.2.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_Toc151714415 \h </w:instrText>
        </w:r>
        <w:r>
          <w:rPr>
            <w:webHidden/>
          </w:rPr>
        </w:r>
        <w:r>
          <w:rPr>
            <w:webHidden/>
          </w:rPr>
          <w:fldChar w:fldCharType="separate"/>
        </w:r>
        <w:r>
          <w:rPr>
            <w:webHidden/>
          </w:rPr>
          <w:t>145</w:t>
        </w:r>
        <w:r>
          <w:rPr>
            <w:webHidden/>
          </w:rPr>
          <w:fldChar w:fldCharType="end"/>
        </w:r>
      </w:hyperlink>
    </w:p>
    <w:p w14:paraId="30941676" w14:textId="586F082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6" w:history="1">
        <w:r w:rsidRPr="00EC7A8D">
          <w:rPr>
            <w:rStyle w:val="Hyperlink"/>
            <w:rFonts w:ascii="Times New Roman" w:hAnsi="Times New Roman"/>
          </w:rPr>
          <w:t>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and counterparty credit risks and free deliveries: Information with geographical breakdown</w:t>
        </w:r>
        <w:r>
          <w:rPr>
            <w:webHidden/>
          </w:rPr>
          <w:tab/>
        </w:r>
        <w:r>
          <w:rPr>
            <w:webHidden/>
          </w:rPr>
          <w:fldChar w:fldCharType="begin"/>
        </w:r>
        <w:r>
          <w:rPr>
            <w:webHidden/>
          </w:rPr>
          <w:instrText xml:space="preserve"> PAGEREF _Toc151714416 \h </w:instrText>
        </w:r>
        <w:r>
          <w:rPr>
            <w:webHidden/>
          </w:rPr>
        </w:r>
        <w:r>
          <w:rPr>
            <w:webHidden/>
          </w:rPr>
          <w:fldChar w:fldCharType="separate"/>
        </w:r>
        <w:r>
          <w:rPr>
            <w:webHidden/>
          </w:rPr>
          <w:t>146</w:t>
        </w:r>
        <w:r>
          <w:rPr>
            <w:webHidden/>
          </w:rPr>
          <w:fldChar w:fldCharType="end"/>
        </w:r>
      </w:hyperlink>
    </w:p>
    <w:p w14:paraId="3C2E7014" w14:textId="718F700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7" w:history="1">
        <w:r w:rsidRPr="00EC7A8D">
          <w:rPr>
            <w:rStyle w:val="Hyperlink"/>
            <w:rFonts w:ascii="Times New Roman" w:hAnsi="Times New Roman"/>
          </w:rPr>
          <w:t>3.4.1.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09.01 – Geographical breakdown of exposures by residence of the obligor: SA exposures (CR GB 1)</w:t>
        </w:r>
        <w:r>
          <w:rPr>
            <w:webHidden/>
          </w:rPr>
          <w:tab/>
        </w:r>
        <w:r>
          <w:rPr>
            <w:webHidden/>
          </w:rPr>
          <w:fldChar w:fldCharType="begin"/>
        </w:r>
        <w:r>
          <w:rPr>
            <w:webHidden/>
          </w:rPr>
          <w:instrText xml:space="preserve"> PAGEREF _Toc151714417 \h </w:instrText>
        </w:r>
        <w:r>
          <w:rPr>
            <w:webHidden/>
          </w:rPr>
        </w:r>
        <w:r>
          <w:rPr>
            <w:webHidden/>
          </w:rPr>
          <w:fldChar w:fldCharType="separate"/>
        </w:r>
        <w:r>
          <w:rPr>
            <w:webHidden/>
          </w:rPr>
          <w:t>146</w:t>
        </w:r>
        <w:r>
          <w:rPr>
            <w:webHidden/>
          </w:rPr>
          <w:fldChar w:fldCharType="end"/>
        </w:r>
      </w:hyperlink>
    </w:p>
    <w:p w14:paraId="5C8E867B" w14:textId="6415688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8" w:history="1">
        <w:r w:rsidRPr="00EC7A8D">
          <w:rPr>
            <w:rStyle w:val="Hyperlink"/>
            <w:rFonts w:ascii="Times New Roman" w:hAnsi="Times New Roman"/>
          </w:rPr>
          <w:t>3.4.1.1.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_Toc151714418 \h </w:instrText>
        </w:r>
        <w:r>
          <w:rPr>
            <w:webHidden/>
          </w:rPr>
        </w:r>
        <w:r>
          <w:rPr>
            <w:webHidden/>
          </w:rPr>
          <w:fldChar w:fldCharType="separate"/>
        </w:r>
        <w:r>
          <w:rPr>
            <w:webHidden/>
          </w:rPr>
          <w:t>146</w:t>
        </w:r>
        <w:r>
          <w:rPr>
            <w:webHidden/>
          </w:rPr>
          <w:fldChar w:fldCharType="end"/>
        </w:r>
      </w:hyperlink>
    </w:p>
    <w:p w14:paraId="62CA0701" w14:textId="3B73993D"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19" w:history="1">
        <w:r w:rsidRPr="00EC7A8D">
          <w:rPr>
            <w:rStyle w:val="Hyperlink"/>
            <w:rFonts w:ascii="Times New Roman" w:hAnsi="Times New Roman"/>
          </w:rPr>
          <w:t>3.4.2.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09.02 – Geographical breakdown of exposures by residence of the obligor: IRB exposures (CR GB 2)</w:t>
        </w:r>
        <w:r>
          <w:rPr>
            <w:webHidden/>
          </w:rPr>
          <w:tab/>
        </w:r>
        <w:r>
          <w:rPr>
            <w:webHidden/>
          </w:rPr>
          <w:fldChar w:fldCharType="begin"/>
        </w:r>
        <w:r>
          <w:rPr>
            <w:webHidden/>
          </w:rPr>
          <w:instrText xml:space="preserve"> PAGEREF _Toc151714419 \h </w:instrText>
        </w:r>
        <w:r>
          <w:rPr>
            <w:webHidden/>
          </w:rPr>
        </w:r>
        <w:r>
          <w:rPr>
            <w:webHidden/>
          </w:rPr>
          <w:fldChar w:fldCharType="separate"/>
        </w:r>
        <w:r>
          <w:rPr>
            <w:webHidden/>
          </w:rPr>
          <w:t>150</w:t>
        </w:r>
        <w:r>
          <w:rPr>
            <w:webHidden/>
          </w:rPr>
          <w:fldChar w:fldCharType="end"/>
        </w:r>
      </w:hyperlink>
    </w:p>
    <w:p w14:paraId="7B7BA7E6" w14:textId="51FDD30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0" w:history="1">
        <w:r w:rsidRPr="00EC7A8D">
          <w:rPr>
            <w:rStyle w:val="Hyperlink"/>
            <w:rFonts w:ascii="Times New Roman" w:hAnsi="Times New Roman"/>
          </w:rPr>
          <w:t>3.4.2.1.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_Toc151714420 \h </w:instrText>
        </w:r>
        <w:r>
          <w:rPr>
            <w:webHidden/>
          </w:rPr>
        </w:r>
        <w:r>
          <w:rPr>
            <w:webHidden/>
          </w:rPr>
          <w:fldChar w:fldCharType="separate"/>
        </w:r>
        <w:r>
          <w:rPr>
            <w:webHidden/>
          </w:rPr>
          <w:t>150</w:t>
        </w:r>
        <w:r>
          <w:rPr>
            <w:webHidden/>
          </w:rPr>
          <w:fldChar w:fldCharType="end"/>
        </w:r>
      </w:hyperlink>
    </w:p>
    <w:p w14:paraId="51E50A08" w14:textId="63A40EE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1" w:history="1">
        <w:r w:rsidRPr="00EC7A8D">
          <w:rPr>
            <w:rStyle w:val="Hyperlink"/>
            <w:rFonts w:ascii="Times New Roman" w:hAnsi="Times New Roman"/>
          </w:rPr>
          <w:t>3.4.3.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09.04 – Breakdown of credit exposures relevant for the calculation of the countercyclical buffer by country and institution-specific countercyclical buffer rate (CCB)</w:t>
        </w:r>
        <w:r>
          <w:rPr>
            <w:webHidden/>
          </w:rPr>
          <w:tab/>
        </w:r>
        <w:r>
          <w:rPr>
            <w:webHidden/>
          </w:rPr>
          <w:fldChar w:fldCharType="begin"/>
        </w:r>
        <w:r>
          <w:rPr>
            <w:webHidden/>
          </w:rPr>
          <w:instrText xml:space="preserve"> PAGEREF _Toc151714421 \h </w:instrText>
        </w:r>
        <w:r>
          <w:rPr>
            <w:webHidden/>
          </w:rPr>
        </w:r>
        <w:r>
          <w:rPr>
            <w:webHidden/>
          </w:rPr>
          <w:fldChar w:fldCharType="separate"/>
        </w:r>
        <w:r>
          <w:rPr>
            <w:webHidden/>
          </w:rPr>
          <w:t>155</w:t>
        </w:r>
        <w:r>
          <w:rPr>
            <w:webHidden/>
          </w:rPr>
          <w:fldChar w:fldCharType="end"/>
        </w:r>
      </w:hyperlink>
    </w:p>
    <w:p w14:paraId="5ABEA8E6" w14:textId="7BC6AD6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2" w:history="1">
        <w:r w:rsidRPr="00EC7A8D">
          <w:rPr>
            <w:rStyle w:val="Hyperlink"/>
            <w:rFonts w:ascii="Times New Roman" w:hAnsi="Times New Roman"/>
          </w:rPr>
          <w:t>3.4.3.1.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_Toc151714422 \h </w:instrText>
        </w:r>
        <w:r>
          <w:rPr>
            <w:webHidden/>
          </w:rPr>
        </w:r>
        <w:r>
          <w:rPr>
            <w:webHidden/>
          </w:rPr>
          <w:fldChar w:fldCharType="separate"/>
        </w:r>
        <w:r>
          <w:rPr>
            <w:webHidden/>
          </w:rPr>
          <w:t>155</w:t>
        </w:r>
        <w:r>
          <w:rPr>
            <w:webHidden/>
          </w:rPr>
          <w:fldChar w:fldCharType="end"/>
        </w:r>
      </w:hyperlink>
    </w:p>
    <w:p w14:paraId="5F627125" w14:textId="7C8525C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3" w:history="1">
        <w:r w:rsidRPr="00EC7A8D">
          <w:rPr>
            <w:rStyle w:val="Hyperlink"/>
            <w:rFonts w:ascii="Times New Roman" w:hAnsi="Times New Roman"/>
          </w:rPr>
          <w:t>3.4.3.2.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_Toc151714423 \h </w:instrText>
        </w:r>
        <w:r>
          <w:rPr>
            <w:webHidden/>
          </w:rPr>
        </w:r>
        <w:r>
          <w:rPr>
            <w:webHidden/>
          </w:rPr>
          <w:fldChar w:fldCharType="separate"/>
        </w:r>
        <w:r>
          <w:rPr>
            <w:webHidden/>
          </w:rPr>
          <w:t>155</w:t>
        </w:r>
        <w:r>
          <w:rPr>
            <w:webHidden/>
          </w:rPr>
          <w:fldChar w:fldCharType="end"/>
        </w:r>
      </w:hyperlink>
    </w:p>
    <w:p w14:paraId="5E9B805E" w14:textId="0CB7DDC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4" w:history="1">
        <w:r w:rsidRPr="00EC7A8D">
          <w:rPr>
            <w:rStyle w:val="Hyperlink"/>
            <w:rFonts w:ascii="Times New Roman" w:hAnsi="Times New Roman"/>
          </w:rPr>
          <w:t>3.5a. C 10.00 – Credit and counterparty credit risks and free deliveries: IRB exposures subject to output floor</w:t>
        </w:r>
        <w:r>
          <w:rPr>
            <w:webHidden/>
          </w:rPr>
          <w:tab/>
        </w:r>
        <w:r>
          <w:rPr>
            <w:webHidden/>
          </w:rPr>
          <w:fldChar w:fldCharType="begin"/>
        </w:r>
        <w:r>
          <w:rPr>
            <w:webHidden/>
          </w:rPr>
          <w:instrText xml:space="preserve"> PAGEREF _Toc151714424 \h </w:instrText>
        </w:r>
        <w:r>
          <w:rPr>
            <w:webHidden/>
          </w:rPr>
        </w:r>
        <w:r>
          <w:rPr>
            <w:webHidden/>
          </w:rPr>
          <w:fldChar w:fldCharType="separate"/>
        </w:r>
        <w:r>
          <w:rPr>
            <w:webHidden/>
          </w:rPr>
          <w:t>160</w:t>
        </w:r>
        <w:r>
          <w:rPr>
            <w:webHidden/>
          </w:rPr>
          <w:fldChar w:fldCharType="end"/>
        </w:r>
      </w:hyperlink>
    </w:p>
    <w:p w14:paraId="0E986D85" w14:textId="743DA66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5" w:history="1">
        <w:r w:rsidRPr="00EC7A8D">
          <w:rPr>
            <w:rStyle w:val="Hyperlink"/>
            <w:rFonts w:ascii="Times New Roman" w:hAnsi="Times New Roman"/>
          </w:rPr>
          <w:t>3.5a.1. General remarks</w:t>
        </w:r>
        <w:r>
          <w:rPr>
            <w:webHidden/>
          </w:rPr>
          <w:tab/>
        </w:r>
        <w:r>
          <w:rPr>
            <w:webHidden/>
          </w:rPr>
          <w:fldChar w:fldCharType="begin"/>
        </w:r>
        <w:r>
          <w:rPr>
            <w:webHidden/>
          </w:rPr>
          <w:instrText xml:space="preserve"> PAGEREF _Toc151714425 \h </w:instrText>
        </w:r>
        <w:r>
          <w:rPr>
            <w:webHidden/>
          </w:rPr>
        </w:r>
        <w:r>
          <w:rPr>
            <w:webHidden/>
          </w:rPr>
          <w:fldChar w:fldCharType="separate"/>
        </w:r>
        <w:r>
          <w:rPr>
            <w:webHidden/>
          </w:rPr>
          <w:t>160</w:t>
        </w:r>
        <w:r>
          <w:rPr>
            <w:webHidden/>
          </w:rPr>
          <w:fldChar w:fldCharType="end"/>
        </w:r>
      </w:hyperlink>
    </w:p>
    <w:p w14:paraId="08AE32DA" w14:textId="563E2CD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6" w:history="1">
        <w:r w:rsidRPr="00EC7A8D">
          <w:rPr>
            <w:rStyle w:val="Hyperlink"/>
            <w:rFonts w:ascii="Times New Roman" w:hAnsi="Times New Roman"/>
          </w:rPr>
          <w:t>3.5a.2. Instructions concerning specific positions</w:t>
        </w:r>
        <w:r>
          <w:rPr>
            <w:webHidden/>
          </w:rPr>
          <w:tab/>
        </w:r>
        <w:r>
          <w:rPr>
            <w:webHidden/>
          </w:rPr>
          <w:fldChar w:fldCharType="begin"/>
        </w:r>
        <w:r>
          <w:rPr>
            <w:webHidden/>
          </w:rPr>
          <w:instrText xml:space="preserve"> PAGEREF _Toc151714426 \h </w:instrText>
        </w:r>
        <w:r>
          <w:rPr>
            <w:webHidden/>
          </w:rPr>
        </w:r>
        <w:r>
          <w:rPr>
            <w:webHidden/>
          </w:rPr>
          <w:fldChar w:fldCharType="separate"/>
        </w:r>
        <w:r>
          <w:rPr>
            <w:webHidden/>
          </w:rPr>
          <w:t>160</w:t>
        </w:r>
        <w:r>
          <w:rPr>
            <w:webHidden/>
          </w:rPr>
          <w:fldChar w:fldCharType="end"/>
        </w:r>
      </w:hyperlink>
    </w:p>
    <w:p w14:paraId="1DE19D21" w14:textId="77F02D7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7" w:history="1">
        <w:r w:rsidRPr="00EC7A8D">
          <w:rPr>
            <w:rStyle w:val="Hyperlink"/>
            <w:rFonts w:ascii="Times New Roman" w:hAnsi="Times New Roman"/>
          </w:rPr>
          <w:t>3.5.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10.01 and C 10.02 – Equity exposures under the internal ratings based approach (CR EQU IRB 1 and CR EQU IRB 2)</w:t>
        </w:r>
        <w:r>
          <w:rPr>
            <w:webHidden/>
          </w:rPr>
          <w:tab/>
        </w:r>
        <w:r>
          <w:rPr>
            <w:webHidden/>
          </w:rPr>
          <w:fldChar w:fldCharType="begin"/>
        </w:r>
        <w:r>
          <w:rPr>
            <w:webHidden/>
          </w:rPr>
          <w:instrText xml:space="preserve"> PAGEREF _Toc151714427 \h </w:instrText>
        </w:r>
        <w:r>
          <w:rPr>
            <w:webHidden/>
          </w:rPr>
        </w:r>
        <w:r>
          <w:rPr>
            <w:webHidden/>
          </w:rPr>
          <w:fldChar w:fldCharType="separate"/>
        </w:r>
        <w:r>
          <w:rPr>
            <w:webHidden/>
          </w:rPr>
          <w:t>163</w:t>
        </w:r>
        <w:r>
          <w:rPr>
            <w:webHidden/>
          </w:rPr>
          <w:fldChar w:fldCharType="end"/>
        </w:r>
      </w:hyperlink>
    </w:p>
    <w:p w14:paraId="7355BCD9" w14:textId="1ED9393D"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8" w:history="1">
        <w:r w:rsidRPr="00EC7A8D">
          <w:rPr>
            <w:rStyle w:val="Hyperlink"/>
            <w:rFonts w:ascii="Times New Roman" w:hAnsi="Times New Roman"/>
          </w:rPr>
          <w:t>3.5.1.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_Toc151714428 \h </w:instrText>
        </w:r>
        <w:r>
          <w:rPr>
            <w:webHidden/>
          </w:rPr>
        </w:r>
        <w:r>
          <w:rPr>
            <w:webHidden/>
          </w:rPr>
          <w:fldChar w:fldCharType="separate"/>
        </w:r>
        <w:r>
          <w:rPr>
            <w:webHidden/>
          </w:rPr>
          <w:t>163</w:t>
        </w:r>
        <w:r>
          <w:rPr>
            <w:webHidden/>
          </w:rPr>
          <w:fldChar w:fldCharType="end"/>
        </w:r>
      </w:hyperlink>
    </w:p>
    <w:p w14:paraId="3B3AC413" w14:textId="34BA3F8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29" w:history="1">
        <w:r w:rsidRPr="00EC7A8D">
          <w:rPr>
            <w:rStyle w:val="Hyperlink"/>
            <w:rFonts w:ascii="Times New Roman" w:hAnsi="Times New Roman"/>
          </w:rPr>
          <w:t>3.5.2.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 (applicable to both CR EQU IRB 1 and CR EQU IRB 2)</w:t>
        </w:r>
        <w:r>
          <w:rPr>
            <w:webHidden/>
          </w:rPr>
          <w:tab/>
        </w:r>
        <w:r>
          <w:rPr>
            <w:webHidden/>
          </w:rPr>
          <w:fldChar w:fldCharType="begin"/>
        </w:r>
        <w:r>
          <w:rPr>
            <w:webHidden/>
          </w:rPr>
          <w:instrText xml:space="preserve"> PAGEREF _Toc151714429 \h </w:instrText>
        </w:r>
        <w:r>
          <w:rPr>
            <w:webHidden/>
          </w:rPr>
        </w:r>
        <w:r>
          <w:rPr>
            <w:webHidden/>
          </w:rPr>
          <w:fldChar w:fldCharType="separate"/>
        </w:r>
        <w:r>
          <w:rPr>
            <w:webHidden/>
          </w:rPr>
          <w:t>165</w:t>
        </w:r>
        <w:r>
          <w:rPr>
            <w:webHidden/>
          </w:rPr>
          <w:fldChar w:fldCharType="end"/>
        </w:r>
      </w:hyperlink>
    </w:p>
    <w:p w14:paraId="5880CE77" w14:textId="278D788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0" w:history="1">
        <w:r w:rsidRPr="00EC7A8D">
          <w:rPr>
            <w:rStyle w:val="Hyperlink"/>
            <w:rFonts w:ascii="Times New Roman" w:hAnsi="Times New Roman"/>
          </w:rPr>
          <w:t>3.6.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11.00 – Settlement/Delivery Risk (CR SETT)</w:t>
        </w:r>
        <w:r>
          <w:rPr>
            <w:webHidden/>
          </w:rPr>
          <w:tab/>
        </w:r>
        <w:r>
          <w:rPr>
            <w:webHidden/>
          </w:rPr>
          <w:fldChar w:fldCharType="begin"/>
        </w:r>
        <w:r>
          <w:rPr>
            <w:webHidden/>
          </w:rPr>
          <w:instrText xml:space="preserve"> PAGEREF _Toc151714430 \h </w:instrText>
        </w:r>
        <w:r>
          <w:rPr>
            <w:webHidden/>
          </w:rPr>
        </w:r>
        <w:r>
          <w:rPr>
            <w:webHidden/>
          </w:rPr>
          <w:fldChar w:fldCharType="separate"/>
        </w:r>
        <w:r>
          <w:rPr>
            <w:webHidden/>
          </w:rPr>
          <w:t>169</w:t>
        </w:r>
        <w:r>
          <w:rPr>
            <w:webHidden/>
          </w:rPr>
          <w:fldChar w:fldCharType="end"/>
        </w:r>
      </w:hyperlink>
    </w:p>
    <w:p w14:paraId="607D8298" w14:textId="09CBB57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1" w:history="1">
        <w:r w:rsidRPr="00EC7A8D">
          <w:rPr>
            <w:rStyle w:val="Hyperlink"/>
            <w:rFonts w:ascii="Times New Roman" w:hAnsi="Times New Roman"/>
          </w:rPr>
          <w:t>3.6.1.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_Toc151714431 \h </w:instrText>
        </w:r>
        <w:r>
          <w:rPr>
            <w:webHidden/>
          </w:rPr>
        </w:r>
        <w:r>
          <w:rPr>
            <w:webHidden/>
          </w:rPr>
          <w:fldChar w:fldCharType="separate"/>
        </w:r>
        <w:r>
          <w:rPr>
            <w:webHidden/>
          </w:rPr>
          <w:t>169</w:t>
        </w:r>
        <w:r>
          <w:rPr>
            <w:webHidden/>
          </w:rPr>
          <w:fldChar w:fldCharType="end"/>
        </w:r>
      </w:hyperlink>
    </w:p>
    <w:p w14:paraId="4A07F97A" w14:textId="3208455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2" w:history="1">
        <w:r w:rsidRPr="00EC7A8D">
          <w:rPr>
            <w:rStyle w:val="Hyperlink"/>
            <w:rFonts w:ascii="Times New Roman" w:hAnsi="Times New Roman"/>
          </w:rPr>
          <w:t>3.6.2.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_Toc151714432 \h </w:instrText>
        </w:r>
        <w:r>
          <w:rPr>
            <w:webHidden/>
          </w:rPr>
        </w:r>
        <w:r>
          <w:rPr>
            <w:webHidden/>
          </w:rPr>
          <w:fldChar w:fldCharType="separate"/>
        </w:r>
        <w:r>
          <w:rPr>
            <w:webHidden/>
          </w:rPr>
          <w:t>169</w:t>
        </w:r>
        <w:r>
          <w:rPr>
            <w:webHidden/>
          </w:rPr>
          <w:fldChar w:fldCharType="end"/>
        </w:r>
      </w:hyperlink>
    </w:p>
    <w:p w14:paraId="2EFAAB9E" w14:textId="0C1B307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3" w:history="1">
        <w:r w:rsidRPr="00EC7A8D">
          <w:rPr>
            <w:rStyle w:val="Hyperlink"/>
            <w:rFonts w:ascii="Times New Roman" w:hAnsi="Times New Roman"/>
          </w:rPr>
          <w:t>3.7.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13.01 - Credit Risk – Securitisations (CR SEC)</w:t>
        </w:r>
        <w:r>
          <w:rPr>
            <w:webHidden/>
          </w:rPr>
          <w:tab/>
        </w:r>
        <w:r>
          <w:rPr>
            <w:webHidden/>
          </w:rPr>
          <w:fldChar w:fldCharType="begin"/>
        </w:r>
        <w:r>
          <w:rPr>
            <w:webHidden/>
          </w:rPr>
          <w:instrText xml:space="preserve"> PAGEREF _Toc151714433 \h </w:instrText>
        </w:r>
        <w:r>
          <w:rPr>
            <w:webHidden/>
          </w:rPr>
        </w:r>
        <w:r>
          <w:rPr>
            <w:webHidden/>
          </w:rPr>
          <w:fldChar w:fldCharType="separate"/>
        </w:r>
        <w:r>
          <w:rPr>
            <w:webHidden/>
          </w:rPr>
          <w:t>172</w:t>
        </w:r>
        <w:r>
          <w:rPr>
            <w:webHidden/>
          </w:rPr>
          <w:fldChar w:fldCharType="end"/>
        </w:r>
      </w:hyperlink>
    </w:p>
    <w:p w14:paraId="61968E42" w14:textId="44156FE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4" w:history="1">
        <w:r w:rsidRPr="00EC7A8D">
          <w:rPr>
            <w:rStyle w:val="Hyperlink"/>
            <w:rFonts w:ascii="Times New Roman" w:hAnsi="Times New Roman"/>
          </w:rPr>
          <w:t>3.7.1.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_Toc151714434 \h </w:instrText>
        </w:r>
        <w:r>
          <w:rPr>
            <w:webHidden/>
          </w:rPr>
        </w:r>
        <w:r>
          <w:rPr>
            <w:webHidden/>
          </w:rPr>
          <w:fldChar w:fldCharType="separate"/>
        </w:r>
        <w:r>
          <w:rPr>
            <w:webHidden/>
          </w:rPr>
          <w:t>172</w:t>
        </w:r>
        <w:r>
          <w:rPr>
            <w:webHidden/>
          </w:rPr>
          <w:fldChar w:fldCharType="end"/>
        </w:r>
      </w:hyperlink>
    </w:p>
    <w:p w14:paraId="67DC6D37" w14:textId="6258F82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5" w:history="1">
        <w:r w:rsidRPr="00EC7A8D">
          <w:rPr>
            <w:rStyle w:val="Hyperlink"/>
            <w:rFonts w:ascii="Times New Roman" w:hAnsi="Times New Roman"/>
          </w:rPr>
          <w:t>3.7.2.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_Toc151714435 \h </w:instrText>
        </w:r>
        <w:r>
          <w:rPr>
            <w:webHidden/>
          </w:rPr>
        </w:r>
        <w:r>
          <w:rPr>
            <w:webHidden/>
          </w:rPr>
          <w:fldChar w:fldCharType="separate"/>
        </w:r>
        <w:r>
          <w:rPr>
            <w:webHidden/>
          </w:rPr>
          <w:t>172</w:t>
        </w:r>
        <w:r>
          <w:rPr>
            <w:webHidden/>
          </w:rPr>
          <w:fldChar w:fldCharType="end"/>
        </w:r>
      </w:hyperlink>
    </w:p>
    <w:p w14:paraId="0E56BEC2" w14:textId="0B36B81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6" w:history="1">
        <w:r w:rsidRPr="00EC7A8D">
          <w:rPr>
            <w:rStyle w:val="Hyperlink"/>
            <w:rFonts w:ascii="Times New Roman" w:hAnsi="Times New Roman"/>
          </w:rPr>
          <w:t>3.8.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Detailed information on securitisations (SEC DETAILS)</w:t>
        </w:r>
        <w:r>
          <w:rPr>
            <w:webHidden/>
          </w:rPr>
          <w:tab/>
        </w:r>
        <w:r>
          <w:rPr>
            <w:webHidden/>
          </w:rPr>
          <w:fldChar w:fldCharType="begin"/>
        </w:r>
        <w:r>
          <w:rPr>
            <w:webHidden/>
          </w:rPr>
          <w:instrText xml:space="preserve"> PAGEREF _Toc151714436 \h </w:instrText>
        </w:r>
        <w:r>
          <w:rPr>
            <w:webHidden/>
          </w:rPr>
        </w:r>
        <w:r>
          <w:rPr>
            <w:webHidden/>
          </w:rPr>
          <w:fldChar w:fldCharType="separate"/>
        </w:r>
        <w:r>
          <w:rPr>
            <w:webHidden/>
          </w:rPr>
          <w:t>186</w:t>
        </w:r>
        <w:r>
          <w:rPr>
            <w:webHidden/>
          </w:rPr>
          <w:fldChar w:fldCharType="end"/>
        </w:r>
      </w:hyperlink>
    </w:p>
    <w:p w14:paraId="30E0E1E8" w14:textId="149D098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7" w:history="1">
        <w:r w:rsidRPr="00EC7A8D">
          <w:rPr>
            <w:rStyle w:val="Hyperlink"/>
            <w:rFonts w:ascii="Times New Roman" w:hAnsi="Times New Roman"/>
          </w:rPr>
          <w:t>3.8.1.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SEC DETAILS template</w:t>
        </w:r>
        <w:r>
          <w:rPr>
            <w:webHidden/>
          </w:rPr>
          <w:tab/>
        </w:r>
        <w:r>
          <w:rPr>
            <w:webHidden/>
          </w:rPr>
          <w:fldChar w:fldCharType="begin"/>
        </w:r>
        <w:r>
          <w:rPr>
            <w:webHidden/>
          </w:rPr>
          <w:instrText xml:space="preserve"> PAGEREF _Toc151714437 \h </w:instrText>
        </w:r>
        <w:r>
          <w:rPr>
            <w:webHidden/>
          </w:rPr>
        </w:r>
        <w:r>
          <w:rPr>
            <w:webHidden/>
          </w:rPr>
          <w:fldChar w:fldCharType="separate"/>
        </w:r>
        <w:r>
          <w:rPr>
            <w:webHidden/>
          </w:rPr>
          <w:t>186</w:t>
        </w:r>
        <w:r>
          <w:rPr>
            <w:webHidden/>
          </w:rPr>
          <w:fldChar w:fldCharType="end"/>
        </w:r>
      </w:hyperlink>
    </w:p>
    <w:p w14:paraId="3E475B6C" w14:textId="509E19F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8" w:history="1">
        <w:r w:rsidRPr="00EC7A8D">
          <w:rPr>
            <w:rStyle w:val="Hyperlink"/>
            <w:rFonts w:ascii="Times New Roman" w:hAnsi="Times New Roman"/>
          </w:rPr>
          <w:t>3.8.2 Breakdown of the SEC DETAILS template</w:t>
        </w:r>
        <w:r>
          <w:rPr>
            <w:webHidden/>
          </w:rPr>
          <w:tab/>
        </w:r>
        <w:r>
          <w:rPr>
            <w:webHidden/>
          </w:rPr>
          <w:fldChar w:fldCharType="begin"/>
        </w:r>
        <w:r>
          <w:rPr>
            <w:webHidden/>
          </w:rPr>
          <w:instrText xml:space="preserve"> PAGEREF _Toc151714438 \h </w:instrText>
        </w:r>
        <w:r>
          <w:rPr>
            <w:webHidden/>
          </w:rPr>
        </w:r>
        <w:r>
          <w:rPr>
            <w:webHidden/>
          </w:rPr>
          <w:fldChar w:fldCharType="separate"/>
        </w:r>
        <w:r>
          <w:rPr>
            <w:webHidden/>
          </w:rPr>
          <w:t>187</w:t>
        </w:r>
        <w:r>
          <w:rPr>
            <w:webHidden/>
          </w:rPr>
          <w:fldChar w:fldCharType="end"/>
        </w:r>
      </w:hyperlink>
    </w:p>
    <w:p w14:paraId="528B056A" w14:textId="6CFAEA0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39" w:history="1">
        <w:r w:rsidRPr="00EC7A8D">
          <w:rPr>
            <w:rStyle w:val="Hyperlink"/>
            <w:rFonts w:ascii="Times New Roman" w:hAnsi="Times New Roman"/>
          </w:rPr>
          <w:t>3.8.3 C 14.00 – Detailed information on securitisations (SEC DETAILS)</w:t>
        </w:r>
        <w:r>
          <w:rPr>
            <w:webHidden/>
          </w:rPr>
          <w:tab/>
        </w:r>
        <w:r>
          <w:rPr>
            <w:webHidden/>
          </w:rPr>
          <w:fldChar w:fldCharType="begin"/>
        </w:r>
        <w:r>
          <w:rPr>
            <w:webHidden/>
          </w:rPr>
          <w:instrText xml:space="preserve"> PAGEREF _Toc151714439 \h </w:instrText>
        </w:r>
        <w:r>
          <w:rPr>
            <w:webHidden/>
          </w:rPr>
        </w:r>
        <w:r>
          <w:rPr>
            <w:webHidden/>
          </w:rPr>
          <w:fldChar w:fldCharType="separate"/>
        </w:r>
        <w:r>
          <w:rPr>
            <w:webHidden/>
          </w:rPr>
          <w:t>187</w:t>
        </w:r>
        <w:r>
          <w:rPr>
            <w:webHidden/>
          </w:rPr>
          <w:fldChar w:fldCharType="end"/>
        </w:r>
      </w:hyperlink>
    </w:p>
    <w:p w14:paraId="3A5BA2C7" w14:textId="1213EEB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0" w:history="1">
        <w:r w:rsidRPr="00EC7A8D">
          <w:rPr>
            <w:rStyle w:val="Hyperlink"/>
            <w:rFonts w:ascii="Times New Roman" w:hAnsi="Times New Roman"/>
          </w:rPr>
          <w:t>3.8.4.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14.01 – Detailed information on securitisations (SEC DETAILS 2)</w:t>
        </w:r>
        <w:r>
          <w:rPr>
            <w:webHidden/>
          </w:rPr>
          <w:tab/>
        </w:r>
        <w:r>
          <w:rPr>
            <w:webHidden/>
          </w:rPr>
          <w:fldChar w:fldCharType="begin"/>
        </w:r>
        <w:r>
          <w:rPr>
            <w:webHidden/>
          </w:rPr>
          <w:instrText xml:space="preserve"> PAGEREF _Toc151714440 \h </w:instrText>
        </w:r>
        <w:r>
          <w:rPr>
            <w:webHidden/>
          </w:rPr>
        </w:r>
        <w:r>
          <w:rPr>
            <w:webHidden/>
          </w:rPr>
          <w:fldChar w:fldCharType="separate"/>
        </w:r>
        <w:r>
          <w:rPr>
            <w:webHidden/>
          </w:rPr>
          <w:t>202</w:t>
        </w:r>
        <w:r>
          <w:rPr>
            <w:webHidden/>
          </w:rPr>
          <w:fldChar w:fldCharType="end"/>
        </w:r>
      </w:hyperlink>
    </w:p>
    <w:p w14:paraId="68807C04" w14:textId="10E4DE7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1" w:history="1">
        <w:r w:rsidRPr="00EC7A8D">
          <w:rPr>
            <w:rStyle w:val="Hyperlink"/>
            <w:rFonts w:ascii="Times New Roman" w:hAnsi="Times New Roman"/>
          </w:rPr>
          <w:t>3.9.</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Counterparty Credit Risk</w:t>
        </w:r>
        <w:r>
          <w:rPr>
            <w:webHidden/>
          </w:rPr>
          <w:tab/>
        </w:r>
        <w:r>
          <w:rPr>
            <w:webHidden/>
          </w:rPr>
          <w:fldChar w:fldCharType="begin"/>
        </w:r>
        <w:r>
          <w:rPr>
            <w:webHidden/>
          </w:rPr>
          <w:instrText xml:space="preserve"> PAGEREF _Toc151714441 \h </w:instrText>
        </w:r>
        <w:r>
          <w:rPr>
            <w:webHidden/>
          </w:rPr>
        </w:r>
        <w:r>
          <w:rPr>
            <w:webHidden/>
          </w:rPr>
          <w:fldChar w:fldCharType="separate"/>
        </w:r>
        <w:r>
          <w:rPr>
            <w:webHidden/>
          </w:rPr>
          <w:t>208</w:t>
        </w:r>
        <w:r>
          <w:rPr>
            <w:webHidden/>
          </w:rPr>
          <w:fldChar w:fldCharType="end"/>
        </w:r>
      </w:hyperlink>
    </w:p>
    <w:p w14:paraId="2422897C" w14:textId="577474F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2" w:history="1">
        <w:r w:rsidRPr="00EC7A8D">
          <w:rPr>
            <w:rStyle w:val="Hyperlink"/>
            <w:rFonts w:ascii="Times New Roman" w:hAnsi="Times New Roman"/>
          </w:rPr>
          <w:t>3.9.1.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counterparty credit risk templates</w:t>
        </w:r>
        <w:r>
          <w:rPr>
            <w:webHidden/>
          </w:rPr>
          <w:tab/>
        </w:r>
        <w:r>
          <w:rPr>
            <w:webHidden/>
          </w:rPr>
          <w:fldChar w:fldCharType="begin"/>
        </w:r>
        <w:r>
          <w:rPr>
            <w:webHidden/>
          </w:rPr>
          <w:instrText xml:space="preserve"> PAGEREF _Toc151714442 \h </w:instrText>
        </w:r>
        <w:r>
          <w:rPr>
            <w:webHidden/>
          </w:rPr>
        </w:r>
        <w:r>
          <w:rPr>
            <w:webHidden/>
          </w:rPr>
          <w:fldChar w:fldCharType="separate"/>
        </w:r>
        <w:r>
          <w:rPr>
            <w:webHidden/>
          </w:rPr>
          <w:t>208</w:t>
        </w:r>
        <w:r>
          <w:rPr>
            <w:webHidden/>
          </w:rPr>
          <w:fldChar w:fldCharType="end"/>
        </w:r>
      </w:hyperlink>
    </w:p>
    <w:p w14:paraId="5C012054" w14:textId="3F828CD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3" w:history="1">
        <w:r w:rsidRPr="00EC7A8D">
          <w:rPr>
            <w:rStyle w:val="Hyperlink"/>
            <w:rFonts w:ascii="Times New Roman" w:hAnsi="Times New Roman"/>
          </w:rPr>
          <w:t>3.9.2.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34.01 - Size of the derivative business</w:t>
        </w:r>
        <w:r>
          <w:rPr>
            <w:webHidden/>
          </w:rPr>
          <w:tab/>
        </w:r>
        <w:r>
          <w:rPr>
            <w:webHidden/>
          </w:rPr>
          <w:fldChar w:fldCharType="begin"/>
        </w:r>
        <w:r>
          <w:rPr>
            <w:webHidden/>
          </w:rPr>
          <w:instrText xml:space="preserve"> PAGEREF _Toc151714443 \h </w:instrText>
        </w:r>
        <w:r>
          <w:rPr>
            <w:webHidden/>
          </w:rPr>
        </w:r>
        <w:r>
          <w:rPr>
            <w:webHidden/>
          </w:rPr>
          <w:fldChar w:fldCharType="separate"/>
        </w:r>
        <w:r>
          <w:rPr>
            <w:webHidden/>
          </w:rPr>
          <w:t>208</w:t>
        </w:r>
        <w:r>
          <w:rPr>
            <w:webHidden/>
          </w:rPr>
          <w:fldChar w:fldCharType="end"/>
        </w:r>
      </w:hyperlink>
    </w:p>
    <w:p w14:paraId="32421EE4" w14:textId="7D49E7D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4" w:history="1">
        <w:r w:rsidRPr="00EC7A8D">
          <w:rPr>
            <w:rStyle w:val="Hyperlink"/>
            <w:rFonts w:ascii="Times New Roman" w:hAnsi="Times New Roman"/>
          </w:rPr>
          <w:t>3.9.2.1.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_Toc151714444 \h </w:instrText>
        </w:r>
        <w:r>
          <w:rPr>
            <w:webHidden/>
          </w:rPr>
        </w:r>
        <w:r>
          <w:rPr>
            <w:webHidden/>
          </w:rPr>
          <w:fldChar w:fldCharType="separate"/>
        </w:r>
        <w:r>
          <w:rPr>
            <w:webHidden/>
          </w:rPr>
          <w:t>208</w:t>
        </w:r>
        <w:r>
          <w:rPr>
            <w:webHidden/>
          </w:rPr>
          <w:fldChar w:fldCharType="end"/>
        </w:r>
      </w:hyperlink>
    </w:p>
    <w:p w14:paraId="2DA7EBA5" w14:textId="698374D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5" w:history="1">
        <w:r w:rsidRPr="00EC7A8D">
          <w:rPr>
            <w:rStyle w:val="Hyperlink"/>
            <w:rFonts w:ascii="Times New Roman" w:hAnsi="Times New Roman"/>
          </w:rPr>
          <w:t>3.9.2.2.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_Toc151714445 \h </w:instrText>
        </w:r>
        <w:r>
          <w:rPr>
            <w:webHidden/>
          </w:rPr>
        </w:r>
        <w:r>
          <w:rPr>
            <w:webHidden/>
          </w:rPr>
          <w:fldChar w:fldCharType="separate"/>
        </w:r>
        <w:r>
          <w:rPr>
            <w:webHidden/>
          </w:rPr>
          <w:t>208</w:t>
        </w:r>
        <w:r>
          <w:rPr>
            <w:webHidden/>
          </w:rPr>
          <w:fldChar w:fldCharType="end"/>
        </w:r>
      </w:hyperlink>
    </w:p>
    <w:p w14:paraId="1E07D21D" w14:textId="21CED9D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6" w:history="1">
        <w:r w:rsidRPr="00EC7A8D">
          <w:rPr>
            <w:rStyle w:val="Hyperlink"/>
            <w:rFonts w:ascii="Times New Roman" w:hAnsi="Times New Roman"/>
          </w:rPr>
          <w:t>3.9.3.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34.02 - CCR exposures by approach</w:t>
        </w:r>
        <w:r>
          <w:rPr>
            <w:webHidden/>
          </w:rPr>
          <w:tab/>
        </w:r>
        <w:r>
          <w:rPr>
            <w:webHidden/>
          </w:rPr>
          <w:fldChar w:fldCharType="begin"/>
        </w:r>
        <w:r>
          <w:rPr>
            <w:webHidden/>
          </w:rPr>
          <w:instrText xml:space="preserve"> PAGEREF _Toc151714446 \h </w:instrText>
        </w:r>
        <w:r>
          <w:rPr>
            <w:webHidden/>
          </w:rPr>
        </w:r>
        <w:r>
          <w:rPr>
            <w:webHidden/>
          </w:rPr>
          <w:fldChar w:fldCharType="separate"/>
        </w:r>
        <w:r>
          <w:rPr>
            <w:webHidden/>
          </w:rPr>
          <w:t>210</w:t>
        </w:r>
        <w:r>
          <w:rPr>
            <w:webHidden/>
          </w:rPr>
          <w:fldChar w:fldCharType="end"/>
        </w:r>
      </w:hyperlink>
    </w:p>
    <w:p w14:paraId="2D146CB7" w14:textId="442DAD4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7" w:history="1">
        <w:r w:rsidRPr="00EC7A8D">
          <w:rPr>
            <w:rStyle w:val="Hyperlink"/>
            <w:rFonts w:ascii="Times New Roman" w:hAnsi="Times New Roman"/>
          </w:rPr>
          <w:t>3.9.3.1.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_Toc151714447 \h </w:instrText>
        </w:r>
        <w:r>
          <w:rPr>
            <w:webHidden/>
          </w:rPr>
        </w:r>
        <w:r>
          <w:rPr>
            <w:webHidden/>
          </w:rPr>
          <w:fldChar w:fldCharType="separate"/>
        </w:r>
        <w:r>
          <w:rPr>
            <w:webHidden/>
          </w:rPr>
          <w:t>210</w:t>
        </w:r>
        <w:r>
          <w:rPr>
            <w:webHidden/>
          </w:rPr>
          <w:fldChar w:fldCharType="end"/>
        </w:r>
      </w:hyperlink>
    </w:p>
    <w:p w14:paraId="039B7B94" w14:textId="4744B36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8" w:history="1">
        <w:r w:rsidRPr="00EC7A8D">
          <w:rPr>
            <w:rStyle w:val="Hyperlink"/>
            <w:rFonts w:ascii="Times New Roman" w:hAnsi="Times New Roman"/>
          </w:rPr>
          <w:t>3.9.3.2.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_Toc151714448 \h </w:instrText>
        </w:r>
        <w:r>
          <w:rPr>
            <w:webHidden/>
          </w:rPr>
        </w:r>
        <w:r>
          <w:rPr>
            <w:webHidden/>
          </w:rPr>
          <w:fldChar w:fldCharType="separate"/>
        </w:r>
        <w:r>
          <w:rPr>
            <w:webHidden/>
          </w:rPr>
          <w:t>210</w:t>
        </w:r>
        <w:r>
          <w:rPr>
            <w:webHidden/>
          </w:rPr>
          <w:fldChar w:fldCharType="end"/>
        </w:r>
      </w:hyperlink>
    </w:p>
    <w:p w14:paraId="7EE0A119" w14:textId="75A66A7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49" w:history="1">
        <w:r w:rsidRPr="00EC7A8D">
          <w:rPr>
            <w:rStyle w:val="Hyperlink"/>
            <w:rFonts w:ascii="Times New Roman" w:hAnsi="Times New Roman"/>
          </w:rPr>
          <w:t>3.9.4.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34.03 - CCR exposures treated with standardised approaches: SA-CCR and Simplified SA-CCR</w:t>
        </w:r>
        <w:r>
          <w:rPr>
            <w:webHidden/>
          </w:rPr>
          <w:tab/>
        </w:r>
        <w:r>
          <w:rPr>
            <w:webHidden/>
          </w:rPr>
          <w:fldChar w:fldCharType="begin"/>
        </w:r>
        <w:r>
          <w:rPr>
            <w:webHidden/>
          </w:rPr>
          <w:instrText xml:space="preserve"> PAGEREF _Toc151714449 \h </w:instrText>
        </w:r>
        <w:r>
          <w:rPr>
            <w:webHidden/>
          </w:rPr>
        </w:r>
        <w:r>
          <w:rPr>
            <w:webHidden/>
          </w:rPr>
          <w:fldChar w:fldCharType="separate"/>
        </w:r>
        <w:r>
          <w:rPr>
            <w:webHidden/>
          </w:rPr>
          <w:t>217</w:t>
        </w:r>
        <w:r>
          <w:rPr>
            <w:webHidden/>
          </w:rPr>
          <w:fldChar w:fldCharType="end"/>
        </w:r>
      </w:hyperlink>
    </w:p>
    <w:p w14:paraId="0A912F1A" w14:textId="76F177F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0" w:history="1">
        <w:r w:rsidRPr="00EC7A8D">
          <w:rPr>
            <w:rStyle w:val="Hyperlink"/>
            <w:rFonts w:ascii="Times New Roman" w:hAnsi="Times New Roman"/>
          </w:rPr>
          <w:t>3.9.4.1.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_Toc151714450 \h </w:instrText>
        </w:r>
        <w:r>
          <w:rPr>
            <w:webHidden/>
          </w:rPr>
        </w:r>
        <w:r>
          <w:rPr>
            <w:webHidden/>
          </w:rPr>
          <w:fldChar w:fldCharType="separate"/>
        </w:r>
        <w:r>
          <w:rPr>
            <w:webHidden/>
          </w:rPr>
          <w:t>217</w:t>
        </w:r>
        <w:r>
          <w:rPr>
            <w:webHidden/>
          </w:rPr>
          <w:fldChar w:fldCharType="end"/>
        </w:r>
      </w:hyperlink>
    </w:p>
    <w:p w14:paraId="7EC8A506" w14:textId="096A56E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1" w:history="1">
        <w:r w:rsidRPr="00EC7A8D">
          <w:rPr>
            <w:rStyle w:val="Hyperlink"/>
            <w:rFonts w:ascii="Times New Roman" w:hAnsi="Times New Roman"/>
          </w:rPr>
          <w:t>3.9.4.2.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_Toc151714451 \h </w:instrText>
        </w:r>
        <w:r>
          <w:rPr>
            <w:webHidden/>
          </w:rPr>
        </w:r>
        <w:r>
          <w:rPr>
            <w:webHidden/>
          </w:rPr>
          <w:fldChar w:fldCharType="separate"/>
        </w:r>
        <w:r>
          <w:rPr>
            <w:webHidden/>
          </w:rPr>
          <w:t>217</w:t>
        </w:r>
        <w:r>
          <w:rPr>
            <w:webHidden/>
          </w:rPr>
          <w:fldChar w:fldCharType="end"/>
        </w:r>
      </w:hyperlink>
    </w:p>
    <w:p w14:paraId="726FDA4D" w14:textId="693D6E2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2" w:history="1">
        <w:r w:rsidRPr="00EC7A8D">
          <w:rPr>
            <w:rStyle w:val="Hyperlink"/>
            <w:rFonts w:ascii="Times New Roman" w:hAnsi="Times New Roman"/>
          </w:rPr>
          <w:t>3.9.5.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34.04 - CCR exposures treated with the Original Exposure Method (OEM)</w:t>
        </w:r>
        <w:r>
          <w:rPr>
            <w:webHidden/>
          </w:rPr>
          <w:tab/>
        </w:r>
        <w:r>
          <w:rPr>
            <w:webHidden/>
          </w:rPr>
          <w:fldChar w:fldCharType="begin"/>
        </w:r>
        <w:r>
          <w:rPr>
            <w:webHidden/>
          </w:rPr>
          <w:instrText xml:space="preserve"> PAGEREF _Toc151714452 \h </w:instrText>
        </w:r>
        <w:r>
          <w:rPr>
            <w:webHidden/>
          </w:rPr>
        </w:r>
        <w:r>
          <w:rPr>
            <w:webHidden/>
          </w:rPr>
          <w:fldChar w:fldCharType="separate"/>
        </w:r>
        <w:r>
          <w:rPr>
            <w:webHidden/>
          </w:rPr>
          <w:t>220</w:t>
        </w:r>
        <w:r>
          <w:rPr>
            <w:webHidden/>
          </w:rPr>
          <w:fldChar w:fldCharType="end"/>
        </w:r>
      </w:hyperlink>
    </w:p>
    <w:p w14:paraId="4816B761" w14:textId="7661A51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3" w:history="1">
        <w:r w:rsidRPr="00EC7A8D">
          <w:rPr>
            <w:rStyle w:val="Hyperlink"/>
            <w:rFonts w:ascii="Times New Roman" w:hAnsi="Times New Roman"/>
          </w:rPr>
          <w:t>3.9.5.1.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_Toc151714453 \h </w:instrText>
        </w:r>
        <w:r>
          <w:rPr>
            <w:webHidden/>
          </w:rPr>
        </w:r>
        <w:r>
          <w:rPr>
            <w:webHidden/>
          </w:rPr>
          <w:fldChar w:fldCharType="separate"/>
        </w:r>
        <w:r>
          <w:rPr>
            <w:webHidden/>
          </w:rPr>
          <w:t>220</w:t>
        </w:r>
        <w:r>
          <w:rPr>
            <w:webHidden/>
          </w:rPr>
          <w:fldChar w:fldCharType="end"/>
        </w:r>
      </w:hyperlink>
    </w:p>
    <w:p w14:paraId="2A85E45F" w14:textId="43F9350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4" w:history="1">
        <w:r w:rsidRPr="00EC7A8D">
          <w:rPr>
            <w:rStyle w:val="Hyperlink"/>
            <w:rFonts w:ascii="Times New Roman" w:hAnsi="Times New Roman"/>
          </w:rPr>
          <w:t>3.9.6.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34.05 – CCR exposures treated with the Internal Model Method (IMM)</w:t>
        </w:r>
        <w:r>
          <w:rPr>
            <w:webHidden/>
          </w:rPr>
          <w:tab/>
        </w:r>
        <w:r>
          <w:rPr>
            <w:webHidden/>
          </w:rPr>
          <w:fldChar w:fldCharType="begin"/>
        </w:r>
        <w:r>
          <w:rPr>
            <w:webHidden/>
          </w:rPr>
          <w:instrText xml:space="preserve"> PAGEREF _Toc151714454 \h </w:instrText>
        </w:r>
        <w:r>
          <w:rPr>
            <w:webHidden/>
          </w:rPr>
        </w:r>
        <w:r>
          <w:rPr>
            <w:webHidden/>
          </w:rPr>
          <w:fldChar w:fldCharType="separate"/>
        </w:r>
        <w:r>
          <w:rPr>
            <w:webHidden/>
          </w:rPr>
          <w:t>220</w:t>
        </w:r>
        <w:r>
          <w:rPr>
            <w:webHidden/>
          </w:rPr>
          <w:fldChar w:fldCharType="end"/>
        </w:r>
      </w:hyperlink>
    </w:p>
    <w:p w14:paraId="6D96EC12" w14:textId="308657B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5" w:history="1">
        <w:r w:rsidRPr="00EC7A8D">
          <w:rPr>
            <w:rStyle w:val="Hyperlink"/>
            <w:rFonts w:ascii="Times New Roman" w:hAnsi="Times New Roman"/>
          </w:rPr>
          <w:t>3.9.6.1.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_Toc151714455 \h </w:instrText>
        </w:r>
        <w:r>
          <w:rPr>
            <w:webHidden/>
          </w:rPr>
        </w:r>
        <w:r>
          <w:rPr>
            <w:webHidden/>
          </w:rPr>
          <w:fldChar w:fldCharType="separate"/>
        </w:r>
        <w:r>
          <w:rPr>
            <w:webHidden/>
          </w:rPr>
          <w:t>220</w:t>
        </w:r>
        <w:r>
          <w:rPr>
            <w:webHidden/>
          </w:rPr>
          <w:fldChar w:fldCharType="end"/>
        </w:r>
      </w:hyperlink>
    </w:p>
    <w:p w14:paraId="51EB6D64" w14:textId="2C80D3A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6" w:history="1">
        <w:r w:rsidRPr="00EC7A8D">
          <w:rPr>
            <w:rStyle w:val="Hyperlink"/>
            <w:rFonts w:ascii="Times New Roman" w:hAnsi="Times New Roman"/>
          </w:rPr>
          <w:t>3.9.7.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34.06 – Top twenty counterparties</w:t>
        </w:r>
        <w:r>
          <w:rPr>
            <w:webHidden/>
          </w:rPr>
          <w:tab/>
        </w:r>
        <w:r>
          <w:rPr>
            <w:webHidden/>
          </w:rPr>
          <w:fldChar w:fldCharType="begin"/>
        </w:r>
        <w:r>
          <w:rPr>
            <w:webHidden/>
          </w:rPr>
          <w:instrText xml:space="preserve"> PAGEREF _Toc151714456 \h </w:instrText>
        </w:r>
        <w:r>
          <w:rPr>
            <w:webHidden/>
          </w:rPr>
        </w:r>
        <w:r>
          <w:rPr>
            <w:webHidden/>
          </w:rPr>
          <w:fldChar w:fldCharType="separate"/>
        </w:r>
        <w:r>
          <w:rPr>
            <w:webHidden/>
          </w:rPr>
          <w:t>222</w:t>
        </w:r>
        <w:r>
          <w:rPr>
            <w:webHidden/>
          </w:rPr>
          <w:fldChar w:fldCharType="end"/>
        </w:r>
      </w:hyperlink>
    </w:p>
    <w:p w14:paraId="4FD08319" w14:textId="019A244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7" w:history="1">
        <w:r w:rsidRPr="00EC7A8D">
          <w:rPr>
            <w:rStyle w:val="Hyperlink"/>
            <w:rFonts w:ascii="Times New Roman" w:hAnsi="Times New Roman"/>
          </w:rPr>
          <w:t>3.9.7.1.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_Toc151714457 \h </w:instrText>
        </w:r>
        <w:r>
          <w:rPr>
            <w:webHidden/>
          </w:rPr>
        </w:r>
        <w:r>
          <w:rPr>
            <w:webHidden/>
          </w:rPr>
          <w:fldChar w:fldCharType="separate"/>
        </w:r>
        <w:r>
          <w:rPr>
            <w:webHidden/>
          </w:rPr>
          <w:t>222</w:t>
        </w:r>
        <w:r>
          <w:rPr>
            <w:webHidden/>
          </w:rPr>
          <w:fldChar w:fldCharType="end"/>
        </w:r>
      </w:hyperlink>
    </w:p>
    <w:p w14:paraId="0D4233E5" w14:textId="5DD4C1F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8" w:history="1">
        <w:r w:rsidRPr="00EC7A8D">
          <w:rPr>
            <w:rStyle w:val="Hyperlink"/>
            <w:rFonts w:ascii="Times New Roman" w:hAnsi="Times New Roman"/>
          </w:rPr>
          <w:t>3.9.7.2.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_Toc151714458 \h </w:instrText>
        </w:r>
        <w:r>
          <w:rPr>
            <w:webHidden/>
          </w:rPr>
        </w:r>
        <w:r>
          <w:rPr>
            <w:webHidden/>
          </w:rPr>
          <w:fldChar w:fldCharType="separate"/>
        </w:r>
        <w:r>
          <w:rPr>
            <w:webHidden/>
          </w:rPr>
          <w:t>223</w:t>
        </w:r>
        <w:r>
          <w:rPr>
            <w:webHidden/>
          </w:rPr>
          <w:fldChar w:fldCharType="end"/>
        </w:r>
      </w:hyperlink>
    </w:p>
    <w:p w14:paraId="3FCD9B8D" w14:textId="4B9E1F6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59" w:history="1">
        <w:r w:rsidRPr="00EC7A8D">
          <w:rPr>
            <w:rStyle w:val="Hyperlink"/>
            <w:rFonts w:ascii="Times New Roman" w:hAnsi="Times New Roman"/>
          </w:rPr>
          <w:t>3.9.8.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34.07 - IRB approach – CCR exposures by exposure class and PD scale</w:t>
        </w:r>
        <w:r>
          <w:rPr>
            <w:webHidden/>
          </w:rPr>
          <w:tab/>
        </w:r>
        <w:r>
          <w:rPr>
            <w:webHidden/>
          </w:rPr>
          <w:fldChar w:fldCharType="begin"/>
        </w:r>
        <w:r>
          <w:rPr>
            <w:webHidden/>
          </w:rPr>
          <w:instrText xml:space="preserve"> PAGEREF _Toc151714459 \h </w:instrText>
        </w:r>
        <w:r>
          <w:rPr>
            <w:webHidden/>
          </w:rPr>
        </w:r>
        <w:r>
          <w:rPr>
            <w:webHidden/>
          </w:rPr>
          <w:fldChar w:fldCharType="separate"/>
        </w:r>
        <w:r>
          <w:rPr>
            <w:webHidden/>
          </w:rPr>
          <w:t>224</w:t>
        </w:r>
        <w:r>
          <w:rPr>
            <w:webHidden/>
          </w:rPr>
          <w:fldChar w:fldCharType="end"/>
        </w:r>
      </w:hyperlink>
    </w:p>
    <w:p w14:paraId="4DD55560" w14:textId="3CB25DA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0" w:history="1">
        <w:r w:rsidRPr="00EC7A8D">
          <w:rPr>
            <w:rStyle w:val="Hyperlink"/>
            <w:rFonts w:ascii="Times New Roman" w:hAnsi="Times New Roman"/>
          </w:rPr>
          <w:t>3.9.8.1.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_Toc151714460 \h </w:instrText>
        </w:r>
        <w:r>
          <w:rPr>
            <w:webHidden/>
          </w:rPr>
        </w:r>
        <w:r>
          <w:rPr>
            <w:webHidden/>
          </w:rPr>
          <w:fldChar w:fldCharType="separate"/>
        </w:r>
        <w:r>
          <w:rPr>
            <w:webHidden/>
          </w:rPr>
          <w:t>224</w:t>
        </w:r>
        <w:r>
          <w:rPr>
            <w:webHidden/>
          </w:rPr>
          <w:fldChar w:fldCharType="end"/>
        </w:r>
      </w:hyperlink>
    </w:p>
    <w:p w14:paraId="0C3925F6" w14:textId="27044AC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1" w:history="1">
        <w:r w:rsidRPr="00EC7A8D">
          <w:rPr>
            <w:rStyle w:val="Hyperlink"/>
            <w:rFonts w:ascii="Times New Roman" w:hAnsi="Times New Roman"/>
          </w:rPr>
          <w:t>3.9.8.2.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_Toc151714461 \h </w:instrText>
        </w:r>
        <w:r>
          <w:rPr>
            <w:webHidden/>
          </w:rPr>
        </w:r>
        <w:r>
          <w:rPr>
            <w:webHidden/>
          </w:rPr>
          <w:fldChar w:fldCharType="separate"/>
        </w:r>
        <w:r>
          <w:rPr>
            <w:webHidden/>
          </w:rPr>
          <w:t>225</w:t>
        </w:r>
        <w:r>
          <w:rPr>
            <w:webHidden/>
          </w:rPr>
          <w:fldChar w:fldCharType="end"/>
        </w:r>
      </w:hyperlink>
    </w:p>
    <w:p w14:paraId="0771F8EE" w14:textId="01359B4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2" w:history="1">
        <w:r w:rsidRPr="00EC7A8D">
          <w:rPr>
            <w:rStyle w:val="Hyperlink"/>
            <w:rFonts w:ascii="Times New Roman" w:hAnsi="Times New Roman"/>
          </w:rPr>
          <w:t>3.9.9.</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34.08 - Composition of collateral for CCR exposures</w:t>
        </w:r>
        <w:r>
          <w:rPr>
            <w:webHidden/>
          </w:rPr>
          <w:tab/>
        </w:r>
        <w:r>
          <w:rPr>
            <w:webHidden/>
          </w:rPr>
          <w:fldChar w:fldCharType="begin"/>
        </w:r>
        <w:r>
          <w:rPr>
            <w:webHidden/>
          </w:rPr>
          <w:instrText xml:space="preserve"> PAGEREF _Toc151714462 \h </w:instrText>
        </w:r>
        <w:r>
          <w:rPr>
            <w:webHidden/>
          </w:rPr>
        </w:r>
        <w:r>
          <w:rPr>
            <w:webHidden/>
          </w:rPr>
          <w:fldChar w:fldCharType="separate"/>
        </w:r>
        <w:r>
          <w:rPr>
            <w:webHidden/>
          </w:rPr>
          <w:t>227</w:t>
        </w:r>
        <w:r>
          <w:rPr>
            <w:webHidden/>
          </w:rPr>
          <w:fldChar w:fldCharType="end"/>
        </w:r>
      </w:hyperlink>
    </w:p>
    <w:p w14:paraId="3A677C88" w14:textId="13FB429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3" w:history="1">
        <w:r w:rsidRPr="00EC7A8D">
          <w:rPr>
            <w:rStyle w:val="Hyperlink"/>
            <w:rFonts w:ascii="Times New Roman" w:hAnsi="Times New Roman"/>
          </w:rPr>
          <w:t>3.9.9.1.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_Toc151714463 \h </w:instrText>
        </w:r>
        <w:r>
          <w:rPr>
            <w:webHidden/>
          </w:rPr>
        </w:r>
        <w:r>
          <w:rPr>
            <w:webHidden/>
          </w:rPr>
          <w:fldChar w:fldCharType="separate"/>
        </w:r>
        <w:r>
          <w:rPr>
            <w:webHidden/>
          </w:rPr>
          <w:t>227</w:t>
        </w:r>
        <w:r>
          <w:rPr>
            <w:webHidden/>
          </w:rPr>
          <w:fldChar w:fldCharType="end"/>
        </w:r>
      </w:hyperlink>
    </w:p>
    <w:p w14:paraId="2F213E7B" w14:textId="7B11E17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4" w:history="1">
        <w:r w:rsidRPr="00EC7A8D">
          <w:rPr>
            <w:rStyle w:val="Hyperlink"/>
            <w:rFonts w:ascii="Times New Roman" w:hAnsi="Times New Roman"/>
          </w:rPr>
          <w:t>3.9.9.2.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_Toc151714464 \h </w:instrText>
        </w:r>
        <w:r>
          <w:rPr>
            <w:webHidden/>
          </w:rPr>
        </w:r>
        <w:r>
          <w:rPr>
            <w:webHidden/>
          </w:rPr>
          <w:fldChar w:fldCharType="separate"/>
        </w:r>
        <w:r>
          <w:rPr>
            <w:webHidden/>
          </w:rPr>
          <w:t>227</w:t>
        </w:r>
        <w:r>
          <w:rPr>
            <w:webHidden/>
          </w:rPr>
          <w:fldChar w:fldCharType="end"/>
        </w:r>
      </w:hyperlink>
    </w:p>
    <w:p w14:paraId="2966BCB1" w14:textId="0FD2A25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5" w:history="1">
        <w:r w:rsidRPr="00EC7A8D">
          <w:rPr>
            <w:rStyle w:val="Hyperlink"/>
            <w:rFonts w:ascii="Times New Roman" w:hAnsi="Times New Roman"/>
          </w:rPr>
          <w:t>3.9.10.</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34.09 - Credit derivatives exposures</w:t>
        </w:r>
        <w:r>
          <w:rPr>
            <w:webHidden/>
          </w:rPr>
          <w:tab/>
        </w:r>
        <w:r>
          <w:rPr>
            <w:webHidden/>
          </w:rPr>
          <w:fldChar w:fldCharType="begin"/>
        </w:r>
        <w:r>
          <w:rPr>
            <w:webHidden/>
          </w:rPr>
          <w:instrText xml:space="preserve"> PAGEREF _Toc151714465 \h </w:instrText>
        </w:r>
        <w:r>
          <w:rPr>
            <w:webHidden/>
          </w:rPr>
        </w:r>
        <w:r>
          <w:rPr>
            <w:webHidden/>
          </w:rPr>
          <w:fldChar w:fldCharType="separate"/>
        </w:r>
        <w:r>
          <w:rPr>
            <w:webHidden/>
          </w:rPr>
          <w:t>228</w:t>
        </w:r>
        <w:r>
          <w:rPr>
            <w:webHidden/>
          </w:rPr>
          <w:fldChar w:fldCharType="end"/>
        </w:r>
      </w:hyperlink>
    </w:p>
    <w:p w14:paraId="65619B21" w14:textId="2D1796D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6" w:history="1">
        <w:r w:rsidRPr="00EC7A8D">
          <w:rPr>
            <w:rStyle w:val="Hyperlink"/>
            <w:rFonts w:ascii="Times New Roman" w:hAnsi="Times New Roman"/>
          </w:rPr>
          <w:t>3.9.10.1.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_Toc151714466 \h </w:instrText>
        </w:r>
        <w:r>
          <w:rPr>
            <w:webHidden/>
          </w:rPr>
        </w:r>
        <w:r>
          <w:rPr>
            <w:webHidden/>
          </w:rPr>
          <w:fldChar w:fldCharType="separate"/>
        </w:r>
        <w:r>
          <w:rPr>
            <w:webHidden/>
          </w:rPr>
          <w:t>228</w:t>
        </w:r>
        <w:r>
          <w:rPr>
            <w:webHidden/>
          </w:rPr>
          <w:fldChar w:fldCharType="end"/>
        </w:r>
      </w:hyperlink>
    </w:p>
    <w:p w14:paraId="6C89301B" w14:textId="7904BE2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7" w:history="1">
        <w:r w:rsidRPr="00EC7A8D">
          <w:rPr>
            <w:rStyle w:val="Hyperlink"/>
            <w:rFonts w:ascii="Times New Roman" w:hAnsi="Times New Roman"/>
          </w:rPr>
          <w:t>3.9.11.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34.10 - Exposures to CCPs</w:t>
        </w:r>
        <w:r>
          <w:rPr>
            <w:webHidden/>
          </w:rPr>
          <w:tab/>
        </w:r>
        <w:r>
          <w:rPr>
            <w:webHidden/>
          </w:rPr>
          <w:fldChar w:fldCharType="begin"/>
        </w:r>
        <w:r>
          <w:rPr>
            <w:webHidden/>
          </w:rPr>
          <w:instrText xml:space="preserve"> PAGEREF _Toc151714467 \h </w:instrText>
        </w:r>
        <w:r>
          <w:rPr>
            <w:webHidden/>
          </w:rPr>
        </w:r>
        <w:r>
          <w:rPr>
            <w:webHidden/>
          </w:rPr>
          <w:fldChar w:fldCharType="separate"/>
        </w:r>
        <w:r>
          <w:rPr>
            <w:webHidden/>
          </w:rPr>
          <w:t>229</w:t>
        </w:r>
        <w:r>
          <w:rPr>
            <w:webHidden/>
          </w:rPr>
          <w:fldChar w:fldCharType="end"/>
        </w:r>
      </w:hyperlink>
    </w:p>
    <w:p w14:paraId="660763F5" w14:textId="4C1A6F0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8" w:history="1">
        <w:r w:rsidRPr="00EC7A8D">
          <w:rPr>
            <w:rStyle w:val="Hyperlink"/>
            <w:rFonts w:ascii="Times New Roman" w:hAnsi="Times New Roman"/>
          </w:rPr>
          <w:t>3.9.11.1.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_Toc151714468 \h </w:instrText>
        </w:r>
        <w:r>
          <w:rPr>
            <w:webHidden/>
          </w:rPr>
        </w:r>
        <w:r>
          <w:rPr>
            <w:webHidden/>
          </w:rPr>
          <w:fldChar w:fldCharType="separate"/>
        </w:r>
        <w:r>
          <w:rPr>
            <w:webHidden/>
          </w:rPr>
          <w:t>229</w:t>
        </w:r>
        <w:r>
          <w:rPr>
            <w:webHidden/>
          </w:rPr>
          <w:fldChar w:fldCharType="end"/>
        </w:r>
      </w:hyperlink>
    </w:p>
    <w:p w14:paraId="44929A6D" w14:textId="06A2B1C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69" w:history="1">
        <w:r w:rsidRPr="00EC7A8D">
          <w:rPr>
            <w:rStyle w:val="Hyperlink"/>
            <w:rFonts w:ascii="Times New Roman" w:hAnsi="Times New Roman"/>
          </w:rPr>
          <w:t>3.9.11.2.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_Toc151714469 \h </w:instrText>
        </w:r>
        <w:r>
          <w:rPr>
            <w:webHidden/>
          </w:rPr>
        </w:r>
        <w:r>
          <w:rPr>
            <w:webHidden/>
          </w:rPr>
          <w:fldChar w:fldCharType="separate"/>
        </w:r>
        <w:r>
          <w:rPr>
            <w:webHidden/>
          </w:rPr>
          <w:t>229</w:t>
        </w:r>
        <w:r>
          <w:rPr>
            <w:webHidden/>
          </w:rPr>
          <w:fldChar w:fldCharType="end"/>
        </w:r>
      </w:hyperlink>
    </w:p>
    <w:p w14:paraId="473B1B11" w14:textId="5EBE0BE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0" w:history="1">
        <w:r w:rsidRPr="00EC7A8D">
          <w:rPr>
            <w:rStyle w:val="Hyperlink"/>
            <w:rFonts w:ascii="Times New Roman" w:hAnsi="Times New Roman"/>
          </w:rPr>
          <w:t>3.9.12.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34.11 - Risk weighted exposure amounts (RWEA) flow statements of CCR exposures under the IMM</w:t>
        </w:r>
        <w:r>
          <w:rPr>
            <w:webHidden/>
          </w:rPr>
          <w:tab/>
        </w:r>
        <w:r>
          <w:rPr>
            <w:webHidden/>
          </w:rPr>
          <w:fldChar w:fldCharType="begin"/>
        </w:r>
        <w:r>
          <w:rPr>
            <w:webHidden/>
          </w:rPr>
          <w:instrText xml:space="preserve"> PAGEREF _Toc151714470 \h </w:instrText>
        </w:r>
        <w:r>
          <w:rPr>
            <w:webHidden/>
          </w:rPr>
        </w:r>
        <w:r>
          <w:rPr>
            <w:webHidden/>
          </w:rPr>
          <w:fldChar w:fldCharType="separate"/>
        </w:r>
        <w:r>
          <w:rPr>
            <w:webHidden/>
          </w:rPr>
          <w:t>230</w:t>
        </w:r>
        <w:r>
          <w:rPr>
            <w:webHidden/>
          </w:rPr>
          <w:fldChar w:fldCharType="end"/>
        </w:r>
      </w:hyperlink>
    </w:p>
    <w:p w14:paraId="418A425A" w14:textId="1640D42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1" w:history="1">
        <w:r w:rsidRPr="00EC7A8D">
          <w:rPr>
            <w:rStyle w:val="Hyperlink"/>
            <w:rFonts w:ascii="Times New Roman" w:hAnsi="Times New Roman"/>
          </w:rPr>
          <w:t>3.9.12.1.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_Toc151714471 \h </w:instrText>
        </w:r>
        <w:r>
          <w:rPr>
            <w:webHidden/>
          </w:rPr>
        </w:r>
        <w:r>
          <w:rPr>
            <w:webHidden/>
          </w:rPr>
          <w:fldChar w:fldCharType="separate"/>
        </w:r>
        <w:r>
          <w:rPr>
            <w:webHidden/>
          </w:rPr>
          <w:t>230</w:t>
        </w:r>
        <w:r>
          <w:rPr>
            <w:webHidden/>
          </w:rPr>
          <w:fldChar w:fldCharType="end"/>
        </w:r>
      </w:hyperlink>
    </w:p>
    <w:p w14:paraId="7020551A" w14:textId="0A20F87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2" w:history="1">
        <w:r w:rsidRPr="00EC7A8D">
          <w:rPr>
            <w:rStyle w:val="Hyperlink"/>
            <w:rFonts w:ascii="Times New Roman" w:hAnsi="Times New Roman"/>
          </w:rPr>
          <w:t>3.9.12.2.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_Toc151714472 \h </w:instrText>
        </w:r>
        <w:r>
          <w:rPr>
            <w:webHidden/>
          </w:rPr>
        </w:r>
        <w:r>
          <w:rPr>
            <w:webHidden/>
          </w:rPr>
          <w:fldChar w:fldCharType="separate"/>
        </w:r>
        <w:r>
          <w:rPr>
            <w:webHidden/>
          </w:rPr>
          <w:t>230</w:t>
        </w:r>
        <w:r>
          <w:rPr>
            <w:webHidden/>
          </w:rPr>
          <w:fldChar w:fldCharType="end"/>
        </w:r>
      </w:hyperlink>
    </w:p>
    <w:p w14:paraId="236DC18E" w14:textId="4B00310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3" w:history="1">
        <w:r w:rsidRPr="00EC7A8D">
          <w:rPr>
            <w:rStyle w:val="Hyperlink"/>
            <w:rFonts w:ascii="Times New Roman" w:hAnsi="Times New Roman"/>
          </w:rPr>
          <w:t>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Operational Risk Templates</w:t>
        </w:r>
        <w:r>
          <w:rPr>
            <w:webHidden/>
          </w:rPr>
          <w:tab/>
        </w:r>
        <w:r>
          <w:rPr>
            <w:webHidden/>
          </w:rPr>
          <w:fldChar w:fldCharType="begin"/>
        </w:r>
        <w:r>
          <w:rPr>
            <w:webHidden/>
          </w:rPr>
          <w:instrText xml:space="preserve"> PAGEREF _Toc151714473 \h </w:instrText>
        </w:r>
        <w:r>
          <w:rPr>
            <w:webHidden/>
          </w:rPr>
        </w:r>
        <w:r>
          <w:rPr>
            <w:webHidden/>
          </w:rPr>
          <w:fldChar w:fldCharType="separate"/>
        </w:r>
        <w:r>
          <w:rPr>
            <w:webHidden/>
          </w:rPr>
          <w:t>232</w:t>
        </w:r>
        <w:r>
          <w:rPr>
            <w:webHidden/>
          </w:rPr>
          <w:fldChar w:fldCharType="end"/>
        </w:r>
      </w:hyperlink>
    </w:p>
    <w:p w14:paraId="44A728D8" w14:textId="6CBAC65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4" w:history="1">
        <w:r w:rsidRPr="00EC7A8D">
          <w:rPr>
            <w:rStyle w:val="Hyperlink"/>
            <w:rFonts w:ascii="Times New Roman" w:hAnsi="Times New Roman"/>
          </w:rPr>
          <w:t>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 xml:space="preserve"> C 16.00 – Operational Risk (OPR)</w:t>
        </w:r>
        <w:r>
          <w:rPr>
            <w:webHidden/>
          </w:rPr>
          <w:tab/>
        </w:r>
        <w:r>
          <w:rPr>
            <w:webHidden/>
          </w:rPr>
          <w:fldChar w:fldCharType="begin"/>
        </w:r>
        <w:r>
          <w:rPr>
            <w:webHidden/>
          </w:rPr>
          <w:instrText xml:space="preserve"> PAGEREF _Toc151714474 \h </w:instrText>
        </w:r>
        <w:r>
          <w:rPr>
            <w:webHidden/>
          </w:rPr>
        </w:r>
        <w:r>
          <w:rPr>
            <w:webHidden/>
          </w:rPr>
          <w:fldChar w:fldCharType="separate"/>
        </w:r>
        <w:r>
          <w:rPr>
            <w:webHidden/>
          </w:rPr>
          <w:t>232</w:t>
        </w:r>
        <w:r>
          <w:rPr>
            <w:webHidden/>
          </w:rPr>
          <w:fldChar w:fldCharType="end"/>
        </w:r>
      </w:hyperlink>
    </w:p>
    <w:p w14:paraId="5BD6D284" w14:textId="3D5F673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5" w:history="1">
        <w:r w:rsidRPr="00EC7A8D">
          <w:rPr>
            <w:rStyle w:val="Hyperlink"/>
            <w:rFonts w:ascii="Times New Roman" w:hAnsi="Times New Roman"/>
          </w:rPr>
          <w:t>4.1.1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_Toc151714475 \h </w:instrText>
        </w:r>
        <w:r>
          <w:rPr>
            <w:webHidden/>
          </w:rPr>
        </w:r>
        <w:r>
          <w:rPr>
            <w:webHidden/>
          </w:rPr>
          <w:fldChar w:fldCharType="separate"/>
        </w:r>
        <w:r>
          <w:rPr>
            <w:webHidden/>
          </w:rPr>
          <w:t>232</w:t>
        </w:r>
        <w:r>
          <w:rPr>
            <w:webHidden/>
          </w:rPr>
          <w:fldChar w:fldCharType="end"/>
        </w:r>
      </w:hyperlink>
    </w:p>
    <w:p w14:paraId="5B56E8F2" w14:textId="71300EB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6" w:history="1">
        <w:r w:rsidRPr="00EC7A8D">
          <w:rPr>
            <w:rStyle w:val="Hyperlink"/>
            <w:rFonts w:ascii="Times New Roman" w:hAnsi="Times New Roman"/>
          </w:rPr>
          <w:t>4.1.2.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_Toc151714476 \h </w:instrText>
        </w:r>
        <w:r>
          <w:rPr>
            <w:webHidden/>
          </w:rPr>
        </w:r>
        <w:r>
          <w:rPr>
            <w:webHidden/>
          </w:rPr>
          <w:fldChar w:fldCharType="separate"/>
        </w:r>
        <w:r>
          <w:rPr>
            <w:webHidden/>
          </w:rPr>
          <w:t>233</w:t>
        </w:r>
        <w:r>
          <w:rPr>
            <w:webHidden/>
          </w:rPr>
          <w:fldChar w:fldCharType="end"/>
        </w:r>
      </w:hyperlink>
    </w:p>
    <w:p w14:paraId="30336155" w14:textId="2F0CD26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7" w:history="1">
        <w:r w:rsidRPr="00EC7A8D">
          <w:rPr>
            <w:rStyle w:val="Hyperlink"/>
            <w:rFonts w:ascii="Times New Roman" w:hAnsi="Times New Roman"/>
          </w:rPr>
          <w:t>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Operational Risk: Detailed information on losses in the last year (OPR DETAILS)</w:t>
        </w:r>
        <w:r>
          <w:rPr>
            <w:webHidden/>
          </w:rPr>
          <w:tab/>
        </w:r>
        <w:r>
          <w:rPr>
            <w:webHidden/>
          </w:rPr>
          <w:fldChar w:fldCharType="begin"/>
        </w:r>
        <w:r>
          <w:rPr>
            <w:webHidden/>
          </w:rPr>
          <w:instrText xml:space="preserve"> PAGEREF _Toc151714477 \h </w:instrText>
        </w:r>
        <w:r>
          <w:rPr>
            <w:webHidden/>
          </w:rPr>
        </w:r>
        <w:r>
          <w:rPr>
            <w:webHidden/>
          </w:rPr>
          <w:fldChar w:fldCharType="separate"/>
        </w:r>
        <w:r>
          <w:rPr>
            <w:webHidden/>
          </w:rPr>
          <w:t>236</w:t>
        </w:r>
        <w:r>
          <w:rPr>
            <w:webHidden/>
          </w:rPr>
          <w:fldChar w:fldCharType="end"/>
        </w:r>
      </w:hyperlink>
    </w:p>
    <w:p w14:paraId="3E29D66A" w14:textId="082E2E1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8" w:history="1">
        <w:r w:rsidRPr="00EC7A8D">
          <w:rPr>
            <w:rStyle w:val="Hyperlink"/>
            <w:rFonts w:ascii="Times New Roman" w:hAnsi="Times New Roman"/>
          </w:rPr>
          <w:t>4.2.1.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_Toc151714478 \h </w:instrText>
        </w:r>
        <w:r>
          <w:rPr>
            <w:webHidden/>
          </w:rPr>
        </w:r>
        <w:r>
          <w:rPr>
            <w:webHidden/>
          </w:rPr>
          <w:fldChar w:fldCharType="separate"/>
        </w:r>
        <w:r>
          <w:rPr>
            <w:webHidden/>
          </w:rPr>
          <w:t>236</w:t>
        </w:r>
        <w:r>
          <w:rPr>
            <w:webHidden/>
          </w:rPr>
          <w:fldChar w:fldCharType="end"/>
        </w:r>
      </w:hyperlink>
    </w:p>
    <w:p w14:paraId="661386DC" w14:textId="4760D51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79" w:history="1">
        <w:r w:rsidRPr="00EC7A8D">
          <w:rPr>
            <w:rStyle w:val="Hyperlink"/>
            <w:rFonts w:ascii="Times New Roman" w:hAnsi="Times New Roman"/>
          </w:rPr>
          <w:t>4.2.2.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17.01: Operational risk losses and recoveries by business lines and loss event types in the last year (OPR DETAILS 1)</w:t>
        </w:r>
        <w:r>
          <w:rPr>
            <w:webHidden/>
          </w:rPr>
          <w:tab/>
        </w:r>
        <w:r>
          <w:rPr>
            <w:webHidden/>
          </w:rPr>
          <w:fldChar w:fldCharType="begin"/>
        </w:r>
        <w:r>
          <w:rPr>
            <w:webHidden/>
          </w:rPr>
          <w:instrText xml:space="preserve"> PAGEREF _Toc151714479 \h </w:instrText>
        </w:r>
        <w:r>
          <w:rPr>
            <w:webHidden/>
          </w:rPr>
        </w:r>
        <w:r>
          <w:rPr>
            <w:webHidden/>
          </w:rPr>
          <w:fldChar w:fldCharType="separate"/>
        </w:r>
        <w:r>
          <w:rPr>
            <w:webHidden/>
          </w:rPr>
          <w:t>237</w:t>
        </w:r>
        <w:r>
          <w:rPr>
            <w:webHidden/>
          </w:rPr>
          <w:fldChar w:fldCharType="end"/>
        </w:r>
      </w:hyperlink>
    </w:p>
    <w:p w14:paraId="16298469" w14:textId="10B556B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0" w:history="1">
        <w:r w:rsidRPr="00EC7A8D">
          <w:rPr>
            <w:rStyle w:val="Hyperlink"/>
            <w:rFonts w:ascii="Times New Roman" w:hAnsi="Times New Roman"/>
          </w:rPr>
          <w:t>4.2.2.1.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_Toc151714480 \h </w:instrText>
        </w:r>
        <w:r>
          <w:rPr>
            <w:webHidden/>
          </w:rPr>
        </w:r>
        <w:r>
          <w:rPr>
            <w:webHidden/>
          </w:rPr>
          <w:fldChar w:fldCharType="separate"/>
        </w:r>
        <w:r>
          <w:rPr>
            <w:webHidden/>
          </w:rPr>
          <w:t>237</w:t>
        </w:r>
        <w:r>
          <w:rPr>
            <w:webHidden/>
          </w:rPr>
          <w:fldChar w:fldCharType="end"/>
        </w:r>
      </w:hyperlink>
    </w:p>
    <w:p w14:paraId="51C9657E" w14:textId="396B88C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1" w:history="1">
        <w:r w:rsidRPr="00EC7A8D">
          <w:rPr>
            <w:rStyle w:val="Hyperlink"/>
            <w:rFonts w:ascii="Times New Roman" w:hAnsi="Times New Roman"/>
          </w:rPr>
          <w:t>4.2.2.2.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_Toc151714481 \h </w:instrText>
        </w:r>
        <w:r>
          <w:rPr>
            <w:webHidden/>
          </w:rPr>
        </w:r>
        <w:r>
          <w:rPr>
            <w:webHidden/>
          </w:rPr>
          <w:fldChar w:fldCharType="separate"/>
        </w:r>
        <w:r>
          <w:rPr>
            <w:webHidden/>
          </w:rPr>
          <w:t>238</w:t>
        </w:r>
        <w:r>
          <w:rPr>
            <w:webHidden/>
          </w:rPr>
          <w:fldChar w:fldCharType="end"/>
        </w:r>
      </w:hyperlink>
    </w:p>
    <w:p w14:paraId="36477934" w14:textId="0075F40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2" w:history="1">
        <w:r w:rsidRPr="00EC7A8D">
          <w:rPr>
            <w:rStyle w:val="Hyperlink"/>
            <w:rFonts w:ascii="Times New Roman" w:hAnsi="Times New Roman"/>
          </w:rPr>
          <w:t>4.2.3.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17.02: Operational risk: Detailed information on the largest loss events in the last year (OPR DETAILS 2)</w:t>
        </w:r>
        <w:r>
          <w:rPr>
            <w:webHidden/>
          </w:rPr>
          <w:tab/>
        </w:r>
        <w:r>
          <w:rPr>
            <w:webHidden/>
          </w:rPr>
          <w:fldChar w:fldCharType="begin"/>
        </w:r>
        <w:r>
          <w:rPr>
            <w:webHidden/>
          </w:rPr>
          <w:instrText xml:space="preserve"> PAGEREF _Toc151714482 \h </w:instrText>
        </w:r>
        <w:r>
          <w:rPr>
            <w:webHidden/>
          </w:rPr>
        </w:r>
        <w:r>
          <w:rPr>
            <w:webHidden/>
          </w:rPr>
          <w:fldChar w:fldCharType="separate"/>
        </w:r>
        <w:r>
          <w:rPr>
            <w:webHidden/>
          </w:rPr>
          <w:t>244</w:t>
        </w:r>
        <w:r>
          <w:rPr>
            <w:webHidden/>
          </w:rPr>
          <w:fldChar w:fldCharType="end"/>
        </w:r>
      </w:hyperlink>
    </w:p>
    <w:p w14:paraId="6F017EFA" w14:textId="2F413B7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3" w:history="1">
        <w:r w:rsidRPr="00EC7A8D">
          <w:rPr>
            <w:rStyle w:val="Hyperlink"/>
            <w:rFonts w:ascii="Times New Roman" w:hAnsi="Times New Roman"/>
          </w:rPr>
          <w:t>4.2.3.1.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_Toc151714483 \h </w:instrText>
        </w:r>
        <w:r>
          <w:rPr>
            <w:webHidden/>
          </w:rPr>
        </w:r>
        <w:r>
          <w:rPr>
            <w:webHidden/>
          </w:rPr>
          <w:fldChar w:fldCharType="separate"/>
        </w:r>
        <w:r>
          <w:rPr>
            <w:webHidden/>
          </w:rPr>
          <w:t>244</w:t>
        </w:r>
        <w:r>
          <w:rPr>
            <w:webHidden/>
          </w:rPr>
          <w:fldChar w:fldCharType="end"/>
        </w:r>
      </w:hyperlink>
    </w:p>
    <w:p w14:paraId="27713AC7" w14:textId="61FE6F2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4" w:history="1">
        <w:r w:rsidRPr="00EC7A8D">
          <w:rPr>
            <w:rStyle w:val="Hyperlink"/>
            <w:rFonts w:ascii="Times New Roman" w:hAnsi="Times New Roman"/>
          </w:rPr>
          <w:t>4.2.3.2.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_Toc151714484 \h </w:instrText>
        </w:r>
        <w:r>
          <w:rPr>
            <w:webHidden/>
          </w:rPr>
        </w:r>
        <w:r>
          <w:rPr>
            <w:webHidden/>
          </w:rPr>
          <w:fldChar w:fldCharType="separate"/>
        </w:r>
        <w:r>
          <w:rPr>
            <w:webHidden/>
          </w:rPr>
          <w:t>245</w:t>
        </w:r>
        <w:r>
          <w:rPr>
            <w:webHidden/>
          </w:rPr>
          <w:fldChar w:fldCharType="end"/>
        </w:r>
      </w:hyperlink>
    </w:p>
    <w:p w14:paraId="3DE8A4CF" w14:textId="32F90C2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5" w:history="1">
        <w:r w:rsidRPr="00EC7A8D">
          <w:rPr>
            <w:rStyle w:val="Hyperlink"/>
            <w:rFonts w:ascii="Times New Roman" w:hAnsi="Times New Roman"/>
          </w:rPr>
          <w:t>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Market Risk Templates</w:t>
        </w:r>
        <w:r>
          <w:rPr>
            <w:webHidden/>
          </w:rPr>
          <w:tab/>
        </w:r>
        <w:r>
          <w:rPr>
            <w:webHidden/>
          </w:rPr>
          <w:fldChar w:fldCharType="begin"/>
        </w:r>
        <w:r>
          <w:rPr>
            <w:webHidden/>
          </w:rPr>
          <w:instrText xml:space="preserve"> PAGEREF _Toc151714485 \h </w:instrText>
        </w:r>
        <w:r>
          <w:rPr>
            <w:webHidden/>
          </w:rPr>
        </w:r>
        <w:r>
          <w:rPr>
            <w:webHidden/>
          </w:rPr>
          <w:fldChar w:fldCharType="separate"/>
        </w:r>
        <w:r>
          <w:rPr>
            <w:webHidden/>
          </w:rPr>
          <w:t>246</w:t>
        </w:r>
        <w:r>
          <w:rPr>
            <w:webHidden/>
          </w:rPr>
          <w:fldChar w:fldCharType="end"/>
        </w:r>
      </w:hyperlink>
    </w:p>
    <w:p w14:paraId="21075BBD" w14:textId="46D0E2B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6" w:history="1">
        <w:r w:rsidRPr="00EC7A8D">
          <w:rPr>
            <w:rStyle w:val="Hyperlink"/>
            <w:rFonts w:ascii="Times New Roman" w:hAnsi="Times New Roman"/>
          </w:rPr>
          <w:t>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18.00 – Market Risk: Standardised Approach for Position Risks in Traded Debt Instruments (MKR SA TDI)</w:t>
        </w:r>
        <w:r>
          <w:rPr>
            <w:webHidden/>
          </w:rPr>
          <w:tab/>
        </w:r>
        <w:r>
          <w:rPr>
            <w:webHidden/>
          </w:rPr>
          <w:fldChar w:fldCharType="begin"/>
        </w:r>
        <w:r>
          <w:rPr>
            <w:webHidden/>
          </w:rPr>
          <w:instrText xml:space="preserve"> PAGEREF _Toc151714486 \h </w:instrText>
        </w:r>
        <w:r>
          <w:rPr>
            <w:webHidden/>
          </w:rPr>
        </w:r>
        <w:r>
          <w:rPr>
            <w:webHidden/>
          </w:rPr>
          <w:fldChar w:fldCharType="separate"/>
        </w:r>
        <w:r>
          <w:rPr>
            <w:webHidden/>
          </w:rPr>
          <w:t>247</w:t>
        </w:r>
        <w:r>
          <w:rPr>
            <w:webHidden/>
          </w:rPr>
          <w:fldChar w:fldCharType="end"/>
        </w:r>
      </w:hyperlink>
    </w:p>
    <w:p w14:paraId="32572087" w14:textId="4A2B880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7" w:history="1">
        <w:r w:rsidRPr="00EC7A8D">
          <w:rPr>
            <w:rStyle w:val="Hyperlink"/>
            <w:rFonts w:ascii="Times New Roman" w:hAnsi="Times New Roman"/>
          </w:rPr>
          <w:t>5.1.1.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_Toc151714487 \h </w:instrText>
        </w:r>
        <w:r>
          <w:rPr>
            <w:webHidden/>
          </w:rPr>
        </w:r>
        <w:r>
          <w:rPr>
            <w:webHidden/>
          </w:rPr>
          <w:fldChar w:fldCharType="separate"/>
        </w:r>
        <w:r>
          <w:rPr>
            <w:webHidden/>
          </w:rPr>
          <w:t>247</w:t>
        </w:r>
        <w:r>
          <w:rPr>
            <w:webHidden/>
          </w:rPr>
          <w:fldChar w:fldCharType="end"/>
        </w:r>
      </w:hyperlink>
    </w:p>
    <w:p w14:paraId="53879DBA" w14:textId="08A889D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8" w:history="1">
        <w:r w:rsidRPr="00EC7A8D">
          <w:rPr>
            <w:rStyle w:val="Hyperlink"/>
            <w:rFonts w:ascii="Times New Roman" w:hAnsi="Times New Roman"/>
          </w:rPr>
          <w:t>5.1.2.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_Toc151714488 \h </w:instrText>
        </w:r>
        <w:r>
          <w:rPr>
            <w:webHidden/>
          </w:rPr>
        </w:r>
        <w:r>
          <w:rPr>
            <w:webHidden/>
          </w:rPr>
          <w:fldChar w:fldCharType="separate"/>
        </w:r>
        <w:r>
          <w:rPr>
            <w:webHidden/>
          </w:rPr>
          <w:t>247</w:t>
        </w:r>
        <w:r>
          <w:rPr>
            <w:webHidden/>
          </w:rPr>
          <w:fldChar w:fldCharType="end"/>
        </w:r>
      </w:hyperlink>
    </w:p>
    <w:p w14:paraId="14BADBBD" w14:textId="0DC14A5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89" w:history="1">
        <w:r w:rsidRPr="00EC7A8D">
          <w:rPr>
            <w:rStyle w:val="Hyperlink"/>
            <w:rFonts w:ascii="Times New Roman" w:hAnsi="Times New Roman"/>
          </w:rPr>
          <w:t>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19.00 - MARKET RISK: STANDARDISED APPROACH FOR SPECIFIC RISK IN SECURITISATIONS (MKR SA SEC)</w:t>
        </w:r>
        <w:r>
          <w:rPr>
            <w:webHidden/>
          </w:rPr>
          <w:tab/>
        </w:r>
        <w:r>
          <w:rPr>
            <w:webHidden/>
          </w:rPr>
          <w:fldChar w:fldCharType="begin"/>
        </w:r>
        <w:r>
          <w:rPr>
            <w:webHidden/>
          </w:rPr>
          <w:instrText xml:space="preserve"> PAGEREF _Toc151714489 \h </w:instrText>
        </w:r>
        <w:r>
          <w:rPr>
            <w:webHidden/>
          </w:rPr>
        </w:r>
        <w:r>
          <w:rPr>
            <w:webHidden/>
          </w:rPr>
          <w:fldChar w:fldCharType="separate"/>
        </w:r>
        <w:r>
          <w:rPr>
            <w:webHidden/>
          </w:rPr>
          <w:t>250</w:t>
        </w:r>
        <w:r>
          <w:rPr>
            <w:webHidden/>
          </w:rPr>
          <w:fldChar w:fldCharType="end"/>
        </w:r>
      </w:hyperlink>
    </w:p>
    <w:p w14:paraId="5F8C9C1A" w14:textId="463924A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0" w:history="1">
        <w:r w:rsidRPr="00EC7A8D">
          <w:rPr>
            <w:rStyle w:val="Hyperlink"/>
            <w:rFonts w:ascii="Times New Roman" w:hAnsi="Times New Roman"/>
          </w:rPr>
          <w:t>5.2.1.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_Toc151714490 \h </w:instrText>
        </w:r>
        <w:r>
          <w:rPr>
            <w:webHidden/>
          </w:rPr>
        </w:r>
        <w:r>
          <w:rPr>
            <w:webHidden/>
          </w:rPr>
          <w:fldChar w:fldCharType="separate"/>
        </w:r>
        <w:r>
          <w:rPr>
            <w:webHidden/>
          </w:rPr>
          <w:t>250</w:t>
        </w:r>
        <w:r>
          <w:rPr>
            <w:webHidden/>
          </w:rPr>
          <w:fldChar w:fldCharType="end"/>
        </w:r>
      </w:hyperlink>
    </w:p>
    <w:p w14:paraId="304D855C" w14:textId="0405013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1" w:history="1">
        <w:r w:rsidRPr="00EC7A8D">
          <w:rPr>
            <w:rStyle w:val="Hyperlink"/>
            <w:rFonts w:ascii="Times New Roman" w:hAnsi="Times New Roman"/>
          </w:rPr>
          <w:t>5.2.2.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_Toc151714491 \h </w:instrText>
        </w:r>
        <w:r>
          <w:rPr>
            <w:webHidden/>
          </w:rPr>
        </w:r>
        <w:r>
          <w:rPr>
            <w:webHidden/>
          </w:rPr>
          <w:fldChar w:fldCharType="separate"/>
        </w:r>
        <w:r>
          <w:rPr>
            <w:webHidden/>
          </w:rPr>
          <w:t>250</w:t>
        </w:r>
        <w:r>
          <w:rPr>
            <w:webHidden/>
          </w:rPr>
          <w:fldChar w:fldCharType="end"/>
        </w:r>
      </w:hyperlink>
    </w:p>
    <w:p w14:paraId="2901F430" w14:textId="2A7CBF3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2" w:history="1">
        <w:r w:rsidRPr="00EC7A8D">
          <w:rPr>
            <w:rStyle w:val="Hyperlink"/>
            <w:rFonts w:ascii="Times New Roman" w:hAnsi="Times New Roman"/>
          </w:rPr>
          <w:t>5.3.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20.00 - MARKET RISK: STANDARDISED APPROACH FOR SPECIFIC RISK FOR POSITIONS ASSIGNED TO THE CORRELATION TRADING PORTFOLIO (MKR SA CTP)</w:t>
        </w:r>
        <w:r>
          <w:rPr>
            <w:webHidden/>
          </w:rPr>
          <w:tab/>
        </w:r>
        <w:r>
          <w:rPr>
            <w:webHidden/>
          </w:rPr>
          <w:fldChar w:fldCharType="begin"/>
        </w:r>
        <w:r>
          <w:rPr>
            <w:webHidden/>
          </w:rPr>
          <w:instrText xml:space="preserve"> PAGEREF _Toc151714492 \h </w:instrText>
        </w:r>
        <w:r>
          <w:rPr>
            <w:webHidden/>
          </w:rPr>
        </w:r>
        <w:r>
          <w:rPr>
            <w:webHidden/>
          </w:rPr>
          <w:fldChar w:fldCharType="separate"/>
        </w:r>
        <w:r>
          <w:rPr>
            <w:webHidden/>
          </w:rPr>
          <w:t>252</w:t>
        </w:r>
        <w:r>
          <w:rPr>
            <w:webHidden/>
          </w:rPr>
          <w:fldChar w:fldCharType="end"/>
        </w:r>
      </w:hyperlink>
    </w:p>
    <w:p w14:paraId="4B01A024" w14:textId="484C2DF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3" w:history="1">
        <w:r w:rsidRPr="00EC7A8D">
          <w:rPr>
            <w:rStyle w:val="Hyperlink"/>
            <w:rFonts w:ascii="Times New Roman" w:hAnsi="Times New Roman"/>
          </w:rPr>
          <w:t>5.3.1.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_Toc151714493 \h </w:instrText>
        </w:r>
        <w:r>
          <w:rPr>
            <w:webHidden/>
          </w:rPr>
        </w:r>
        <w:r>
          <w:rPr>
            <w:webHidden/>
          </w:rPr>
          <w:fldChar w:fldCharType="separate"/>
        </w:r>
        <w:r>
          <w:rPr>
            <w:webHidden/>
          </w:rPr>
          <w:t>252</w:t>
        </w:r>
        <w:r>
          <w:rPr>
            <w:webHidden/>
          </w:rPr>
          <w:fldChar w:fldCharType="end"/>
        </w:r>
      </w:hyperlink>
    </w:p>
    <w:p w14:paraId="18696297" w14:textId="2D5D933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4" w:history="1">
        <w:r w:rsidRPr="00EC7A8D">
          <w:rPr>
            <w:rStyle w:val="Hyperlink"/>
            <w:rFonts w:ascii="Times New Roman" w:hAnsi="Times New Roman"/>
          </w:rPr>
          <w:t>5.3.2.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_Toc151714494 \h </w:instrText>
        </w:r>
        <w:r>
          <w:rPr>
            <w:webHidden/>
          </w:rPr>
        </w:r>
        <w:r>
          <w:rPr>
            <w:webHidden/>
          </w:rPr>
          <w:fldChar w:fldCharType="separate"/>
        </w:r>
        <w:r>
          <w:rPr>
            <w:webHidden/>
          </w:rPr>
          <w:t>253</w:t>
        </w:r>
        <w:r>
          <w:rPr>
            <w:webHidden/>
          </w:rPr>
          <w:fldChar w:fldCharType="end"/>
        </w:r>
      </w:hyperlink>
    </w:p>
    <w:p w14:paraId="1DF808B5" w14:textId="4314D71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5" w:history="1">
        <w:r w:rsidRPr="00EC7A8D">
          <w:rPr>
            <w:rStyle w:val="Hyperlink"/>
            <w:rFonts w:ascii="Times New Roman" w:hAnsi="Times New Roman"/>
          </w:rPr>
          <w:t>5.4.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21.00 - Market Risk: Standardised Approach for Position Risk in Equities (MKR SA EQU)</w:t>
        </w:r>
        <w:r>
          <w:rPr>
            <w:webHidden/>
          </w:rPr>
          <w:tab/>
        </w:r>
        <w:r>
          <w:rPr>
            <w:webHidden/>
          </w:rPr>
          <w:fldChar w:fldCharType="begin"/>
        </w:r>
        <w:r>
          <w:rPr>
            <w:webHidden/>
          </w:rPr>
          <w:instrText xml:space="preserve"> PAGEREF _Toc151714495 \h </w:instrText>
        </w:r>
        <w:r>
          <w:rPr>
            <w:webHidden/>
          </w:rPr>
        </w:r>
        <w:r>
          <w:rPr>
            <w:webHidden/>
          </w:rPr>
          <w:fldChar w:fldCharType="separate"/>
        </w:r>
        <w:r>
          <w:rPr>
            <w:webHidden/>
          </w:rPr>
          <w:t>255</w:t>
        </w:r>
        <w:r>
          <w:rPr>
            <w:webHidden/>
          </w:rPr>
          <w:fldChar w:fldCharType="end"/>
        </w:r>
      </w:hyperlink>
    </w:p>
    <w:p w14:paraId="4F72D707" w14:textId="7D94F3F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6" w:history="1">
        <w:r w:rsidRPr="00EC7A8D">
          <w:rPr>
            <w:rStyle w:val="Hyperlink"/>
            <w:rFonts w:ascii="Times New Roman" w:hAnsi="Times New Roman"/>
          </w:rPr>
          <w:t>5.4.1.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_Toc151714496 \h </w:instrText>
        </w:r>
        <w:r>
          <w:rPr>
            <w:webHidden/>
          </w:rPr>
        </w:r>
        <w:r>
          <w:rPr>
            <w:webHidden/>
          </w:rPr>
          <w:fldChar w:fldCharType="separate"/>
        </w:r>
        <w:r>
          <w:rPr>
            <w:webHidden/>
          </w:rPr>
          <w:t>255</w:t>
        </w:r>
        <w:r>
          <w:rPr>
            <w:webHidden/>
          </w:rPr>
          <w:fldChar w:fldCharType="end"/>
        </w:r>
      </w:hyperlink>
    </w:p>
    <w:p w14:paraId="03B00821" w14:textId="67395A5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7" w:history="1">
        <w:r w:rsidRPr="00EC7A8D">
          <w:rPr>
            <w:rStyle w:val="Hyperlink"/>
            <w:rFonts w:ascii="Times New Roman" w:hAnsi="Times New Roman"/>
          </w:rPr>
          <w:t>5.4.2.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_Toc151714497 \h </w:instrText>
        </w:r>
        <w:r>
          <w:rPr>
            <w:webHidden/>
          </w:rPr>
        </w:r>
        <w:r>
          <w:rPr>
            <w:webHidden/>
          </w:rPr>
          <w:fldChar w:fldCharType="separate"/>
        </w:r>
        <w:r>
          <w:rPr>
            <w:webHidden/>
          </w:rPr>
          <w:t>256</w:t>
        </w:r>
        <w:r>
          <w:rPr>
            <w:webHidden/>
          </w:rPr>
          <w:fldChar w:fldCharType="end"/>
        </w:r>
      </w:hyperlink>
    </w:p>
    <w:p w14:paraId="133492A3" w14:textId="36D29A6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8" w:history="1">
        <w:r w:rsidRPr="00EC7A8D">
          <w:rPr>
            <w:rStyle w:val="Hyperlink"/>
            <w:rFonts w:ascii="Times New Roman" w:hAnsi="Times New Roman"/>
          </w:rPr>
          <w:t>5.5.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22.00 - Market Risk: Standardised Approaches for Foreign Exchange Risk (MKR SA FX)</w:t>
        </w:r>
        <w:r>
          <w:rPr>
            <w:webHidden/>
          </w:rPr>
          <w:tab/>
        </w:r>
        <w:r>
          <w:rPr>
            <w:webHidden/>
          </w:rPr>
          <w:fldChar w:fldCharType="begin"/>
        </w:r>
        <w:r>
          <w:rPr>
            <w:webHidden/>
          </w:rPr>
          <w:instrText xml:space="preserve"> PAGEREF _Toc151714498 \h </w:instrText>
        </w:r>
        <w:r>
          <w:rPr>
            <w:webHidden/>
          </w:rPr>
        </w:r>
        <w:r>
          <w:rPr>
            <w:webHidden/>
          </w:rPr>
          <w:fldChar w:fldCharType="separate"/>
        </w:r>
        <w:r>
          <w:rPr>
            <w:webHidden/>
          </w:rPr>
          <w:t>258</w:t>
        </w:r>
        <w:r>
          <w:rPr>
            <w:webHidden/>
          </w:rPr>
          <w:fldChar w:fldCharType="end"/>
        </w:r>
      </w:hyperlink>
    </w:p>
    <w:p w14:paraId="62EA36FA" w14:textId="48F314F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499" w:history="1">
        <w:r w:rsidRPr="00EC7A8D">
          <w:rPr>
            <w:rStyle w:val="Hyperlink"/>
            <w:rFonts w:ascii="Times New Roman" w:hAnsi="Times New Roman"/>
          </w:rPr>
          <w:t>5.5.1.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_Toc151714499 \h </w:instrText>
        </w:r>
        <w:r>
          <w:rPr>
            <w:webHidden/>
          </w:rPr>
        </w:r>
        <w:r>
          <w:rPr>
            <w:webHidden/>
          </w:rPr>
          <w:fldChar w:fldCharType="separate"/>
        </w:r>
        <w:r>
          <w:rPr>
            <w:webHidden/>
          </w:rPr>
          <w:t>258</w:t>
        </w:r>
        <w:r>
          <w:rPr>
            <w:webHidden/>
          </w:rPr>
          <w:fldChar w:fldCharType="end"/>
        </w:r>
      </w:hyperlink>
    </w:p>
    <w:p w14:paraId="4E4C04C3" w14:textId="0F2F998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0" w:history="1">
        <w:r w:rsidRPr="00EC7A8D">
          <w:rPr>
            <w:rStyle w:val="Hyperlink"/>
            <w:rFonts w:ascii="Times New Roman" w:hAnsi="Times New Roman"/>
          </w:rPr>
          <w:t>5.5.2.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_Toc151714500 \h </w:instrText>
        </w:r>
        <w:r>
          <w:rPr>
            <w:webHidden/>
          </w:rPr>
        </w:r>
        <w:r>
          <w:rPr>
            <w:webHidden/>
          </w:rPr>
          <w:fldChar w:fldCharType="separate"/>
        </w:r>
        <w:r>
          <w:rPr>
            <w:webHidden/>
          </w:rPr>
          <w:t>258</w:t>
        </w:r>
        <w:r>
          <w:rPr>
            <w:webHidden/>
          </w:rPr>
          <w:fldChar w:fldCharType="end"/>
        </w:r>
      </w:hyperlink>
    </w:p>
    <w:p w14:paraId="555F94EA" w14:textId="2742718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1" w:history="1">
        <w:r w:rsidRPr="00EC7A8D">
          <w:rPr>
            <w:rStyle w:val="Hyperlink"/>
            <w:rFonts w:ascii="Times New Roman" w:hAnsi="Times New Roman"/>
          </w:rPr>
          <w:t>5.6.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23.00 - Market Risk: Standardised Approaches for Commodities (MKR SA COM)</w:t>
        </w:r>
        <w:r>
          <w:rPr>
            <w:webHidden/>
          </w:rPr>
          <w:tab/>
        </w:r>
        <w:r>
          <w:rPr>
            <w:webHidden/>
          </w:rPr>
          <w:fldChar w:fldCharType="begin"/>
        </w:r>
        <w:r>
          <w:rPr>
            <w:webHidden/>
          </w:rPr>
          <w:instrText xml:space="preserve"> PAGEREF _Toc151714501 \h </w:instrText>
        </w:r>
        <w:r>
          <w:rPr>
            <w:webHidden/>
          </w:rPr>
        </w:r>
        <w:r>
          <w:rPr>
            <w:webHidden/>
          </w:rPr>
          <w:fldChar w:fldCharType="separate"/>
        </w:r>
        <w:r>
          <w:rPr>
            <w:webHidden/>
          </w:rPr>
          <w:t>261</w:t>
        </w:r>
        <w:r>
          <w:rPr>
            <w:webHidden/>
          </w:rPr>
          <w:fldChar w:fldCharType="end"/>
        </w:r>
      </w:hyperlink>
    </w:p>
    <w:p w14:paraId="4EE0BA4F" w14:textId="7031AFB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2" w:history="1">
        <w:r w:rsidRPr="00EC7A8D">
          <w:rPr>
            <w:rStyle w:val="Hyperlink"/>
            <w:rFonts w:ascii="Times New Roman" w:hAnsi="Times New Roman"/>
          </w:rPr>
          <w:t>5.6.1.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_Toc151714502 \h </w:instrText>
        </w:r>
        <w:r>
          <w:rPr>
            <w:webHidden/>
          </w:rPr>
        </w:r>
        <w:r>
          <w:rPr>
            <w:webHidden/>
          </w:rPr>
          <w:fldChar w:fldCharType="separate"/>
        </w:r>
        <w:r>
          <w:rPr>
            <w:webHidden/>
          </w:rPr>
          <w:t>261</w:t>
        </w:r>
        <w:r>
          <w:rPr>
            <w:webHidden/>
          </w:rPr>
          <w:fldChar w:fldCharType="end"/>
        </w:r>
      </w:hyperlink>
    </w:p>
    <w:p w14:paraId="1E5858B8" w14:textId="73FD1B2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3" w:history="1">
        <w:r w:rsidRPr="00EC7A8D">
          <w:rPr>
            <w:rStyle w:val="Hyperlink"/>
            <w:rFonts w:ascii="Times New Roman" w:hAnsi="Times New Roman"/>
          </w:rPr>
          <w:t>5.6.2.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_Toc151714503 \h </w:instrText>
        </w:r>
        <w:r>
          <w:rPr>
            <w:webHidden/>
          </w:rPr>
        </w:r>
        <w:r>
          <w:rPr>
            <w:webHidden/>
          </w:rPr>
          <w:fldChar w:fldCharType="separate"/>
        </w:r>
        <w:r>
          <w:rPr>
            <w:webHidden/>
          </w:rPr>
          <w:t>261</w:t>
        </w:r>
        <w:r>
          <w:rPr>
            <w:webHidden/>
          </w:rPr>
          <w:fldChar w:fldCharType="end"/>
        </w:r>
      </w:hyperlink>
    </w:p>
    <w:p w14:paraId="3E505386" w14:textId="4D33FEE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4" w:history="1">
        <w:r w:rsidRPr="00EC7A8D">
          <w:rPr>
            <w:rStyle w:val="Hyperlink"/>
            <w:rFonts w:ascii="Times New Roman" w:hAnsi="Times New Roman"/>
          </w:rPr>
          <w:t>5.7.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24.00 - Market Risk Internal Model (MKR IM)</w:t>
        </w:r>
        <w:r>
          <w:rPr>
            <w:webHidden/>
          </w:rPr>
          <w:tab/>
        </w:r>
        <w:r>
          <w:rPr>
            <w:webHidden/>
          </w:rPr>
          <w:fldChar w:fldCharType="begin"/>
        </w:r>
        <w:r>
          <w:rPr>
            <w:webHidden/>
          </w:rPr>
          <w:instrText xml:space="preserve"> PAGEREF _Toc151714504 \h </w:instrText>
        </w:r>
        <w:r>
          <w:rPr>
            <w:webHidden/>
          </w:rPr>
        </w:r>
        <w:r>
          <w:rPr>
            <w:webHidden/>
          </w:rPr>
          <w:fldChar w:fldCharType="separate"/>
        </w:r>
        <w:r>
          <w:rPr>
            <w:webHidden/>
          </w:rPr>
          <w:t>263</w:t>
        </w:r>
        <w:r>
          <w:rPr>
            <w:webHidden/>
          </w:rPr>
          <w:fldChar w:fldCharType="end"/>
        </w:r>
      </w:hyperlink>
    </w:p>
    <w:p w14:paraId="2AA11CDD" w14:textId="2F203B8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5" w:history="1">
        <w:r w:rsidRPr="00EC7A8D">
          <w:rPr>
            <w:rStyle w:val="Hyperlink"/>
            <w:rFonts w:ascii="Times New Roman" w:hAnsi="Times New Roman"/>
          </w:rPr>
          <w:t>5.7.1.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_Toc151714505 \h </w:instrText>
        </w:r>
        <w:r>
          <w:rPr>
            <w:webHidden/>
          </w:rPr>
        </w:r>
        <w:r>
          <w:rPr>
            <w:webHidden/>
          </w:rPr>
          <w:fldChar w:fldCharType="separate"/>
        </w:r>
        <w:r>
          <w:rPr>
            <w:webHidden/>
          </w:rPr>
          <w:t>263</w:t>
        </w:r>
        <w:r>
          <w:rPr>
            <w:webHidden/>
          </w:rPr>
          <w:fldChar w:fldCharType="end"/>
        </w:r>
      </w:hyperlink>
    </w:p>
    <w:p w14:paraId="01DD1452" w14:textId="1B006D1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6" w:history="1">
        <w:r w:rsidRPr="00EC7A8D">
          <w:rPr>
            <w:rStyle w:val="Hyperlink"/>
            <w:rFonts w:ascii="Times New Roman" w:hAnsi="Times New Roman"/>
          </w:rPr>
          <w:t>5.7.2.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_Toc151714506 \h </w:instrText>
        </w:r>
        <w:r>
          <w:rPr>
            <w:webHidden/>
          </w:rPr>
        </w:r>
        <w:r>
          <w:rPr>
            <w:webHidden/>
          </w:rPr>
          <w:fldChar w:fldCharType="separate"/>
        </w:r>
        <w:r>
          <w:rPr>
            <w:webHidden/>
          </w:rPr>
          <w:t>263</w:t>
        </w:r>
        <w:r>
          <w:rPr>
            <w:webHidden/>
          </w:rPr>
          <w:fldChar w:fldCharType="end"/>
        </w:r>
      </w:hyperlink>
    </w:p>
    <w:p w14:paraId="19612C96" w14:textId="14B0C3F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7" w:history="1">
        <w:r w:rsidRPr="00EC7A8D">
          <w:rPr>
            <w:rStyle w:val="Hyperlink"/>
            <w:rFonts w:ascii="Times New Roman" w:hAnsi="Times New Roman"/>
          </w:rPr>
          <w:t>5.8. C 25.00 - CREDIT VALUATION ADJUSTMENT RISK (CVA):</w:t>
        </w:r>
        <w:r>
          <w:rPr>
            <w:webHidden/>
          </w:rPr>
          <w:tab/>
        </w:r>
        <w:r>
          <w:rPr>
            <w:webHidden/>
          </w:rPr>
          <w:fldChar w:fldCharType="begin"/>
        </w:r>
        <w:r>
          <w:rPr>
            <w:webHidden/>
          </w:rPr>
          <w:instrText xml:space="preserve"> PAGEREF _Toc151714507 \h </w:instrText>
        </w:r>
        <w:r>
          <w:rPr>
            <w:webHidden/>
          </w:rPr>
        </w:r>
        <w:r>
          <w:rPr>
            <w:webHidden/>
          </w:rPr>
          <w:fldChar w:fldCharType="separate"/>
        </w:r>
        <w:r>
          <w:rPr>
            <w:webHidden/>
          </w:rPr>
          <w:t>266</w:t>
        </w:r>
        <w:r>
          <w:rPr>
            <w:webHidden/>
          </w:rPr>
          <w:fldChar w:fldCharType="end"/>
        </w:r>
      </w:hyperlink>
    </w:p>
    <w:p w14:paraId="3FF84312" w14:textId="4995F3FD"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8" w:history="1">
        <w:r w:rsidRPr="00EC7A8D">
          <w:rPr>
            <w:rStyle w:val="Hyperlink"/>
            <w:rFonts w:ascii="Times New Roman" w:hAnsi="Times New Roman"/>
          </w:rPr>
          <w:t>5.8.1.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_Toc151714508 \h </w:instrText>
        </w:r>
        <w:r>
          <w:rPr>
            <w:webHidden/>
          </w:rPr>
        </w:r>
        <w:r>
          <w:rPr>
            <w:webHidden/>
          </w:rPr>
          <w:fldChar w:fldCharType="separate"/>
        </w:r>
        <w:r>
          <w:rPr>
            <w:webHidden/>
          </w:rPr>
          <w:t>266</w:t>
        </w:r>
        <w:r>
          <w:rPr>
            <w:webHidden/>
          </w:rPr>
          <w:fldChar w:fldCharType="end"/>
        </w:r>
      </w:hyperlink>
    </w:p>
    <w:p w14:paraId="3231EC72" w14:textId="036E986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09" w:history="1">
        <w:r w:rsidRPr="00EC7A8D">
          <w:rPr>
            <w:rStyle w:val="Hyperlink"/>
            <w:rFonts w:ascii="Times New Roman" w:hAnsi="Times New Roman"/>
          </w:rPr>
          <w:t>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Prudent valuation (PruVal)</w:t>
        </w:r>
        <w:r>
          <w:rPr>
            <w:webHidden/>
          </w:rPr>
          <w:tab/>
        </w:r>
        <w:r>
          <w:rPr>
            <w:webHidden/>
          </w:rPr>
          <w:fldChar w:fldCharType="begin"/>
        </w:r>
        <w:r>
          <w:rPr>
            <w:webHidden/>
          </w:rPr>
          <w:instrText xml:space="preserve"> PAGEREF _Toc151714509 \h </w:instrText>
        </w:r>
        <w:r>
          <w:rPr>
            <w:webHidden/>
          </w:rPr>
        </w:r>
        <w:r>
          <w:rPr>
            <w:webHidden/>
          </w:rPr>
          <w:fldChar w:fldCharType="separate"/>
        </w:r>
        <w:r>
          <w:rPr>
            <w:webHidden/>
          </w:rPr>
          <w:t>274</w:t>
        </w:r>
        <w:r>
          <w:rPr>
            <w:webHidden/>
          </w:rPr>
          <w:fldChar w:fldCharType="end"/>
        </w:r>
      </w:hyperlink>
    </w:p>
    <w:p w14:paraId="4048A243" w14:textId="76DD744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0" w:history="1">
        <w:r w:rsidRPr="00EC7A8D">
          <w:rPr>
            <w:rStyle w:val="Hyperlink"/>
            <w:rFonts w:ascii="Times New Roman" w:hAnsi="Times New Roman"/>
          </w:rPr>
          <w:t>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32.01 - Prudent Valuation: Fair-Valued Assets and Liabilities (PruVal 1)</w:t>
        </w:r>
        <w:r>
          <w:rPr>
            <w:webHidden/>
          </w:rPr>
          <w:tab/>
        </w:r>
        <w:r>
          <w:rPr>
            <w:webHidden/>
          </w:rPr>
          <w:fldChar w:fldCharType="begin"/>
        </w:r>
        <w:r>
          <w:rPr>
            <w:webHidden/>
          </w:rPr>
          <w:instrText xml:space="preserve"> PAGEREF _Toc151714510 \h </w:instrText>
        </w:r>
        <w:r>
          <w:rPr>
            <w:webHidden/>
          </w:rPr>
        </w:r>
        <w:r>
          <w:rPr>
            <w:webHidden/>
          </w:rPr>
          <w:fldChar w:fldCharType="separate"/>
        </w:r>
        <w:r>
          <w:rPr>
            <w:webHidden/>
          </w:rPr>
          <w:t>274</w:t>
        </w:r>
        <w:r>
          <w:rPr>
            <w:webHidden/>
          </w:rPr>
          <w:fldChar w:fldCharType="end"/>
        </w:r>
      </w:hyperlink>
    </w:p>
    <w:p w14:paraId="3D85BDCE" w14:textId="64CF7D5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1" w:history="1">
        <w:r w:rsidRPr="00EC7A8D">
          <w:rPr>
            <w:rStyle w:val="Hyperlink"/>
            <w:rFonts w:ascii="Times New Roman" w:hAnsi="Times New Roman"/>
          </w:rPr>
          <w:t>6.1.1.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_Toc151714511 \h </w:instrText>
        </w:r>
        <w:r>
          <w:rPr>
            <w:webHidden/>
          </w:rPr>
        </w:r>
        <w:r>
          <w:rPr>
            <w:webHidden/>
          </w:rPr>
          <w:fldChar w:fldCharType="separate"/>
        </w:r>
        <w:r>
          <w:rPr>
            <w:webHidden/>
          </w:rPr>
          <w:t>274</w:t>
        </w:r>
        <w:r>
          <w:rPr>
            <w:webHidden/>
          </w:rPr>
          <w:fldChar w:fldCharType="end"/>
        </w:r>
      </w:hyperlink>
    </w:p>
    <w:p w14:paraId="4ECF5D07" w14:textId="36BEB7B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2" w:history="1">
        <w:r w:rsidRPr="00EC7A8D">
          <w:rPr>
            <w:rStyle w:val="Hyperlink"/>
            <w:rFonts w:ascii="Times New Roman" w:hAnsi="Times New Roman"/>
          </w:rPr>
          <w:t>6.1.2.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_Toc151714512 \h </w:instrText>
        </w:r>
        <w:r>
          <w:rPr>
            <w:webHidden/>
          </w:rPr>
        </w:r>
        <w:r>
          <w:rPr>
            <w:webHidden/>
          </w:rPr>
          <w:fldChar w:fldCharType="separate"/>
        </w:r>
        <w:r>
          <w:rPr>
            <w:webHidden/>
          </w:rPr>
          <w:t>274</w:t>
        </w:r>
        <w:r>
          <w:rPr>
            <w:webHidden/>
          </w:rPr>
          <w:fldChar w:fldCharType="end"/>
        </w:r>
      </w:hyperlink>
    </w:p>
    <w:p w14:paraId="0430C38B" w14:textId="2E00C3B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3" w:history="1">
        <w:r w:rsidRPr="00EC7A8D">
          <w:rPr>
            <w:rStyle w:val="Hyperlink"/>
            <w:rFonts w:ascii="Times New Roman" w:hAnsi="Times New Roman"/>
          </w:rPr>
          <w:t>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32.02 - Prudent Valuation: Core Approach (PruVal 2)</w:t>
        </w:r>
        <w:r>
          <w:rPr>
            <w:webHidden/>
          </w:rPr>
          <w:tab/>
        </w:r>
        <w:r>
          <w:rPr>
            <w:webHidden/>
          </w:rPr>
          <w:fldChar w:fldCharType="begin"/>
        </w:r>
        <w:r>
          <w:rPr>
            <w:webHidden/>
          </w:rPr>
          <w:instrText xml:space="preserve"> PAGEREF _Toc151714513 \h </w:instrText>
        </w:r>
        <w:r>
          <w:rPr>
            <w:webHidden/>
          </w:rPr>
        </w:r>
        <w:r>
          <w:rPr>
            <w:webHidden/>
          </w:rPr>
          <w:fldChar w:fldCharType="separate"/>
        </w:r>
        <w:r>
          <w:rPr>
            <w:webHidden/>
          </w:rPr>
          <w:t>280</w:t>
        </w:r>
        <w:r>
          <w:rPr>
            <w:webHidden/>
          </w:rPr>
          <w:fldChar w:fldCharType="end"/>
        </w:r>
      </w:hyperlink>
    </w:p>
    <w:p w14:paraId="5DCA517C" w14:textId="467D28A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4" w:history="1">
        <w:r w:rsidRPr="00EC7A8D">
          <w:rPr>
            <w:rStyle w:val="Hyperlink"/>
            <w:rFonts w:ascii="Times New Roman" w:hAnsi="Times New Roman"/>
          </w:rPr>
          <w:t>6.2.1.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_Toc151714514 \h </w:instrText>
        </w:r>
        <w:r>
          <w:rPr>
            <w:webHidden/>
          </w:rPr>
        </w:r>
        <w:r>
          <w:rPr>
            <w:webHidden/>
          </w:rPr>
          <w:fldChar w:fldCharType="separate"/>
        </w:r>
        <w:r>
          <w:rPr>
            <w:webHidden/>
          </w:rPr>
          <w:t>280</w:t>
        </w:r>
        <w:r>
          <w:rPr>
            <w:webHidden/>
          </w:rPr>
          <w:fldChar w:fldCharType="end"/>
        </w:r>
      </w:hyperlink>
    </w:p>
    <w:p w14:paraId="35A4DF69" w14:textId="3283788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5" w:history="1">
        <w:r w:rsidRPr="00EC7A8D">
          <w:rPr>
            <w:rStyle w:val="Hyperlink"/>
            <w:rFonts w:ascii="Times New Roman" w:hAnsi="Times New Roman"/>
          </w:rPr>
          <w:t>6.2.2.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_Toc151714515 \h </w:instrText>
        </w:r>
        <w:r>
          <w:rPr>
            <w:webHidden/>
          </w:rPr>
        </w:r>
        <w:r>
          <w:rPr>
            <w:webHidden/>
          </w:rPr>
          <w:fldChar w:fldCharType="separate"/>
        </w:r>
        <w:r>
          <w:rPr>
            <w:webHidden/>
          </w:rPr>
          <w:t>280</w:t>
        </w:r>
        <w:r>
          <w:rPr>
            <w:webHidden/>
          </w:rPr>
          <w:fldChar w:fldCharType="end"/>
        </w:r>
      </w:hyperlink>
    </w:p>
    <w:p w14:paraId="111B7F10" w14:textId="6AB010D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6" w:history="1">
        <w:r w:rsidRPr="00EC7A8D">
          <w:rPr>
            <w:rStyle w:val="Hyperlink"/>
            <w:rFonts w:ascii="Times New Roman" w:hAnsi="Times New Roman"/>
          </w:rPr>
          <w:t>6.3. C 32.03 - Prudent Valuation: Model Risk AVA (PruVal 3)</w:t>
        </w:r>
        <w:r>
          <w:rPr>
            <w:webHidden/>
          </w:rPr>
          <w:tab/>
        </w:r>
        <w:r>
          <w:rPr>
            <w:webHidden/>
          </w:rPr>
          <w:fldChar w:fldCharType="begin"/>
        </w:r>
        <w:r>
          <w:rPr>
            <w:webHidden/>
          </w:rPr>
          <w:instrText xml:space="preserve"> PAGEREF _Toc151714516 \h </w:instrText>
        </w:r>
        <w:r>
          <w:rPr>
            <w:webHidden/>
          </w:rPr>
        </w:r>
        <w:r>
          <w:rPr>
            <w:webHidden/>
          </w:rPr>
          <w:fldChar w:fldCharType="separate"/>
        </w:r>
        <w:r>
          <w:rPr>
            <w:webHidden/>
          </w:rPr>
          <w:t>290</w:t>
        </w:r>
        <w:r>
          <w:rPr>
            <w:webHidden/>
          </w:rPr>
          <w:fldChar w:fldCharType="end"/>
        </w:r>
      </w:hyperlink>
    </w:p>
    <w:p w14:paraId="66E639F7" w14:textId="133726E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7" w:history="1">
        <w:r w:rsidRPr="00EC7A8D">
          <w:rPr>
            <w:rStyle w:val="Hyperlink"/>
            <w:rFonts w:ascii="Times New Roman" w:hAnsi="Times New Roman"/>
          </w:rPr>
          <w:t>6.3.1.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_Toc151714517 \h </w:instrText>
        </w:r>
        <w:r>
          <w:rPr>
            <w:webHidden/>
          </w:rPr>
        </w:r>
        <w:r>
          <w:rPr>
            <w:webHidden/>
          </w:rPr>
          <w:fldChar w:fldCharType="separate"/>
        </w:r>
        <w:r>
          <w:rPr>
            <w:webHidden/>
          </w:rPr>
          <w:t>290</w:t>
        </w:r>
        <w:r>
          <w:rPr>
            <w:webHidden/>
          </w:rPr>
          <w:fldChar w:fldCharType="end"/>
        </w:r>
      </w:hyperlink>
    </w:p>
    <w:p w14:paraId="294A9891" w14:textId="33C1E41C"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8" w:history="1">
        <w:r w:rsidRPr="00EC7A8D">
          <w:rPr>
            <w:rStyle w:val="Hyperlink"/>
            <w:rFonts w:ascii="Times New Roman" w:hAnsi="Times New Roman"/>
          </w:rPr>
          <w:t>6.3.2.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_Toc151714518 \h </w:instrText>
        </w:r>
        <w:r>
          <w:rPr>
            <w:webHidden/>
          </w:rPr>
        </w:r>
        <w:r>
          <w:rPr>
            <w:webHidden/>
          </w:rPr>
          <w:fldChar w:fldCharType="separate"/>
        </w:r>
        <w:r>
          <w:rPr>
            <w:webHidden/>
          </w:rPr>
          <w:t>290</w:t>
        </w:r>
        <w:r>
          <w:rPr>
            <w:webHidden/>
          </w:rPr>
          <w:fldChar w:fldCharType="end"/>
        </w:r>
      </w:hyperlink>
    </w:p>
    <w:p w14:paraId="2DCBB25E" w14:textId="6CC9914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19" w:history="1">
        <w:r w:rsidRPr="00EC7A8D">
          <w:rPr>
            <w:rStyle w:val="Hyperlink"/>
            <w:rFonts w:ascii="Times New Roman" w:hAnsi="Times New Roman"/>
          </w:rPr>
          <w:t>6.4 C 32.04 - Prudent Valuation: Concentrated positions AVA (PruVal 4)</w:t>
        </w:r>
        <w:r>
          <w:rPr>
            <w:webHidden/>
          </w:rPr>
          <w:tab/>
        </w:r>
        <w:r>
          <w:rPr>
            <w:webHidden/>
          </w:rPr>
          <w:fldChar w:fldCharType="begin"/>
        </w:r>
        <w:r>
          <w:rPr>
            <w:webHidden/>
          </w:rPr>
          <w:instrText xml:space="preserve"> PAGEREF _Toc151714519 \h </w:instrText>
        </w:r>
        <w:r>
          <w:rPr>
            <w:webHidden/>
          </w:rPr>
        </w:r>
        <w:r>
          <w:rPr>
            <w:webHidden/>
          </w:rPr>
          <w:fldChar w:fldCharType="separate"/>
        </w:r>
        <w:r>
          <w:rPr>
            <w:webHidden/>
          </w:rPr>
          <w:t>293</w:t>
        </w:r>
        <w:r>
          <w:rPr>
            <w:webHidden/>
          </w:rPr>
          <w:fldChar w:fldCharType="end"/>
        </w:r>
      </w:hyperlink>
    </w:p>
    <w:p w14:paraId="7A8682C2" w14:textId="19F6B9DB"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0" w:history="1">
        <w:r w:rsidRPr="00EC7A8D">
          <w:rPr>
            <w:rStyle w:val="Hyperlink"/>
            <w:rFonts w:ascii="Times New Roman" w:hAnsi="Times New Roman"/>
          </w:rPr>
          <w:t>6.4.1.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_Toc151714520 \h </w:instrText>
        </w:r>
        <w:r>
          <w:rPr>
            <w:webHidden/>
          </w:rPr>
        </w:r>
        <w:r>
          <w:rPr>
            <w:webHidden/>
          </w:rPr>
          <w:fldChar w:fldCharType="separate"/>
        </w:r>
        <w:r>
          <w:rPr>
            <w:webHidden/>
          </w:rPr>
          <w:t>293</w:t>
        </w:r>
        <w:r>
          <w:rPr>
            <w:webHidden/>
          </w:rPr>
          <w:fldChar w:fldCharType="end"/>
        </w:r>
      </w:hyperlink>
    </w:p>
    <w:p w14:paraId="155338AD" w14:textId="6C00787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1" w:history="1">
        <w:r w:rsidRPr="00EC7A8D">
          <w:rPr>
            <w:rStyle w:val="Hyperlink"/>
            <w:rFonts w:ascii="Times New Roman" w:hAnsi="Times New Roman"/>
          </w:rPr>
          <w:t>6.4.2.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_Toc151714521 \h </w:instrText>
        </w:r>
        <w:r>
          <w:rPr>
            <w:webHidden/>
          </w:rPr>
        </w:r>
        <w:r>
          <w:rPr>
            <w:webHidden/>
          </w:rPr>
          <w:fldChar w:fldCharType="separate"/>
        </w:r>
        <w:r>
          <w:rPr>
            <w:webHidden/>
          </w:rPr>
          <w:t>293</w:t>
        </w:r>
        <w:r>
          <w:rPr>
            <w:webHidden/>
          </w:rPr>
          <w:fldChar w:fldCharType="end"/>
        </w:r>
      </w:hyperlink>
    </w:p>
    <w:p w14:paraId="34B2036A" w14:textId="5026E26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2" w:history="1">
        <w:r w:rsidRPr="00EC7A8D">
          <w:rPr>
            <w:rStyle w:val="Hyperlink"/>
            <w:rFonts w:ascii="Times New Roman" w:hAnsi="Times New Roman"/>
          </w:rPr>
          <w:t>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33.00 - Exposures to General governments (GOV)</w:t>
        </w:r>
        <w:r>
          <w:rPr>
            <w:webHidden/>
          </w:rPr>
          <w:tab/>
        </w:r>
        <w:r>
          <w:rPr>
            <w:webHidden/>
          </w:rPr>
          <w:fldChar w:fldCharType="begin"/>
        </w:r>
        <w:r>
          <w:rPr>
            <w:webHidden/>
          </w:rPr>
          <w:instrText xml:space="preserve"> PAGEREF _Toc151714522 \h </w:instrText>
        </w:r>
        <w:r>
          <w:rPr>
            <w:webHidden/>
          </w:rPr>
        </w:r>
        <w:r>
          <w:rPr>
            <w:webHidden/>
          </w:rPr>
          <w:fldChar w:fldCharType="separate"/>
        </w:r>
        <w:r>
          <w:rPr>
            <w:webHidden/>
          </w:rPr>
          <w:t>295</w:t>
        </w:r>
        <w:r>
          <w:rPr>
            <w:webHidden/>
          </w:rPr>
          <w:fldChar w:fldCharType="end"/>
        </w:r>
      </w:hyperlink>
    </w:p>
    <w:p w14:paraId="2C39C6AF" w14:textId="5B8979A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3" w:history="1">
        <w:r w:rsidRPr="00EC7A8D">
          <w:rPr>
            <w:rStyle w:val="Hyperlink"/>
            <w:rFonts w:ascii="Times New Roman" w:hAnsi="Times New Roman"/>
          </w:rPr>
          <w:t>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_Toc151714523 \h </w:instrText>
        </w:r>
        <w:r>
          <w:rPr>
            <w:webHidden/>
          </w:rPr>
        </w:r>
        <w:r>
          <w:rPr>
            <w:webHidden/>
          </w:rPr>
          <w:fldChar w:fldCharType="separate"/>
        </w:r>
        <w:r>
          <w:rPr>
            <w:webHidden/>
          </w:rPr>
          <w:t>295</w:t>
        </w:r>
        <w:r>
          <w:rPr>
            <w:webHidden/>
          </w:rPr>
          <w:fldChar w:fldCharType="end"/>
        </w:r>
      </w:hyperlink>
    </w:p>
    <w:p w14:paraId="3F8804DC" w14:textId="36DB390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4" w:history="1">
        <w:r w:rsidRPr="00EC7A8D">
          <w:rPr>
            <w:rStyle w:val="Hyperlink"/>
            <w:rFonts w:ascii="Times New Roman" w:hAnsi="Times New Roman"/>
          </w:rPr>
          <w:t>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template on exposures to “General governments”</w:t>
        </w:r>
        <w:r>
          <w:rPr>
            <w:webHidden/>
          </w:rPr>
          <w:tab/>
        </w:r>
        <w:r>
          <w:rPr>
            <w:webHidden/>
          </w:rPr>
          <w:fldChar w:fldCharType="begin"/>
        </w:r>
        <w:r>
          <w:rPr>
            <w:webHidden/>
          </w:rPr>
          <w:instrText xml:space="preserve"> PAGEREF _Toc151714524 \h </w:instrText>
        </w:r>
        <w:r>
          <w:rPr>
            <w:webHidden/>
          </w:rPr>
        </w:r>
        <w:r>
          <w:rPr>
            <w:webHidden/>
          </w:rPr>
          <w:fldChar w:fldCharType="separate"/>
        </w:r>
        <w:r>
          <w:rPr>
            <w:webHidden/>
          </w:rPr>
          <w:t>296</w:t>
        </w:r>
        <w:r>
          <w:rPr>
            <w:webHidden/>
          </w:rPr>
          <w:fldChar w:fldCharType="end"/>
        </w:r>
      </w:hyperlink>
    </w:p>
    <w:p w14:paraId="602F4B3B" w14:textId="3B8F8D7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5" w:history="1">
        <w:r w:rsidRPr="00EC7A8D">
          <w:rPr>
            <w:rStyle w:val="Hyperlink"/>
            <w:rFonts w:ascii="Times New Roman" w:hAnsi="Times New Roman"/>
          </w:rPr>
          <w:t>7.3.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_Toc151714525 \h </w:instrText>
        </w:r>
        <w:r>
          <w:rPr>
            <w:webHidden/>
          </w:rPr>
        </w:r>
        <w:r>
          <w:rPr>
            <w:webHidden/>
          </w:rPr>
          <w:fldChar w:fldCharType="separate"/>
        </w:r>
        <w:r>
          <w:rPr>
            <w:webHidden/>
          </w:rPr>
          <w:t>296</w:t>
        </w:r>
        <w:r>
          <w:rPr>
            <w:webHidden/>
          </w:rPr>
          <w:fldChar w:fldCharType="end"/>
        </w:r>
      </w:hyperlink>
    </w:p>
    <w:p w14:paraId="1165F213" w14:textId="05514873"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6" w:history="1">
        <w:r w:rsidRPr="00EC7A8D">
          <w:rPr>
            <w:rStyle w:val="Hyperlink"/>
            <w:rFonts w:ascii="Times New Roman" w:hAnsi="Times New Roman"/>
          </w:rPr>
          <w:t>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NPE Loss Coverage (NPE LC)</w:t>
        </w:r>
        <w:r>
          <w:rPr>
            <w:webHidden/>
          </w:rPr>
          <w:tab/>
        </w:r>
        <w:r>
          <w:rPr>
            <w:webHidden/>
          </w:rPr>
          <w:fldChar w:fldCharType="begin"/>
        </w:r>
        <w:r>
          <w:rPr>
            <w:webHidden/>
          </w:rPr>
          <w:instrText xml:space="preserve"> PAGEREF _Toc151714526 \h </w:instrText>
        </w:r>
        <w:r>
          <w:rPr>
            <w:webHidden/>
          </w:rPr>
        </w:r>
        <w:r>
          <w:rPr>
            <w:webHidden/>
          </w:rPr>
          <w:fldChar w:fldCharType="separate"/>
        </w:r>
        <w:r>
          <w:rPr>
            <w:webHidden/>
          </w:rPr>
          <w:t>307</w:t>
        </w:r>
        <w:r>
          <w:rPr>
            <w:webHidden/>
          </w:rPr>
          <w:fldChar w:fldCharType="end"/>
        </w:r>
      </w:hyperlink>
    </w:p>
    <w:p w14:paraId="0F047C00" w14:textId="734DCBE8"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7" w:history="1">
        <w:r w:rsidRPr="00EC7A8D">
          <w:rPr>
            <w:rStyle w:val="Hyperlink"/>
            <w:rFonts w:ascii="Times New Roman" w:hAnsi="Times New Roman"/>
          </w:rPr>
          <w:t>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_Toc151714527 \h </w:instrText>
        </w:r>
        <w:r>
          <w:rPr>
            <w:webHidden/>
          </w:rPr>
        </w:r>
        <w:r>
          <w:rPr>
            <w:webHidden/>
          </w:rPr>
          <w:fldChar w:fldCharType="separate"/>
        </w:r>
        <w:r>
          <w:rPr>
            <w:webHidden/>
          </w:rPr>
          <w:t>307</w:t>
        </w:r>
        <w:r>
          <w:rPr>
            <w:webHidden/>
          </w:rPr>
          <w:fldChar w:fldCharType="end"/>
        </w:r>
      </w:hyperlink>
    </w:p>
    <w:p w14:paraId="3A15CF36" w14:textId="0A64382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8" w:history="1">
        <w:r w:rsidRPr="00EC7A8D">
          <w:rPr>
            <w:rStyle w:val="Hyperlink"/>
            <w:rFonts w:ascii="Times New Roman" w:hAnsi="Times New Roman"/>
          </w:rPr>
          <w:t>8.2. C 35.01 – THE CALCULATION OF DEDUCTIONS FOR NON-PERFORMING EXPOSURES (NPE LC1)</w:t>
        </w:r>
        <w:r>
          <w:rPr>
            <w:webHidden/>
          </w:rPr>
          <w:tab/>
        </w:r>
        <w:r>
          <w:rPr>
            <w:webHidden/>
          </w:rPr>
          <w:fldChar w:fldCharType="begin"/>
        </w:r>
        <w:r>
          <w:rPr>
            <w:webHidden/>
          </w:rPr>
          <w:instrText xml:space="preserve"> PAGEREF _Toc151714528 \h </w:instrText>
        </w:r>
        <w:r>
          <w:rPr>
            <w:webHidden/>
          </w:rPr>
        </w:r>
        <w:r>
          <w:rPr>
            <w:webHidden/>
          </w:rPr>
          <w:fldChar w:fldCharType="separate"/>
        </w:r>
        <w:r>
          <w:rPr>
            <w:webHidden/>
          </w:rPr>
          <w:t>308</w:t>
        </w:r>
        <w:r>
          <w:rPr>
            <w:webHidden/>
          </w:rPr>
          <w:fldChar w:fldCharType="end"/>
        </w:r>
      </w:hyperlink>
    </w:p>
    <w:p w14:paraId="71BB21D5" w14:textId="1A531016"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29" w:history="1">
        <w:r w:rsidRPr="00EC7A8D">
          <w:rPr>
            <w:rStyle w:val="Hyperlink"/>
            <w:rFonts w:ascii="Times New Roman" w:hAnsi="Times New Roman"/>
          </w:rPr>
          <w:t>8.2.1.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_Toc151714529 \h </w:instrText>
        </w:r>
        <w:r>
          <w:rPr>
            <w:webHidden/>
          </w:rPr>
        </w:r>
        <w:r>
          <w:rPr>
            <w:webHidden/>
          </w:rPr>
          <w:fldChar w:fldCharType="separate"/>
        </w:r>
        <w:r>
          <w:rPr>
            <w:webHidden/>
          </w:rPr>
          <w:t>308</w:t>
        </w:r>
        <w:r>
          <w:rPr>
            <w:webHidden/>
          </w:rPr>
          <w:fldChar w:fldCharType="end"/>
        </w:r>
      </w:hyperlink>
    </w:p>
    <w:p w14:paraId="330DD2B4" w14:textId="6F0B78A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0" w:history="1">
        <w:r w:rsidRPr="00EC7A8D">
          <w:rPr>
            <w:rStyle w:val="Hyperlink"/>
            <w:rFonts w:ascii="Times New Roman" w:hAnsi="Times New Roman"/>
          </w:rPr>
          <w:t>8.3.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35.02 – MINIMUM COVERAGE REQUIREMENTS AND EXPOSURE VALUES OF NON-PERFORMING EXPOSURES EXCLUDING FORBORNE EXPOSURES THAT FALL UNDER ARTICLE 47C (6) OF REGULATION (EU) NO 575/2013 (NPE LC2)</w:t>
        </w:r>
        <w:r>
          <w:rPr>
            <w:webHidden/>
          </w:rPr>
          <w:tab/>
        </w:r>
        <w:r>
          <w:rPr>
            <w:webHidden/>
          </w:rPr>
          <w:fldChar w:fldCharType="begin"/>
        </w:r>
        <w:r>
          <w:rPr>
            <w:webHidden/>
          </w:rPr>
          <w:instrText xml:space="preserve"> PAGEREF _Toc151714530 \h </w:instrText>
        </w:r>
        <w:r>
          <w:rPr>
            <w:webHidden/>
          </w:rPr>
        </w:r>
        <w:r>
          <w:rPr>
            <w:webHidden/>
          </w:rPr>
          <w:fldChar w:fldCharType="separate"/>
        </w:r>
        <w:r>
          <w:rPr>
            <w:webHidden/>
          </w:rPr>
          <w:t>310</w:t>
        </w:r>
        <w:r>
          <w:rPr>
            <w:webHidden/>
          </w:rPr>
          <w:fldChar w:fldCharType="end"/>
        </w:r>
      </w:hyperlink>
    </w:p>
    <w:p w14:paraId="345913A4" w14:textId="129927A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1" w:history="1">
        <w:r w:rsidRPr="00EC7A8D">
          <w:rPr>
            <w:rStyle w:val="Hyperlink"/>
            <w:rFonts w:ascii="Times New Roman" w:hAnsi="Times New Roman"/>
          </w:rPr>
          <w:t>8.3.1.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_Toc151714531 \h </w:instrText>
        </w:r>
        <w:r>
          <w:rPr>
            <w:webHidden/>
          </w:rPr>
        </w:r>
        <w:r>
          <w:rPr>
            <w:webHidden/>
          </w:rPr>
          <w:fldChar w:fldCharType="separate"/>
        </w:r>
        <w:r>
          <w:rPr>
            <w:webHidden/>
          </w:rPr>
          <w:t>310</w:t>
        </w:r>
        <w:r>
          <w:rPr>
            <w:webHidden/>
          </w:rPr>
          <w:fldChar w:fldCharType="end"/>
        </w:r>
      </w:hyperlink>
    </w:p>
    <w:p w14:paraId="585342A8" w14:textId="1DB4AA15"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2" w:history="1">
        <w:r w:rsidRPr="00EC7A8D">
          <w:rPr>
            <w:rStyle w:val="Hyperlink"/>
            <w:rFonts w:ascii="Times New Roman" w:hAnsi="Times New Roman"/>
          </w:rPr>
          <w:t>8.4.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35.03 – MINIMUM COVERAGE REQUIREMENTS AND EXPOSURE VALUES OF NON-PERFORMING FORBORNE EXPOSURES THAT FALL UNDER ARTICLE 47C (6) OF REGULATION (EU) NO 575/2013 (NPE LC3)</w:t>
        </w:r>
        <w:r>
          <w:rPr>
            <w:webHidden/>
          </w:rPr>
          <w:tab/>
        </w:r>
        <w:r>
          <w:rPr>
            <w:webHidden/>
          </w:rPr>
          <w:fldChar w:fldCharType="begin"/>
        </w:r>
        <w:r>
          <w:rPr>
            <w:webHidden/>
          </w:rPr>
          <w:instrText xml:space="preserve"> PAGEREF _Toc151714532 \h </w:instrText>
        </w:r>
        <w:r>
          <w:rPr>
            <w:webHidden/>
          </w:rPr>
        </w:r>
        <w:r>
          <w:rPr>
            <w:webHidden/>
          </w:rPr>
          <w:fldChar w:fldCharType="separate"/>
        </w:r>
        <w:r>
          <w:rPr>
            <w:webHidden/>
          </w:rPr>
          <w:t>312</w:t>
        </w:r>
        <w:r>
          <w:rPr>
            <w:webHidden/>
          </w:rPr>
          <w:fldChar w:fldCharType="end"/>
        </w:r>
      </w:hyperlink>
    </w:p>
    <w:p w14:paraId="0D311D32" w14:textId="7847DA2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3" w:history="1">
        <w:r w:rsidRPr="00EC7A8D">
          <w:rPr>
            <w:rStyle w:val="Hyperlink"/>
            <w:rFonts w:ascii="Times New Roman" w:hAnsi="Times New Roman"/>
          </w:rPr>
          <w:t>8.4.1.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_Toc151714533 \h </w:instrText>
        </w:r>
        <w:r>
          <w:rPr>
            <w:webHidden/>
          </w:rPr>
        </w:r>
        <w:r>
          <w:rPr>
            <w:webHidden/>
          </w:rPr>
          <w:fldChar w:fldCharType="separate"/>
        </w:r>
        <w:r>
          <w:rPr>
            <w:webHidden/>
          </w:rPr>
          <w:t>312</w:t>
        </w:r>
        <w:r>
          <w:rPr>
            <w:webHidden/>
          </w:rPr>
          <w:fldChar w:fldCharType="end"/>
        </w:r>
      </w:hyperlink>
    </w:p>
    <w:p w14:paraId="3039CBCD" w14:textId="6C147D74"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4" w:history="1">
        <w:r w:rsidRPr="00EC7A8D">
          <w:rPr>
            <w:rStyle w:val="Hyperlink"/>
            <w:rFonts w:ascii="Times New Roman" w:hAnsi="Times New Roman"/>
          </w:rPr>
          <w:t>9. Trading book and market risk thresholds, the boundary between trading book and non-trading book and reclassifications</w:t>
        </w:r>
        <w:r>
          <w:rPr>
            <w:webHidden/>
          </w:rPr>
          <w:tab/>
        </w:r>
        <w:r>
          <w:rPr>
            <w:webHidden/>
          </w:rPr>
          <w:fldChar w:fldCharType="begin"/>
        </w:r>
        <w:r>
          <w:rPr>
            <w:webHidden/>
          </w:rPr>
          <w:instrText xml:space="preserve"> PAGEREF _Toc151714534 \h </w:instrText>
        </w:r>
        <w:r>
          <w:rPr>
            <w:webHidden/>
          </w:rPr>
        </w:r>
        <w:r>
          <w:rPr>
            <w:webHidden/>
          </w:rPr>
          <w:fldChar w:fldCharType="separate"/>
        </w:r>
        <w:r>
          <w:rPr>
            <w:webHidden/>
          </w:rPr>
          <w:t>315</w:t>
        </w:r>
        <w:r>
          <w:rPr>
            <w:webHidden/>
          </w:rPr>
          <w:fldChar w:fldCharType="end"/>
        </w:r>
      </w:hyperlink>
    </w:p>
    <w:p w14:paraId="344C39A3" w14:textId="07269572"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5" w:history="1">
        <w:r w:rsidRPr="00EC7A8D">
          <w:rPr>
            <w:rStyle w:val="Hyperlink"/>
            <w:rFonts w:ascii="Times New Roman" w:hAnsi="Times New Roman"/>
          </w:rPr>
          <w:t>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90.00 – Trading book and market risk thresholds</w:t>
        </w:r>
        <w:r>
          <w:rPr>
            <w:webHidden/>
          </w:rPr>
          <w:tab/>
        </w:r>
        <w:r>
          <w:rPr>
            <w:webHidden/>
          </w:rPr>
          <w:fldChar w:fldCharType="begin"/>
        </w:r>
        <w:r>
          <w:rPr>
            <w:webHidden/>
          </w:rPr>
          <w:instrText xml:space="preserve"> PAGEREF _Toc151714535 \h </w:instrText>
        </w:r>
        <w:r>
          <w:rPr>
            <w:webHidden/>
          </w:rPr>
        </w:r>
        <w:r>
          <w:rPr>
            <w:webHidden/>
          </w:rPr>
          <w:fldChar w:fldCharType="separate"/>
        </w:r>
        <w:r>
          <w:rPr>
            <w:webHidden/>
          </w:rPr>
          <w:t>315</w:t>
        </w:r>
        <w:r>
          <w:rPr>
            <w:webHidden/>
          </w:rPr>
          <w:fldChar w:fldCharType="end"/>
        </w:r>
      </w:hyperlink>
    </w:p>
    <w:p w14:paraId="6B4BE499" w14:textId="185AFB8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6" w:history="1">
        <w:r w:rsidRPr="00EC7A8D">
          <w:rPr>
            <w:rStyle w:val="Hyperlink"/>
            <w:rFonts w:ascii="Times New Roman" w:hAnsi="Times New Roman"/>
          </w:rPr>
          <w:t>9.2 The boundary between trading book and non-trading book (BOU)</w:t>
        </w:r>
        <w:r>
          <w:rPr>
            <w:webHidden/>
          </w:rPr>
          <w:tab/>
        </w:r>
        <w:r>
          <w:rPr>
            <w:webHidden/>
          </w:rPr>
          <w:fldChar w:fldCharType="begin"/>
        </w:r>
        <w:r>
          <w:rPr>
            <w:webHidden/>
          </w:rPr>
          <w:instrText xml:space="preserve"> PAGEREF _Toc151714536 \h </w:instrText>
        </w:r>
        <w:r>
          <w:rPr>
            <w:webHidden/>
          </w:rPr>
        </w:r>
        <w:r>
          <w:rPr>
            <w:webHidden/>
          </w:rPr>
          <w:fldChar w:fldCharType="separate"/>
        </w:r>
        <w:r>
          <w:rPr>
            <w:webHidden/>
          </w:rPr>
          <w:t>318</w:t>
        </w:r>
        <w:r>
          <w:rPr>
            <w:webHidden/>
          </w:rPr>
          <w:fldChar w:fldCharType="end"/>
        </w:r>
      </w:hyperlink>
    </w:p>
    <w:p w14:paraId="598DBF3C" w14:textId="3BFECFBE"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7" w:history="1">
        <w:r w:rsidRPr="00EC7A8D">
          <w:rPr>
            <w:rStyle w:val="Hyperlink"/>
            <w:rFonts w:ascii="Times New Roman" w:hAnsi="Times New Roman"/>
          </w:rPr>
          <w:t>9.2.1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_Toc151714537 \h </w:instrText>
        </w:r>
        <w:r>
          <w:rPr>
            <w:webHidden/>
          </w:rPr>
        </w:r>
        <w:r>
          <w:rPr>
            <w:webHidden/>
          </w:rPr>
          <w:fldChar w:fldCharType="separate"/>
        </w:r>
        <w:r>
          <w:rPr>
            <w:webHidden/>
          </w:rPr>
          <w:t>318</w:t>
        </w:r>
        <w:r>
          <w:rPr>
            <w:webHidden/>
          </w:rPr>
          <w:fldChar w:fldCharType="end"/>
        </w:r>
      </w:hyperlink>
    </w:p>
    <w:p w14:paraId="2DEE522A" w14:textId="3D6B105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8" w:history="1">
        <w:r w:rsidRPr="00EC7A8D">
          <w:rPr>
            <w:rStyle w:val="Hyperlink"/>
            <w:rFonts w:ascii="Times New Roman" w:hAnsi="Times New Roman"/>
          </w:rPr>
          <w:t>9.2.2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90.05 – Boundary: Trading book (BOU1)</w:t>
        </w:r>
        <w:r>
          <w:rPr>
            <w:webHidden/>
          </w:rPr>
          <w:tab/>
        </w:r>
        <w:r>
          <w:rPr>
            <w:webHidden/>
          </w:rPr>
          <w:fldChar w:fldCharType="begin"/>
        </w:r>
        <w:r>
          <w:rPr>
            <w:webHidden/>
          </w:rPr>
          <w:instrText xml:space="preserve"> PAGEREF _Toc151714538 \h </w:instrText>
        </w:r>
        <w:r>
          <w:rPr>
            <w:webHidden/>
          </w:rPr>
        </w:r>
        <w:r>
          <w:rPr>
            <w:webHidden/>
          </w:rPr>
          <w:fldChar w:fldCharType="separate"/>
        </w:r>
        <w:r>
          <w:rPr>
            <w:webHidden/>
          </w:rPr>
          <w:t>318</w:t>
        </w:r>
        <w:r>
          <w:rPr>
            <w:webHidden/>
          </w:rPr>
          <w:fldChar w:fldCharType="end"/>
        </w:r>
      </w:hyperlink>
    </w:p>
    <w:p w14:paraId="2AD2E848" w14:textId="63A94E2A"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39" w:history="1">
        <w:r w:rsidRPr="00EC7A8D">
          <w:rPr>
            <w:rStyle w:val="Hyperlink"/>
            <w:rFonts w:ascii="Times New Roman" w:hAnsi="Times New Roman"/>
          </w:rPr>
          <w:t>9.2.2.1 General remarks</w:t>
        </w:r>
        <w:r>
          <w:rPr>
            <w:webHidden/>
          </w:rPr>
          <w:tab/>
        </w:r>
        <w:r>
          <w:rPr>
            <w:webHidden/>
          </w:rPr>
          <w:fldChar w:fldCharType="begin"/>
        </w:r>
        <w:r>
          <w:rPr>
            <w:webHidden/>
          </w:rPr>
          <w:instrText xml:space="preserve"> PAGEREF _Toc151714539 \h </w:instrText>
        </w:r>
        <w:r>
          <w:rPr>
            <w:webHidden/>
          </w:rPr>
        </w:r>
        <w:r>
          <w:rPr>
            <w:webHidden/>
          </w:rPr>
          <w:fldChar w:fldCharType="separate"/>
        </w:r>
        <w:r>
          <w:rPr>
            <w:webHidden/>
          </w:rPr>
          <w:t>318</w:t>
        </w:r>
        <w:r>
          <w:rPr>
            <w:webHidden/>
          </w:rPr>
          <w:fldChar w:fldCharType="end"/>
        </w:r>
      </w:hyperlink>
    </w:p>
    <w:p w14:paraId="7825CF85" w14:textId="61FA8921"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40" w:history="1">
        <w:r w:rsidRPr="00EC7A8D">
          <w:rPr>
            <w:rStyle w:val="Hyperlink"/>
            <w:rFonts w:ascii="Times New Roman" w:hAnsi="Times New Roman"/>
          </w:rPr>
          <w:t>9.2.2.2 Instructions concerning specific positions</w:t>
        </w:r>
        <w:r>
          <w:rPr>
            <w:webHidden/>
          </w:rPr>
          <w:tab/>
        </w:r>
        <w:r>
          <w:rPr>
            <w:webHidden/>
          </w:rPr>
          <w:fldChar w:fldCharType="begin"/>
        </w:r>
        <w:r>
          <w:rPr>
            <w:webHidden/>
          </w:rPr>
          <w:instrText xml:space="preserve"> PAGEREF _Toc151714540 \h </w:instrText>
        </w:r>
        <w:r>
          <w:rPr>
            <w:webHidden/>
          </w:rPr>
        </w:r>
        <w:r>
          <w:rPr>
            <w:webHidden/>
          </w:rPr>
          <w:fldChar w:fldCharType="separate"/>
        </w:r>
        <w:r>
          <w:rPr>
            <w:webHidden/>
          </w:rPr>
          <w:t>318</w:t>
        </w:r>
        <w:r>
          <w:rPr>
            <w:webHidden/>
          </w:rPr>
          <w:fldChar w:fldCharType="end"/>
        </w:r>
      </w:hyperlink>
    </w:p>
    <w:p w14:paraId="5D971873" w14:textId="2AA8BCD9"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41" w:history="1">
        <w:r w:rsidRPr="00EC7A8D">
          <w:rPr>
            <w:rStyle w:val="Hyperlink"/>
            <w:rFonts w:ascii="Times New Roman" w:hAnsi="Times New Roman"/>
          </w:rPr>
          <w:t>9.2.3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90.06 – Boundary: Non-trading book (BOU2)</w:t>
        </w:r>
        <w:r>
          <w:rPr>
            <w:webHidden/>
          </w:rPr>
          <w:tab/>
        </w:r>
        <w:r>
          <w:rPr>
            <w:webHidden/>
          </w:rPr>
          <w:fldChar w:fldCharType="begin"/>
        </w:r>
        <w:r>
          <w:rPr>
            <w:webHidden/>
          </w:rPr>
          <w:instrText xml:space="preserve"> PAGEREF _Toc151714541 \h </w:instrText>
        </w:r>
        <w:r>
          <w:rPr>
            <w:webHidden/>
          </w:rPr>
        </w:r>
        <w:r>
          <w:rPr>
            <w:webHidden/>
          </w:rPr>
          <w:fldChar w:fldCharType="separate"/>
        </w:r>
        <w:r>
          <w:rPr>
            <w:webHidden/>
          </w:rPr>
          <w:t>321</w:t>
        </w:r>
        <w:r>
          <w:rPr>
            <w:webHidden/>
          </w:rPr>
          <w:fldChar w:fldCharType="end"/>
        </w:r>
      </w:hyperlink>
    </w:p>
    <w:p w14:paraId="0891ECCA" w14:textId="42C5706F"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42" w:history="1">
        <w:r w:rsidRPr="00EC7A8D">
          <w:rPr>
            <w:rStyle w:val="Hyperlink"/>
            <w:rFonts w:ascii="Times New Roman" w:hAnsi="Times New Roman"/>
          </w:rPr>
          <w:t>9.2.3.1 General remarks</w:t>
        </w:r>
        <w:r>
          <w:rPr>
            <w:webHidden/>
          </w:rPr>
          <w:tab/>
        </w:r>
        <w:r>
          <w:rPr>
            <w:webHidden/>
          </w:rPr>
          <w:fldChar w:fldCharType="begin"/>
        </w:r>
        <w:r>
          <w:rPr>
            <w:webHidden/>
          </w:rPr>
          <w:instrText xml:space="preserve"> PAGEREF _Toc151714542 \h </w:instrText>
        </w:r>
        <w:r>
          <w:rPr>
            <w:webHidden/>
          </w:rPr>
        </w:r>
        <w:r>
          <w:rPr>
            <w:webHidden/>
          </w:rPr>
          <w:fldChar w:fldCharType="separate"/>
        </w:r>
        <w:r>
          <w:rPr>
            <w:webHidden/>
          </w:rPr>
          <w:t>321</w:t>
        </w:r>
        <w:r>
          <w:rPr>
            <w:webHidden/>
          </w:rPr>
          <w:fldChar w:fldCharType="end"/>
        </w:r>
      </w:hyperlink>
    </w:p>
    <w:p w14:paraId="6135C245" w14:textId="23788777"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43" w:history="1">
        <w:r w:rsidRPr="00EC7A8D">
          <w:rPr>
            <w:rStyle w:val="Hyperlink"/>
            <w:rFonts w:ascii="Times New Roman" w:hAnsi="Times New Roman"/>
          </w:rPr>
          <w:t>9.2.3.2 – Instructions concerning specific positions</w:t>
        </w:r>
        <w:r>
          <w:rPr>
            <w:webHidden/>
          </w:rPr>
          <w:tab/>
        </w:r>
        <w:r>
          <w:rPr>
            <w:webHidden/>
          </w:rPr>
          <w:fldChar w:fldCharType="begin"/>
        </w:r>
        <w:r>
          <w:rPr>
            <w:webHidden/>
          </w:rPr>
          <w:instrText xml:space="preserve"> PAGEREF _Toc151714543 \h </w:instrText>
        </w:r>
        <w:r>
          <w:rPr>
            <w:webHidden/>
          </w:rPr>
        </w:r>
        <w:r>
          <w:rPr>
            <w:webHidden/>
          </w:rPr>
          <w:fldChar w:fldCharType="separate"/>
        </w:r>
        <w:r>
          <w:rPr>
            <w:webHidden/>
          </w:rPr>
          <w:t>321</w:t>
        </w:r>
        <w:r>
          <w:rPr>
            <w:webHidden/>
          </w:rPr>
          <w:fldChar w:fldCharType="end"/>
        </w:r>
      </w:hyperlink>
    </w:p>
    <w:p w14:paraId="666AB671" w14:textId="2B9D8400" w:rsidR="00BF7235" w:rsidRDefault="00BF7235">
      <w:pPr>
        <w:pStyle w:val="TOC2"/>
        <w:rPr>
          <w:rFonts w:asciiTheme="minorHAnsi" w:eastAsiaTheme="minorEastAsia" w:hAnsiTheme="minorHAnsi" w:cstheme="minorBidi"/>
          <w:b w:val="0"/>
          <w:smallCaps w:val="0"/>
          <w:kern w:val="2"/>
          <w:sz w:val="22"/>
          <w:lang w:eastAsia="en-GB"/>
          <w14:ligatures w14:val="standardContextual"/>
        </w:rPr>
      </w:pPr>
      <w:hyperlink w:anchor="_Toc151714544" w:history="1">
        <w:r w:rsidRPr="00EC7A8D">
          <w:rPr>
            <w:rStyle w:val="Hyperlink"/>
            <w:rFonts w:ascii="Times New Roman" w:hAnsi="Times New Roman"/>
          </w:rPr>
          <w:t>9.3 C 24.01 - Trading book boundary - Reclassifications between books (MOV)</w:t>
        </w:r>
        <w:r>
          <w:rPr>
            <w:webHidden/>
          </w:rPr>
          <w:tab/>
        </w:r>
        <w:r>
          <w:rPr>
            <w:webHidden/>
          </w:rPr>
          <w:fldChar w:fldCharType="begin"/>
        </w:r>
        <w:r>
          <w:rPr>
            <w:webHidden/>
          </w:rPr>
          <w:instrText xml:space="preserve"> PAGEREF _Toc151714544 \h </w:instrText>
        </w:r>
        <w:r>
          <w:rPr>
            <w:webHidden/>
          </w:rPr>
        </w:r>
        <w:r>
          <w:rPr>
            <w:webHidden/>
          </w:rPr>
          <w:fldChar w:fldCharType="separate"/>
        </w:r>
        <w:r>
          <w:rPr>
            <w:webHidden/>
          </w:rPr>
          <w:t>326</w:t>
        </w:r>
        <w:r>
          <w:rPr>
            <w:webHidden/>
          </w:rPr>
          <w:fldChar w:fldCharType="end"/>
        </w:r>
      </w:hyperlink>
    </w:p>
    <w:p w14:paraId="4325A1DC" w14:textId="4F25BA0A"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151714353"/>
      <w:r w:rsidRPr="002A677E">
        <w:rPr>
          <w:rFonts w:ascii="Times New Roman" w:hAnsi="Times New Roman"/>
          <w:lang w:val="en-GB"/>
        </w:rPr>
        <w:t>PART I:</w:t>
      </w:r>
      <w:bookmarkEnd w:id="2"/>
      <w:r w:rsidRPr="002A677E">
        <w:rPr>
          <w:rFonts w:ascii="Times New Roman" w:hAnsi="Times New Roman"/>
          <w:lang w:val="en-GB"/>
        </w:rPr>
        <w:t xml:space="preserve"> GENERAL INSTRUCTIONS</w:t>
      </w:r>
      <w:bookmarkEnd w:id="3"/>
      <w:bookmarkEnd w:id="4"/>
      <w:bookmarkEnd w:id="5"/>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151714354"/>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 AND CONVENTIONS</w:t>
      </w:r>
      <w:bookmarkEnd w:id="6"/>
      <w:bookmarkEnd w:id="7"/>
      <w:bookmarkEnd w:id="8"/>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151714355"/>
      <w:bookmarkStart w:id="12" w:name="_Toc264038399"/>
      <w:bookmarkStart w:id="13" w:name="_Toc294018834"/>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w:t>
      </w:r>
      <w:bookmarkEnd w:id="9"/>
      <w:bookmarkEnd w:id="10"/>
      <w:bookmarkEnd w:id="11"/>
    </w:p>
    <w:p w14:paraId="336D6DE1" w14:textId="412EC209"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w:t>
      </w:r>
      <w:r>
        <w:fldChar w:fldCharType="end"/>
      </w:r>
      <w:r w:rsidR="00125707" w:rsidRPr="002A677E">
        <w:t>.</w:t>
      </w:r>
      <w:r w:rsidR="00125707" w:rsidRPr="002A677E">
        <w:tab/>
      </w:r>
      <w:r w:rsidR="002648B0" w:rsidRPr="002A677E">
        <w:t xml:space="preserve">Overall, the framework </w:t>
      </w:r>
      <w:r w:rsidR="00C44C83" w:rsidRPr="002A677E">
        <w:t>covers</w:t>
      </w:r>
      <w:r w:rsidR="002648B0" w:rsidRPr="002A677E">
        <w:t xml:space="preserve"> </w:t>
      </w:r>
      <w:r w:rsidR="00C44C83" w:rsidRPr="002A677E">
        <w:t>six</w:t>
      </w:r>
      <w:r w:rsidR="002648B0" w:rsidRPr="002A677E">
        <w:t xml:space="preserve"> </w:t>
      </w:r>
      <w:r w:rsidR="00C44C83" w:rsidRPr="002A677E">
        <w:t>topics</w:t>
      </w:r>
      <w:r w:rsidR="002648B0" w:rsidRPr="002A677E">
        <w:t>:</w:t>
      </w:r>
    </w:p>
    <w:p w14:paraId="081D30F3" w14:textId="77777777" w:rsidR="002648B0" w:rsidRPr="002A677E" w:rsidRDefault="00125707" w:rsidP="007F28DF">
      <w:pPr>
        <w:pStyle w:val="InstructionsText2"/>
        <w:numPr>
          <w:ilvl w:val="0"/>
          <w:numId w:val="0"/>
        </w:numPr>
        <w:ind w:left="993"/>
      </w:pPr>
      <w:r w:rsidRPr="002A677E">
        <w:t>(a)</w:t>
      </w:r>
      <w:r w:rsidRPr="002A677E">
        <w:tab/>
      </w:r>
      <w:r w:rsidR="008C017D" w:rsidRPr="002A677E">
        <w:t>c</w:t>
      </w:r>
      <w:r w:rsidR="002648B0" w:rsidRPr="002A677E">
        <w:t>apital adequacy, an overview of regulatory capi</w:t>
      </w:r>
      <w:r w:rsidR="00436204" w:rsidRPr="002A677E">
        <w:t>tal; total risk exposure amount</w:t>
      </w:r>
      <w:r w:rsidR="002648B0" w:rsidRPr="002A677E">
        <w:t>;</w:t>
      </w:r>
      <w:r w:rsidR="00C44C83" w:rsidRPr="002A677E">
        <w:t xml:space="preserve"> prudent valuation; NPE loss coverage;</w:t>
      </w:r>
    </w:p>
    <w:p w14:paraId="62EB9671" w14:textId="77777777" w:rsidR="00436204" w:rsidRPr="002A677E" w:rsidRDefault="00125707" w:rsidP="007F28DF">
      <w:pPr>
        <w:pStyle w:val="InstructionsText2"/>
        <w:numPr>
          <w:ilvl w:val="0"/>
          <w:numId w:val="0"/>
        </w:numPr>
        <w:ind w:left="993"/>
      </w:pPr>
      <w:r w:rsidRPr="002A677E">
        <w:t>(b)</w:t>
      </w:r>
      <w:r w:rsidRPr="002A677E">
        <w:tab/>
      </w:r>
      <w:r w:rsidR="008C017D" w:rsidRPr="002A677E">
        <w:t>g</w:t>
      </w:r>
      <w:r w:rsidR="00436204" w:rsidRPr="002A677E">
        <w:t>roup solvency, an overview of the fulfilment of the solvency requirements by all individual entities included in the scope of consolidation of the reporting entity</w:t>
      </w:r>
      <w:r w:rsidR="00C7103D" w:rsidRPr="002A677E">
        <w:t>;</w:t>
      </w:r>
    </w:p>
    <w:p w14:paraId="02F767CA" w14:textId="77777777" w:rsidR="002648B0" w:rsidRPr="002A677E" w:rsidRDefault="00125707" w:rsidP="007F28DF">
      <w:pPr>
        <w:pStyle w:val="InstructionsText2"/>
        <w:numPr>
          <w:ilvl w:val="0"/>
          <w:numId w:val="0"/>
        </w:numPr>
        <w:ind w:left="993"/>
      </w:pPr>
      <w:r w:rsidRPr="002A677E">
        <w:t>(c)</w:t>
      </w:r>
      <w:r w:rsidRPr="002A677E">
        <w:tab/>
      </w:r>
      <w:r w:rsidR="008C017D" w:rsidRPr="002A677E">
        <w:t>c</w:t>
      </w:r>
      <w:r w:rsidR="002648B0" w:rsidRPr="002A677E">
        <w:t>redit risk (including counterparty, dilution and settlement risks);</w:t>
      </w:r>
    </w:p>
    <w:p w14:paraId="685551B9" w14:textId="77777777" w:rsidR="002648B0" w:rsidRPr="002A677E" w:rsidRDefault="00125707" w:rsidP="007F28DF">
      <w:pPr>
        <w:pStyle w:val="InstructionsText2"/>
        <w:numPr>
          <w:ilvl w:val="0"/>
          <w:numId w:val="0"/>
        </w:numPr>
        <w:ind w:left="993"/>
      </w:pPr>
      <w:r w:rsidRPr="002A677E">
        <w:t>(d)</w:t>
      </w:r>
      <w:r w:rsidRPr="002A677E">
        <w:tab/>
      </w:r>
      <w:r w:rsidR="008C017D" w:rsidRPr="002A677E">
        <w:t>m</w:t>
      </w:r>
      <w:r w:rsidR="002648B0" w:rsidRPr="002A677E">
        <w:t>arket risk (</w:t>
      </w:r>
      <w:r w:rsidR="00436204" w:rsidRPr="002A677E">
        <w:t>including</w:t>
      </w:r>
      <w:r w:rsidR="002648B0" w:rsidRPr="002A677E">
        <w:t xml:space="preserve"> position risk in trading book, foreign exchange risk</w:t>
      </w:r>
      <w:r w:rsidR="00436204" w:rsidRPr="002A677E">
        <w:t>,</w:t>
      </w:r>
      <w:r w:rsidR="002648B0" w:rsidRPr="002A677E">
        <w:t xml:space="preserve"> commodities risk</w:t>
      </w:r>
      <w:r w:rsidR="00436204" w:rsidRPr="002A677E">
        <w:t xml:space="preserve"> and CVA risk</w:t>
      </w:r>
      <w:r w:rsidR="002648B0" w:rsidRPr="002A677E">
        <w:t>);</w:t>
      </w:r>
    </w:p>
    <w:p w14:paraId="2C2D1FE5" w14:textId="77777777" w:rsidR="00C44C83" w:rsidRPr="002A677E" w:rsidRDefault="00125707" w:rsidP="007F28DF">
      <w:pPr>
        <w:pStyle w:val="InstructionsText2"/>
        <w:numPr>
          <w:ilvl w:val="0"/>
          <w:numId w:val="0"/>
        </w:numPr>
        <w:ind w:left="993"/>
      </w:pPr>
      <w:r w:rsidRPr="002A677E">
        <w:t>(e)</w:t>
      </w:r>
      <w:r w:rsidRPr="002A677E">
        <w:tab/>
      </w:r>
      <w:r w:rsidR="008C017D" w:rsidRPr="002A677E">
        <w:t>o</w:t>
      </w:r>
      <w:r w:rsidR="00436204" w:rsidRPr="002A677E">
        <w:t>perational risk</w:t>
      </w:r>
      <w:r w:rsidR="00C44C83" w:rsidRPr="002A677E">
        <w:t>;</w:t>
      </w:r>
    </w:p>
    <w:p w14:paraId="5A2D5E12" w14:textId="66F1B60C" w:rsidR="002648B0" w:rsidRPr="002A677E" w:rsidRDefault="00C44C83" w:rsidP="007F28DF">
      <w:pPr>
        <w:pStyle w:val="InstructionsText2"/>
        <w:numPr>
          <w:ilvl w:val="0"/>
          <w:numId w:val="0"/>
        </w:numPr>
        <w:ind w:left="993"/>
      </w:pPr>
      <w:r w:rsidRPr="002A677E">
        <w:t>(f) general governments exposures</w:t>
      </w:r>
      <w:r w:rsidR="00602764">
        <w:t>.</w:t>
      </w:r>
    </w:p>
    <w:p w14:paraId="197EB621" w14:textId="79579863"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w:t>
      </w:r>
      <w:r>
        <w:fldChar w:fldCharType="end"/>
      </w:r>
      <w:r w:rsidR="00125707" w:rsidRPr="002A677E">
        <w:t>.</w:t>
      </w:r>
      <w:r w:rsidR="00125707" w:rsidRPr="002A677E">
        <w:tab/>
      </w:r>
      <w:r w:rsidR="002648B0" w:rsidRPr="002A677E">
        <w:t xml:space="preserve">For each template legal references are provided. Further detailed information </w:t>
      </w:r>
      <w:r w:rsidR="00615252">
        <w:t xml:space="preserve">on </w:t>
      </w:r>
      <w:r w:rsidR="002648B0" w:rsidRPr="002A677E">
        <w:t>more general aspects of the reporting of each block of templates, instructions concerning specific positions as well as validation rules are included in</w:t>
      </w:r>
      <w:r w:rsidR="00C71B86" w:rsidRPr="002A677E">
        <w:t xml:space="preserve"> this part of th</w:t>
      </w:r>
      <w:r w:rsidR="0059138D" w:rsidRPr="002A677E">
        <w:t>is</w:t>
      </w:r>
      <w:r w:rsidR="000C6938" w:rsidRPr="002A677E">
        <w:t xml:space="preserve"> </w:t>
      </w:r>
      <w:r w:rsidR="006B2333" w:rsidRPr="002A677E">
        <w:t xml:space="preserve">Implementing </w:t>
      </w:r>
      <w:r w:rsidR="0059138D" w:rsidRPr="002A677E">
        <w:t>Regulation</w:t>
      </w:r>
      <w:r w:rsidR="00C71B86" w:rsidRPr="002A677E">
        <w:t>.</w:t>
      </w:r>
    </w:p>
    <w:p w14:paraId="2D1DBE72" w14:textId="6E31C1F5"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w:t>
      </w:r>
      <w:r>
        <w:fldChar w:fldCharType="end"/>
      </w:r>
      <w:r w:rsidR="00125707" w:rsidRPr="002A677E">
        <w:t>.</w:t>
      </w:r>
      <w:r w:rsidR="00125707" w:rsidRPr="002A677E">
        <w:tab/>
      </w:r>
      <w:r w:rsidR="002648B0" w:rsidRPr="002A677E">
        <w:t xml:space="preserve">Institutions </w:t>
      </w:r>
      <w:r w:rsidR="003B43BA">
        <w:t>are to</w:t>
      </w:r>
      <w:r w:rsidR="003B43BA" w:rsidRPr="002A677E">
        <w:t xml:space="preserve"> </w:t>
      </w:r>
      <w:r w:rsidR="002648B0" w:rsidRPr="002A677E">
        <w:t>report only those templates that are relevant depending on the approach used for determining own funds requirements.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151714356"/>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Numbering convention</w:t>
      </w:r>
      <w:bookmarkEnd w:id="14"/>
      <w:bookmarkEnd w:id="15"/>
      <w:bookmarkEnd w:id="16"/>
    </w:p>
    <w:p w14:paraId="07DD29A3" w14:textId="182D1D02"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4</w:t>
      </w:r>
      <w:r>
        <w:fldChar w:fldCharType="end"/>
      </w:r>
      <w:r w:rsidR="00125707" w:rsidRPr="002A677E">
        <w:t>.</w:t>
      </w:r>
      <w:r w:rsidR="00125707" w:rsidRPr="002A677E">
        <w:tab/>
      </w:r>
      <w:r w:rsidR="002648B0" w:rsidRPr="002A677E">
        <w:t>The document follow</w:t>
      </w:r>
      <w:r w:rsidR="00C93697" w:rsidRPr="002A677E">
        <w:t>s</w:t>
      </w:r>
      <w:r w:rsidR="002648B0" w:rsidRPr="002A677E">
        <w:t xml:space="preserve"> the labelling convention set in </w:t>
      </w:r>
      <w:r w:rsidR="00C7103D" w:rsidRPr="002A677E">
        <w:t>points 5 to 8</w:t>
      </w:r>
      <w:r w:rsidR="002648B0" w:rsidRPr="002A677E">
        <w:t>, when referring to the columns, rows and cells of the templates. Th</w:t>
      </w:r>
      <w:r w:rsidR="00C7103D" w:rsidRPr="002A677E">
        <w:t>o</w:t>
      </w:r>
      <w:r w:rsidR="002648B0" w:rsidRPr="002A677E">
        <w:t>se numerical codes are extensively used in the validation rules.</w:t>
      </w:r>
    </w:p>
    <w:p w14:paraId="4A930757" w14:textId="4A79F7DD"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5</w:t>
      </w:r>
      <w:r>
        <w:fldChar w:fldCharType="end"/>
      </w:r>
      <w:r w:rsidR="00125707" w:rsidRPr="002A677E">
        <w:t>.</w:t>
      </w:r>
      <w:r w:rsidR="00125707" w:rsidRPr="002A677E">
        <w:tab/>
      </w:r>
      <w:r w:rsidR="002648B0" w:rsidRPr="002A677E">
        <w:t>The following general notation is followed in the instructions: {Template;</w:t>
      </w:r>
      <w:r w:rsidR="00133396" w:rsidRPr="002A677E">
        <w:t xml:space="preserve"> </w:t>
      </w:r>
      <w:r w:rsidR="002648B0" w:rsidRPr="002A677E">
        <w:t>Row;</w:t>
      </w:r>
      <w:r w:rsidR="00133396" w:rsidRPr="002A677E">
        <w:t xml:space="preserve"> </w:t>
      </w:r>
      <w:r w:rsidR="002648B0" w:rsidRPr="002A677E">
        <w:t>Column}.</w:t>
      </w:r>
    </w:p>
    <w:p w14:paraId="058D6622" w14:textId="1B4E08D3"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6</w:t>
      </w:r>
      <w:r>
        <w:fldChar w:fldCharType="end"/>
      </w:r>
      <w:r w:rsidR="00125707" w:rsidRPr="002A677E">
        <w:t>.</w:t>
      </w:r>
      <w:r w:rsidR="00125707" w:rsidRPr="002A677E">
        <w:tab/>
      </w:r>
      <w:r w:rsidR="002648B0" w:rsidRPr="002A677E">
        <w:t xml:space="preserve">In the case of validations inside a template, in which only data points of that template </w:t>
      </w:r>
      <w:r w:rsidR="00C7103D" w:rsidRPr="002A677E">
        <w:t xml:space="preserve">are </w:t>
      </w:r>
      <w:r w:rsidR="002648B0" w:rsidRPr="002A677E">
        <w:t xml:space="preserve">used, notations </w:t>
      </w:r>
      <w:r w:rsidR="00C93697" w:rsidRPr="002A677E">
        <w:t>do</w:t>
      </w:r>
      <w:r w:rsidR="002648B0" w:rsidRPr="002A677E">
        <w:t xml:space="preserve"> not refer to a template: {Row;</w:t>
      </w:r>
      <w:r w:rsidR="002C66A4" w:rsidRPr="002A677E">
        <w:t xml:space="preserve"> </w:t>
      </w:r>
      <w:r w:rsidR="002648B0" w:rsidRPr="002A677E">
        <w:t>Column}.</w:t>
      </w:r>
    </w:p>
    <w:p w14:paraId="1C93CB72" w14:textId="16D0C422"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7</w:t>
      </w:r>
      <w:r>
        <w:fldChar w:fldCharType="end"/>
      </w:r>
      <w:r w:rsidR="00125707" w:rsidRPr="002A677E">
        <w:t>.</w:t>
      </w:r>
      <w:r w:rsidR="00125707" w:rsidRPr="002A677E">
        <w:tab/>
      </w:r>
      <w:r w:rsidR="002648B0" w:rsidRPr="002A677E">
        <w:t xml:space="preserve">In the case of templates with only one column, only rows </w:t>
      </w:r>
      <w:r w:rsidR="00C93697" w:rsidRPr="002A677E">
        <w:t>are</w:t>
      </w:r>
      <w:r w:rsidR="002648B0" w:rsidRPr="002A677E">
        <w:t xml:space="preserve"> referred to. {Template;</w:t>
      </w:r>
      <w:r w:rsidR="002C66A4" w:rsidRPr="002A677E">
        <w:t xml:space="preserve"> </w:t>
      </w:r>
      <w:r w:rsidR="002648B0" w:rsidRPr="002A677E">
        <w:t>Row}</w:t>
      </w:r>
    </w:p>
    <w:p w14:paraId="6CF08484" w14:textId="5A8023E7"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8</w:t>
      </w:r>
      <w:r>
        <w:fldChar w:fldCharType="end"/>
      </w:r>
      <w:r w:rsidR="00125707" w:rsidRPr="002A677E">
        <w:t>.</w:t>
      </w:r>
      <w:r w:rsidR="00125707" w:rsidRPr="002A677E">
        <w:tab/>
      </w:r>
      <w:r w:rsidR="002648B0" w:rsidRPr="002A677E">
        <w:t xml:space="preserve">An asterisk sign </w:t>
      </w:r>
      <w:r w:rsidR="00C93697" w:rsidRPr="002A677E">
        <w:t>is</w:t>
      </w:r>
      <w:r w:rsidR="002648B0" w:rsidRPr="002A677E">
        <w:t xml:space="preserve"> used to express that the validation is done for the rows or columns specified before.</w:t>
      </w:r>
    </w:p>
    <w:p w14:paraId="6218AD51" w14:textId="7C8DFB3D" w:rsidR="002648B0" w:rsidRPr="002A677E" w:rsidRDefault="00125707" w:rsidP="00450C41">
      <w:pPr>
        <w:pStyle w:val="Instructionsberschrift2"/>
        <w:numPr>
          <w:ilvl w:val="0"/>
          <w:numId w:val="0"/>
        </w:numPr>
        <w:rPr>
          <w:rFonts w:ascii="Times New Roman" w:hAnsi="Times New Roman" w:cs="Times New Roman"/>
          <w:sz w:val="24"/>
          <w:u w:val="none"/>
          <w:lang w:val="en-GB"/>
        </w:rPr>
      </w:pPr>
      <w:bookmarkStart w:id="17" w:name="_Toc360188321"/>
      <w:bookmarkStart w:id="18" w:name="_Toc473560869"/>
      <w:bookmarkStart w:id="19" w:name="_Toc151714357"/>
      <w:r w:rsidRPr="002A677E">
        <w:rPr>
          <w:rFonts w:ascii="Times New Roman" w:hAnsi="Times New Roman" w:cs="Times New Roman"/>
          <w:sz w:val="24"/>
          <w:u w:val="none"/>
          <w:lang w:val="en-GB"/>
        </w:rPr>
        <w:lastRenderedPageBreak/>
        <w:t>1.3.</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Sign convention</w:t>
      </w:r>
      <w:bookmarkEnd w:id="12"/>
      <w:bookmarkEnd w:id="13"/>
      <w:bookmarkEnd w:id="17"/>
      <w:bookmarkEnd w:id="18"/>
      <w:bookmarkEnd w:id="19"/>
    </w:p>
    <w:p w14:paraId="67BDF5E2" w14:textId="4F3F1AB9"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9</w:t>
      </w:r>
      <w:r>
        <w:fldChar w:fldCharType="end"/>
      </w:r>
      <w:r w:rsidR="00125707" w:rsidRPr="002A677E">
        <w:t>.</w:t>
      </w:r>
      <w:r w:rsidR="00125707" w:rsidRPr="002A677E">
        <w:tab/>
      </w:r>
      <w:r w:rsidR="002648B0" w:rsidRPr="002A677E">
        <w:t xml:space="preserve">Any amount that increases the own funds or the capital requirements </w:t>
      </w:r>
      <w:r w:rsidR="00C93697" w:rsidRPr="002A677E">
        <w:t>shall</w:t>
      </w:r>
      <w:r w:rsidR="002648B0" w:rsidRPr="002A677E">
        <w:t xml:space="preserve"> be reported as a positive figure. On the contrary, any amount that reduces the total own funds or the capital requirements </w:t>
      </w:r>
      <w:r w:rsidR="00C93697" w:rsidRPr="002A677E">
        <w:t>shall</w:t>
      </w:r>
      <w:r w:rsidR="002648B0" w:rsidRPr="002A677E">
        <w:t xml:space="preserve"> be reported as a negative figure. Where there is a negative sign (-) preceding the label of an </w:t>
      </w:r>
      <w:r w:rsidR="0002267E" w:rsidRPr="002A677E">
        <w:t>item,</w:t>
      </w:r>
      <w:r w:rsidR="002648B0" w:rsidRPr="002A677E">
        <w:t xml:space="preserve"> no positive figure is expected to be reported for that item.</w:t>
      </w:r>
    </w:p>
    <w:p w14:paraId="69E08A1F" w14:textId="32B1E220" w:rsidR="00304CA5"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10</w:t>
      </w:r>
      <w:r>
        <w:fldChar w:fldCharType="end"/>
      </w:r>
      <w:r w:rsidR="00304CA5" w:rsidRPr="002A677E">
        <w:t>.</w:t>
      </w:r>
      <w:r w:rsidR="00AB7835">
        <w:t xml:space="preserve"> [empty]</w:t>
      </w:r>
    </w:p>
    <w:p w14:paraId="661FC092" w14:textId="77777777" w:rsidR="00304CA5" w:rsidRPr="002A677E" w:rsidRDefault="00304CA5" w:rsidP="0047337A">
      <w:pPr>
        <w:pStyle w:val="InstructionsText2"/>
        <w:numPr>
          <w:ilvl w:val="0"/>
          <w:numId w:val="0"/>
        </w:numPr>
        <w:ind w:left="993"/>
      </w:pPr>
    </w:p>
    <w:p w14:paraId="6B2B7DCC" w14:textId="77777777" w:rsidR="002648B0" w:rsidRPr="002A677E" w:rsidRDefault="002648B0" w:rsidP="00B055FF">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lang w:val="en-GB"/>
        </w:rPr>
      </w:pPr>
      <w:bookmarkStart w:id="21" w:name="_Toc360188322"/>
      <w:bookmarkStart w:id="22" w:name="_Toc473560870"/>
      <w:bookmarkStart w:id="23" w:name="_Toc151714358"/>
      <w:r w:rsidRPr="002A677E">
        <w:rPr>
          <w:rFonts w:ascii="Times New Roman" w:hAnsi="Times New Roman"/>
          <w:lang w:val="en-GB"/>
        </w:rPr>
        <w:t>PART II: TEMPLATE RELATED INSTRUCTIONS</w:t>
      </w:r>
      <w:bookmarkEnd w:id="21"/>
      <w:bookmarkEnd w:id="22"/>
      <w:bookmarkEnd w:id="23"/>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4" w:name="_Toc360188323"/>
      <w:bookmarkStart w:id="25" w:name="_Toc473560871"/>
      <w:bookmarkStart w:id="26" w:name="_Toc151714359"/>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0433C4" w:rsidRPr="002A677E">
        <w:rPr>
          <w:rFonts w:ascii="Times New Roman" w:hAnsi="Times New Roman" w:cs="Times New Roman"/>
          <w:sz w:val="24"/>
          <w:u w:val="none"/>
          <w:lang w:val="en-GB"/>
        </w:rPr>
        <w:t xml:space="preserve">Capital Adequacy </w:t>
      </w:r>
      <w:r w:rsidR="002648B0" w:rsidRPr="002A677E">
        <w:rPr>
          <w:rFonts w:ascii="Times New Roman" w:hAnsi="Times New Roman" w:cs="Times New Roman"/>
          <w:sz w:val="24"/>
          <w:u w:val="none"/>
          <w:lang w:val="en-GB"/>
        </w:rPr>
        <w:t>Overview</w:t>
      </w:r>
      <w:bookmarkEnd w:id="24"/>
      <w:r w:rsidR="007711E7" w:rsidRPr="002A677E">
        <w:rPr>
          <w:rFonts w:ascii="Times New Roman" w:hAnsi="Times New Roman" w:cs="Times New Roman"/>
          <w:sz w:val="24"/>
          <w:u w:val="none"/>
          <w:lang w:val="en-GB"/>
        </w:rPr>
        <w:t xml:space="preserve"> (</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CA</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w:t>
      </w:r>
      <w:bookmarkEnd w:id="25"/>
      <w:bookmarkEnd w:id="26"/>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7" w:name="_Toc308175819"/>
      <w:bookmarkStart w:id="28" w:name="_Toc360188324"/>
      <w:bookmarkStart w:id="29" w:name="_Toc473560872"/>
      <w:bookmarkStart w:id="30" w:name="_Toc151714360"/>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General remarks</w:t>
      </w:r>
      <w:bookmarkEnd w:id="27"/>
      <w:bookmarkEnd w:id="28"/>
      <w:bookmarkEnd w:id="29"/>
      <w:bookmarkEnd w:id="30"/>
    </w:p>
    <w:p w14:paraId="21F1BE9F" w14:textId="4F368224"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11</w:t>
      </w:r>
      <w:r>
        <w:fldChar w:fldCharType="end"/>
      </w:r>
      <w:r w:rsidR="00125707" w:rsidRPr="002A677E">
        <w:t>.</w:t>
      </w:r>
      <w:r w:rsidR="00125707" w:rsidRPr="002A677E">
        <w:tab/>
      </w:r>
      <w:r w:rsidR="001C36B0" w:rsidRPr="002A677E">
        <w:t xml:space="preserve">The </w:t>
      </w:r>
      <w:r w:rsidR="00070E18" w:rsidRPr="002A677E">
        <w:t>CA templates</w:t>
      </w:r>
      <w:r w:rsidR="002648B0" w:rsidRPr="002A677E">
        <w:t xml:space="preserve"> contain information about Pillar 1 numerators (own funds, Tier 1, Common Equity Tier 1), denominator (own funds requirement</w:t>
      </w:r>
      <w:r w:rsidR="00480A69" w:rsidRPr="002A677E">
        <w:t xml:space="preserve">s), and </w:t>
      </w:r>
      <w:r w:rsidR="002C66A4" w:rsidRPr="002A677E">
        <w:t xml:space="preserve">the application of </w:t>
      </w:r>
      <w:r w:rsidR="00566DB5" w:rsidRPr="001235ED">
        <w:rPr>
          <w:lang w:val="en-US"/>
        </w:rPr>
        <w:t xml:space="preserve">Regulation (EU) No 575/2013 </w:t>
      </w:r>
      <w:r w:rsidR="002C66A4" w:rsidRPr="002A677E">
        <w:t>and</w:t>
      </w:r>
      <w:r w:rsidR="00027D90" w:rsidRPr="002A677E">
        <w:t xml:space="preserve"> Directive 2013/36/EU</w:t>
      </w:r>
      <w:r w:rsidR="00027D90" w:rsidRPr="002A677E" w:rsidDel="00027D90">
        <w:t xml:space="preserve"> </w:t>
      </w:r>
      <w:r w:rsidR="00480A69" w:rsidRPr="002A677E">
        <w:t>transitional provisions and is structure</w:t>
      </w:r>
      <w:r w:rsidR="00C7103D" w:rsidRPr="002A677E">
        <w:t>d</w:t>
      </w:r>
      <w:r w:rsidR="00480A69" w:rsidRPr="002A677E">
        <w:t xml:space="preserve"> in five</w:t>
      </w:r>
      <w:r w:rsidR="002648B0" w:rsidRPr="002A677E">
        <w:t xml:space="preserve"> templates: </w:t>
      </w:r>
    </w:p>
    <w:p w14:paraId="522AAFB4" w14:textId="1294A203" w:rsidR="005643EA" w:rsidRPr="002A677E" w:rsidRDefault="00125707" w:rsidP="0047337A">
      <w:pPr>
        <w:pStyle w:val="InstructionsText2"/>
        <w:numPr>
          <w:ilvl w:val="0"/>
          <w:numId w:val="0"/>
        </w:numPr>
        <w:ind w:left="993"/>
      </w:pPr>
      <w:r w:rsidRPr="002A677E">
        <w:t>(a)</w:t>
      </w:r>
      <w:r w:rsidRPr="002A677E">
        <w:tab/>
      </w:r>
      <w:r w:rsidR="001C36B0" w:rsidRPr="002A677E">
        <w:t xml:space="preserve">Template </w:t>
      </w:r>
      <w:r w:rsidR="002648B0" w:rsidRPr="002A677E">
        <w:t xml:space="preserve">CA1 contains the amount of own funds of the institutions, disaggregated in the items needed to get to that amount. The amount of own funds obtained includes the aggregate effect of </w:t>
      </w:r>
      <w:r w:rsidR="002C66A4" w:rsidRPr="002A677E">
        <w:t>the application of</w:t>
      </w:r>
      <w:r w:rsidR="00566DB5" w:rsidRPr="001235ED">
        <w:rPr>
          <w:lang w:val="en-US"/>
        </w:rPr>
        <w:t xml:space="preserve"> Regulation (EU) No 575/2013 </w:t>
      </w:r>
      <w:r w:rsidR="002C66A4" w:rsidRPr="002A677E">
        <w:t xml:space="preserve">and </w:t>
      </w:r>
      <w:r w:rsidR="00027D90" w:rsidRPr="002A677E">
        <w:t>Directive 2013/36/EU</w:t>
      </w:r>
      <w:r w:rsidR="002C66A4" w:rsidRPr="002A677E">
        <w:t xml:space="preserve"> </w:t>
      </w:r>
      <w:r w:rsidR="002648B0" w:rsidRPr="002A677E">
        <w:t>transitional provisions per type of capital</w:t>
      </w:r>
      <w:r w:rsidR="00C7103D" w:rsidRPr="002A677E">
        <w:t>;</w:t>
      </w:r>
    </w:p>
    <w:p w14:paraId="4AA37357" w14:textId="67BDCFE9" w:rsidR="005643EA" w:rsidRPr="002A677E" w:rsidRDefault="00125707" w:rsidP="0047337A">
      <w:pPr>
        <w:pStyle w:val="InstructionsText2"/>
        <w:numPr>
          <w:ilvl w:val="0"/>
          <w:numId w:val="0"/>
        </w:numPr>
        <w:ind w:left="993"/>
      </w:pPr>
      <w:r w:rsidRPr="002A677E">
        <w:t>(b)</w:t>
      </w:r>
      <w:r w:rsidRPr="002A677E">
        <w:tab/>
      </w:r>
      <w:r w:rsidR="00FE22CD" w:rsidRPr="002A677E">
        <w:t xml:space="preserve">Template CA2 summarises the </w:t>
      </w:r>
      <w:r w:rsidR="00FE22CD">
        <w:t xml:space="preserve">floored, un-floored total risk exposure amounts (TREA) and standardised </w:t>
      </w:r>
      <w:r w:rsidR="00FE22CD" w:rsidRPr="002A677E">
        <w:t>total risk exposures amounts</w:t>
      </w:r>
      <w:r w:rsidR="00FE22CD">
        <w:t xml:space="preserve"> (S-TREA)</w:t>
      </w:r>
      <w:r w:rsidR="00FE22CD" w:rsidRPr="002A677E">
        <w:t xml:space="preserve"> as defined </w:t>
      </w:r>
      <w:r w:rsidR="00FE22CD">
        <w:t xml:space="preserve">respectively </w:t>
      </w:r>
      <w:r w:rsidR="00FE22CD" w:rsidRPr="002A677E">
        <w:t xml:space="preserve">in </w:t>
      </w:r>
      <w:r w:rsidR="00FE22CD">
        <w:t xml:space="preserve">paragraphs 3, 4 and 5 of </w:t>
      </w:r>
      <w:r w:rsidR="00FE22CD" w:rsidRPr="002A677E">
        <w:t>Article 92</w:t>
      </w:r>
      <w:r w:rsidR="00FE22CD">
        <w:t xml:space="preserve"> </w:t>
      </w:r>
      <w:r w:rsidR="00FE22CD" w:rsidRPr="001235ED">
        <w:rPr>
          <w:lang w:val="en-US"/>
        </w:rPr>
        <w:t>of Regulation (EU) No 575/2013</w:t>
      </w:r>
      <w:r w:rsidR="00C7103D" w:rsidRPr="002A677E">
        <w:t>;</w:t>
      </w:r>
    </w:p>
    <w:p w14:paraId="7B8CC078" w14:textId="2F6AE38A" w:rsidR="005643EA" w:rsidRPr="002A677E" w:rsidRDefault="00125707" w:rsidP="0047337A">
      <w:pPr>
        <w:pStyle w:val="InstructionsText2"/>
        <w:numPr>
          <w:ilvl w:val="0"/>
          <w:numId w:val="0"/>
        </w:numPr>
        <w:ind w:left="993"/>
      </w:pPr>
      <w:r w:rsidRPr="002A677E">
        <w:t>(c)</w:t>
      </w:r>
      <w:r w:rsidRPr="002A677E">
        <w:tab/>
      </w:r>
      <w:r w:rsidR="001C36B0" w:rsidRPr="002A677E">
        <w:t xml:space="preserve">Template </w:t>
      </w:r>
      <w:r w:rsidR="002648B0" w:rsidRPr="002A677E">
        <w:t>CA3 contains the ratios for which</w:t>
      </w:r>
      <w:r w:rsidR="00566DB5" w:rsidRPr="001235ED">
        <w:rPr>
          <w:lang w:val="en-US"/>
        </w:rPr>
        <w:t xml:space="preserve"> Regulation (EU) No 575/2013 </w:t>
      </w:r>
      <w:r w:rsidR="002648B0" w:rsidRPr="002A677E">
        <w:t>state</w:t>
      </w:r>
      <w:r w:rsidR="00C7103D" w:rsidRPr="002A677E">
        <w:t>s</w:t>
      </w:r>
      <w:r w:rsidR="002648B0" w:rsidRPr="002A677E">
        <w:t xml:space="preserve"> a minimum level</w:t>
      </w:r>
      <w:r w:rsidR="009E4A27">
        <w:t xml:space="preserve"> P</w:t>
      </w:r>
      <w:r w:rsidR="001C36B0" w:rsidRPr="002A677E">
        <w:t>illar 2 ratios</w:t>
      </w:r>
      <w:r w:rsidR="002648B0" w:rsidRPr="002A677E">
        <w:t xml:space="preserve"> and some other related data</w:t>
      </w:r>
      <w:r w:rsidR="00C7103D" w:rsidRPr="002A677E">
        <w:t>;</w:t>
      </w:r>
    </w:p>
    <w:p w14:paraId="61C0C310" w14:textId="4CDAA0D3" w:rsidR="005643EA" w:rsidRPr="002A677E" w:rsidRDefault="00125707" w:rsidP="0047337A">
      <w:pPr>
        <w:pStyle w:val="InstructionsText2"/>
        <w:numPr>
          <w:ilvl w:val="0"/>
          <w:numId w:val="0"/>
        </w:numPr>
        <w:ind w:left="993"/>
      </w:pPr>
      <w:r w:rsidRPr="002A677E">
        <w:t>(d)</w:t>
      </w:r>
      <w:r w:rsidRPr="002A677E">
        <w:tab/>
      </w:r>
      <w:r w:rsidR="001C36B0" w:rsidRPr="002A677E">
        <w:t xml:space="preserve">Template </w:t>
      </w:r>
      <w:r w:rsidR="002648B0" w:rsidRPr="002A677E">
        <w:t>CA4 contains memorandums items needed</w:t>
      </w:r>
      <w:r w:rsidR="000C6938" w:rsidRPr="002A677E">
        <w:t>, among others,</w:t>
      </w:r>
      <w:r w:rsidR="002648B0" w:rsidRPr="002A677E">
        <w:t xml:space="preserve"> for calculating items in CA1 as well as information with regard to </w:t>
      </w:r>
      <w:r w:rsidR="00027D90" w:rsidRPr="002A677E">
        <w:t>Directive 2013/36/EU</w:t>
      </w:r>
      <w:r w:rsidR="002648B0" w:rsidRPr="002A677E">
        <w:t xml:space="preserve"> capital buffers</w:t>
      </w:r>
      <w:r w:rsidR="00C7103D" w:rsidRPr="002A677E">
        <w:t>;</w:t>
      </w:r>
      <w:r w:rsidR="002648B0" w:rsidRPr="002A677E">
        <w:t xml:space="preserve"> </w:t>
      </w:r>
    </w:p>
    <w:p w14:paraId="3B08263D" w14:textId="6CFC2E59" w:rsidR="005643EA" w:rsidRPr="002A677E" w:rsidRDefault="00125707" w:rsidP="0047337A">
      <w:pPr>
        <w:pStyle w:val="InstructionsText2"/>
        <w:numPr>
          <w:ilvl w:val="0"/>
          <w:numId w:val="0"/>
        </w:numPr>
        <w:ind w:left="993"/>
      </w:pPr>
      <w:r w:rsidRPr="002A677E">
        <w:t>(e)</w:t>
      </w:r>
      <w:r w:rsidRPr="002A677E">
        <w:tab/>
      </w:r>
      <w:r w:rsidR="001C36B0" w:rsidRPr="002A677E">
        <w:t xml:space="preserve">Template </w:t>
      </w:r>
      <w:r w:rsidR="002648B0" w:rsidRPr="002A677E">
        <w:t xml:space="preserve">CA5 contains the data needed for calculating the effect </w:t>
      </w:r>
      <w:r w:rsidR="002C66A4" w:rsidRPr="002A677E">
        <w:t>of the application of</w:t>
      </w:r>
      <w:r w:rsidR="00566DB5" w:rsidRPr="001235ED">
        <w:rPr>
          <w:lang w:val="en-US"/>
        </w:rPr>
        <w:t xml:space="preserve"> Regulation (EU) No 575/2013 </w:t>
      </w:r>
      <w:r w:rsidR="002648B0" w:rsidRPr="002A677E">
        <w:t xml:space="preserve">transitional provisions in own funds. CA5 will </w:t>
      </w:r>
      <w:r w:rsidR="00912DF5" w:rsidRPr="002A677E">
        <w:t>cease</w:t>
      </w:r>
      <w:r w:rsidR="002648B0" w:rsidRPr="002A677E">
        <w:t xml:space="preserve"> to exist once </w:t>
      </w:r>
      <w:r w:rsidR="00C7103D" w:rsidRPr="002A677E">
        <w:t xml:space="preserve">those </w:t>
      </w:r>
      <w:r w:rsidR="002648B0" w:rsidRPr="002A677E">
        <w:t>transitional provisions expire.</w:t>
      </w:r>
    </w:p>
    <w:p w14:paraId="42AFBB71" w14:textId="16EF7CD6"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12</w:t>
      </w:r>
      <w:r>
        <w:fldChar w:fldCharType="end"/>
      </w:r>
      <w:r w:rsidR="00125707" w:rsidRPr="002A677E">
        <w:t>.</w:t>
      </w:r>
      <w:r w:rsidR="00125707" w:rsidRPr="002A677E">
        <w:tab/>
      </w:r>
      <w:r w:rsidR="002648B0" w:rsidRPr="002A677E">
        <w:t>The template</w:t>
      </w:r>
      <w:r w:rsidR="00480A69" w:rsidRPr="002A677E">
        <w:t>s</w:t>
      </w:r>
      <w:r w:rsidR="002648B0" w:rsidRPr="002A677E">
        <w:t xml:space="preserve"> </w:t>
      </w:r>
      <w:r w:rsidR="00DB4C59">
        <w:t>are to</w:t>
      </w:r>
      <w:r w:rsidR="00DB4C59" w:rsidRPr="002A677E">
        <w:t xml:space="preserve"> </w:t>
      </w:r>
      <w:r w:rsidR="00C7103D" w:rsidRPr="002A677E">
        <w:t>be used by</w:t>
      </w:r>
      <w:r w:rsidR="002648B0" w:rsidRPr="002A677E">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6AB6AA40" w14:textId="73ACA8B4"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13</w:t>
      </w:r>
      <w:r>
        <w:fldChar w:fldCharType="end"/>
      </w:r>
      <w:r w:rsidR="00125707" w:rsidRPr="002A677E">
        <w:t>.</w:t>
      </w:r>
      <w:r w:rsidR="00125707" w:rsidRPr="002A677E">
        <w:tab/>
      </w:r>
      <w:r w:rsidR="002648B0" w:rsidRPr="002A677E">
        <w:t xml:space="preserve">The total own funds </w:t>
      </w:r>
      <w:r w:rsidR="00480A69" w:rsidRPr="002A677E">
        <w:t>consist of</w:t>
      </w:r>
      <w:r w:rsidR="002648B0" w:rsidRPr="002A677E">
        <w:t xml:space="preserve"> different types of capital:</w:t>
      </w:r>
      <w:r w:rsidR="002A7C84" w:rsidRPr="002A677E">
        <w:t xml:space="preserve"> </w:t>
      </w:r>
      <w:r w:rsidR="002648B0" w:rsidRPr="002A677E">
        <w:t>Tier 1 capital (T1), which is the sum of</w:t>
      </w:r>
      <w:r w:rsidR="00552A83" w:rsidRPr="002A677E">
        <w:t xml:space="preserve"> </w:t>
      </w:r>
      <w:r w:rsidR="002648B0" w:rsidRPr="002A677E">
        <w:t>Common Equity Tier 1 capital (CET1)</w:t>
      </w:r>
      <w:r w:rsidR="000C6938" w:rsidRPr="002A677E">
        <w:t xml:space="preserve"> and </w:t>
      </w:r>
      <w:r w:rsidR="002648B0" w:rsidRPr="002A677E">
        <w:t>Additional Tier 1 capital (AT1) as well as</w:t>
      </w:r>
      <w:r w:rsidR="00552A83" w:rsidRPr="002A677E">
        <w:t xml:space="preserve"> </w:t>
      </w:r>
      <w:r w:rsidR="002648B0" w:rsidRPr="002A677E">
        <w:t>Tier 2 capital (T2)</w:t>
      </w:r>
      <w:r w:rsidR="00552A83" w:rsidRPr="002A677E">
        <w:t>.</w:t>
      </w:r>
      <w:r w:rsidR="002648B0" w:rsidRPr="002A677E">
        <w:t xml:space="preserve"> </w:t>
      </w:r>
    </w:p>
    <w:p w14:paraId="7CAE4F09" w14:textId="08990898"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14</w:t>
      </w:r>
      <w:r>
        <w:fldChar w:fldCharType="end"/>
      </w:r>
      <w:r w:rsidR="00125707" w:rsidRPr="002A677E">
        <w:t>.</w:t>
      </w:r>
      <w:r w:rsidR="00125707" w:rsidRPr="002A677E">
        <w:tab/>
      </w:r>
      <w:r w:rsidR="00C7103D" w:rsidRPr="002A677E">
        <w:t xml:space="preserve">The </w:t>
      </w:r>
      <w:r w:rsidR="002C66A4" w:rsidRPr="002A677E">
        <w:t xml:space="preserve">application of </w:t>
      </w:r>
      <w:r w:rsidR="00566DB5" w:rsidRPr="001235ED">
        <w:rPr>
          <w:lang w:val="en-US"/>
        </w:rPr>
        <w:t>Regulation (EU) No 575/2013</w:t>
      </w:r>
      <w:r w:rsidR="002C66A4" w:rsidRPr="002A677E">
        <w:t xml:space="preserve"> and </w:t>
      </w:r>
      <w:r w:rsidR="00027D90" w:rsidRPr="002A677E">
        <w:t>Directive 2013/36/EU</w:t>
      </w:r>
      <w:r w:rsidR="002C66A4" w:rsidRPr="002A677E">
        <w:t xml:space="preserve"> </w:t>
      </w:r>
      <w:r w:rsidR="00C7103D" w:rsidRPr="002A677E">
        <w:t>t</w:t>
      </w:r>
      <w:r w:rsidR="002648B0" w:rsidRPr="002A677E">
        <w:t xml:space="preserve">ransitional provisions </w:t>
      </w:r>
      <w:r w:rsidR="000C6938" w:rsidRPr="002A677E">
        <w:t xml:space="preserve">is </w:t>
      </w:r>
      <w:r w:rsidR="00DE4001" w:rsidRPr="002A677E">
        <w:t xml:space="preserve">treated as follows </w:t>
      </w:r>
      <w:r w:rsidR="002648B0" w:rsidRPr="002A677E">
        <w:t>in CA template</w:t>
      </w:r>
      <w:r w:rsidR="00DE4001" w:rsidRPr="002A677E">
        <w:t>s</w:t>
      </w:r>
      <w:r w:rsidR="002648B0" w:rsidRPr="002A677E">
        <w:t>:</w:t>
      </w:r>
    </w:p>
    <w:p w14:paraId="461AFACA" w14:textId="77777777" w:rsidR="00783881" w:rsidRPr="002A677E" w:rsidRDefault="00125707" w:rsidP="0047337A">
      <w:pPr>
        <w:pStyle w:val="InstructionsText2"/>
        <w:numPr>
          <w:ilvl w:val="0"/>
          <w:numId w:val="0"/>
        </w:numPr>
        <w:ind w:left="993"/>
      </w:pPr>
      <w:r w:rsidRPr="002A677E">
        <w:t>(a)</w:t>
      </w:r>
      <w:r w:rsidRPr="002A677E">
        <w:tab/>
      </w:r>
      <w:r w:rsidR="002648B0" w:rsidRPr="002A677E">
        <w:t>The items in CA1 are generally gross of transitional adjustments. Th</w:t>
      </w:r>
      <w:r w:rsidR="00C7103D" w:rsidRPr="002A677E">
        <w:t>at</w:t>
      </w:r>
      <w:r w:rsidR="002648B0" w:rsidRPr="002A677E">
        <w:t xml:space="preserve"> means that figures in CA1 items are calculated </w:t>
      </w:r>
      <w:r w:rsidR="00C7103D" w:rsidRPr="002A677E">
        <w:t>in accordance with</w:t>
      </w:r>
      <w:r w:rsidR="002648B0" w:rsidRPr="002A677E">
        <w:t xml:space="preserve"> the final provisions (i.e. as if there were no transitional provisions), with the exception of items summarizing the effect of th</w:t>
      </w:r>
      <w:r w:rsidR="002C66A4" w:rsidRPr="002A677E">
        <w:t xml:space="preserve">ose </w:t>
      </w:r>
      <w:r w:rsidR="002648B0" w:rsidRPr="002A677E">
        <w:t>transitional provisions. For each type of capital (i.e. CET1; AT1 and T2)</w:t>
      </w:r>
      <w:r w:rsidR="002C66A4" w:rsidRPr="002A677E">
        <w:t>,</w:t>
      </w:r>
      <w:r w:rsidR="002648B0" w:rsidRPr="002A677E">
        <w:t xml:space="preserve"> there are three different items in which all the adjustments due to </w:t>
      </w:r>
      <w:r w:rsidR="002C66A4" w:rsidRPr="002A677E">
        <w:t xml:space="preserve">those </w:t>
      </w:r>
      <w:r w:rsidR="002648B0" w:rsidRPr="002A677E">
        <w:t>transitional provisions are included</w:t>
      </w:r>
      <w:r w:rsidR="000433C4" w:rsidRPr="002A677E">
        <w:t>.</w:t>
      </w:r>
    </w:p>
    <w:p w14:paraId="1413EE3A" w14:textId="55A41872" w:rsidR="00113EA5" w:rsidRPr="002A677E" w:rsidRDefault="00125707" w:rsidP="0047337A">
      <w:pPr>
        <w:pStyle w:val="InstructionsText2"/>
        <w:numPr>
          <w:ilvl w:val="0"/>
          <w:numId w:val="0"/>
        </w:numPr>
        <w:ind w:left="993"/>
      </w:pPr>
      <w:r w:rsidRPr="002A677E">
        <w:lastRenderedPageBreak/>
        <w:t>(b)</w:t>
      </w:r>
      <w:r w:rsidRPr="002A677E">
        <w:tab/>
      </w:r>
      <w:r w:rsidR="00113EA5" w:rsidRPr="002A677E">
        <w:t xml:space="preserve">Transitional provisions may also affect the AT1 and the T2 shortfall (i.e. AT1 or T2 the excess of deduction, regulated in </w:t>
      </w:r>
      <w:r w:rsidR="00EB1DBE" w:rsidRPr="002A677E">
        <w:t>A</w:t>
      </w:r>
      <w:r w:rsidR="00113EA5" w:rsidRPr="002A677E">
        <w:t>rticle 36(1)</w:t>
      </w:r>
      <w:r w:rsidR="00B83DDE">
        <w:t>, p</w:t>
      </w:r>
      <w:r w:rsidR="00467F65" w:rsidRPr="002A677E">
        <w:t xml:space="preserve">oint (j) </w:t>
      </w:r>
      <w:r w:rsidR="00113EA5" w:rsidRPr="002A677E">
        <w:t xml:space="preserve">and </w:t>
      </w:r>
      <w:r w:rsidR="00C7103D" w:rsidRPr="002A677E">
        <w:t xml:space="preserve">Article </w:t>
      </w:r>
      <w:r w:rsidR="00113EA5" w:rsidRPr="002A677E">
        <w:t>5</w:t>
      </w:r>
      <w:r w:rsidR="003A4C8B" w:rsidRPr="002A677E">
        <w:t>6</w:t>
      </w:r>
      <w:r w:rsidR="00113EA5" w:rsidRPr="002A677E">
        <w:t xml:space="preserve"> </w:t>
      </w:r>
      <w:r w:rsidR="00566DB5" w:rsidRPr="001235ED">
        <w:rPr>
          <w:lang w:val="en-US"/>
        </w:rPr>
        <w:t>of Regulation (EU) No 575/2013</w:t>
      </w:r>
      <w:r w:rsidR="00B83DDE">
        <w:t>, p</w:t>
      </w:r>
      <w:r w:rsidR="00467F65" w:rsidRPr="002A677E">
        <w:t xml:space="preserve">oint (e) </w:t>
      </w:r>
      <w:r w:rsidR="00113EA5" w:rsidRPr="002A677E">
        <w:t>respectively), and thus the items containing th</w:t>
      </w:r>
      <w:r w:rsidR="00C7103D" w:rsidRPr="002A677E">
        <w:t>o</w:t>
      </w:r>
      <w:r w:rsidR="00113EA5" w:rsidRPr="002A677E">
        <w:t xml:space="preserve">se shortfalls may indirectly reflect the effect of </w:t>
      </w:r>
      <w:r w:rsidR="002C66A4" w:rsidRPr="002A677E">
        <w:t xml:space="preserve">those </w:t>
      </w:r>
      <w:r w:rsidR="00113EA5" w:rsidRPr="002A677E">
        <w:t>transitional provisions.</w:t>
      </w:r>
    </w:p>
    <w:p w14:paraId="5BA6EE8D" w14:textId="47E96DCD" w:rsidR="005643EA" w:rsidRPr="002A677E" w:rsidRDefault="00125707" w:rsidP="0047337A">
      <w:pPr>
        <w:pStyle w:val="InstructionsText2"/>
        <w:numPr>
          <w:ilvl w:val="0"/>
          <w:numId w:val="0"/>
        </w:numPr>
        <w:ind w:left="993"/>
      </w:pPr>
      <w:r w:rsidRPr="002A677E">
        <w:t>(c)</w:t>
      </w:r>
      <w:r w:rsidRPr="002A677E">
        <w:tab/>
      </w:r>
      <w:r w:rsidR="00113EA5" w:rsidRPr="002A677E">
        <w:t xml:space="preserve">Template </w:t>
      </w:r>
      <w:r w:rsidR="002648B0" w:rsidRPr="002A677E">
        <w:t>CA5 is exclusively used for reporting the</w:t>
      </w:r>
      <w:r w:rsidR="002C66A4" w:rsidRPr="002A677E">
        <w:t xml:space="preserve"> effect due to the application of </w:t>
      </w:r>
      <w:r w:rsidR="00566DB5" w:rsidRPr="001235ED">
        <w:rPr>
          <w:lang w:val="en-US"/>
        </w:rPr>
        <w:t>Regulation (EU) No 575/2013</w:t>
      </w:r>
      <w:r w:rsidR="002C66A4" w:rsidRPr="002A677E">
        <w:t xml:space="preserve"> </w:t>
      </w:r>
      <w:r w:rsidR="002648B0" w:rsidRPr="002A677E">
        <w:t>transitional provisions</w:t>
      </w:r>
      <w:r w:rsidR="007110A4">
        <w:t xml:space="preserve"> </w:t>
      </w:r>
      <w:r w:rsidR="00EC0C65">
        <w:t>with an impact on</w:t>
      </w:r>
      <w:r w:rsidR="007110A4">
        <w:t xml:space="preserve"> own funds</w:t>
      </w:r>
      <w:r w:rsidR="002648B0" w:rsidRPr="002A677E">
        <w:t xml:space="preserve">. </w:t>
      </w:r>
    </w:p>
    <w:p w14:paraId="2E1A7C01" w14:textId="6C225042" w:rsidR="00783881" w:rsidRPr="002A677E" w:rsidRDefault="008F3052" w:rsidP="0047337A">
      <w:pPr>
        <w:pStyle w:val="InstructionsText2"/>
        <w:numPr>
          <w:ilvl w:val="0"/>
          <w:numId w:val="0"/>
        </w:numPr>
        <w:ind w:left="1353"/>
      </w:pPr>
      <w:r>
        <w:fldChar w:fldCharType="begin"/>
      </w:r>
      <w:r>
        <w:instrText>seq paragraphs</w:instrText>
      </w:r>
      <w:r>
        <w:fldChar w:fldCharType="separate"/>
      </w:r>
      <w:r w:rsidR="005E3D5A">
        <w:rPr>
          <w:noProof/>
        </w:rPr>
        <w:t>15</w:t>
      </w:r>
      <w:r>
        <w:fldChar w:fldCharType="end"/>
      </w:r>
      <w:r w:rsidR="00125707" w:rsidRPr="002A677E">
        <w:t>.</w:t>
      </w:r>
      <w:r w:rsidR="00125707" w:rsidRPr="002A677E">
        <w:tab/>
      </w:r>
      <w:r w:rsidR="00014DC3" w:rsidRPr="002A677E">
        <w:t>The treatment of Pillar II requirements can be different within the U</w:t>
      </w:r>
      <w:r w:rsidR="00EB1DBE" w:rsidRPr="002A677E">
        <w:t>nion</w:t>
      </w:r>
      <w:r w:rsidR="00014DC3" w:rsidRPr="002A677E">
        <w:t xml:space="preserve"> (Article</w:t>
      </w:r>
      <w:r w:rsidR="002C66A4" w:rsidRPr="002A677E">
        <w:t> </w:t>
      </w:r>
      <w:r w:rsidR="003A497B" w:rsidRPr="002A677E">
        <w:t>104</w:t>
      </w:r>
      <w:r w:rsidR="006A6049" w:rsidRPr="002A677E">
        <w:t>a</w:t>
      </w:r>
      <w:r w:rsidR="00014DC3" w:rsidRPr="002A677E">
        <w:t>(</w:t>
      </w:r>
      <w:r w:rsidR="006A6049" w:rsidRPr="002A677E">
        <w:t>1</w:t>
      </w:r>
      <w:r w:rsidR="00014DC3" w:rsidRPr="002A677E">
        <w:t xml:space="preserve">) </w:t>
      </w:r>
      <w:r w:rsidR="00027D90" w:rsidRPr="002A677E">
        <w:t>of Directive 2013/36/EU</w:t>
      </w:r>
      <w:r w:rsidR="00014DC3" w:rsidRPr="002A677E">
        <w:t xml:space="preserve"> has to be transposed into national regulation). Only the impact of Pillar II requirements on the solvency ratio or the target ratio shall be included in the solvency reporting</w:t>
      </w:r>
      <w:r w:rsidR="00854E5A" w:rsidRPr="002A677E">
        <w:t xml:space="preserve"> </w:t>
      </w:r>
      <w:r w:rsidR="002C66A4" w:rsidRPr="002A677E">
        <w:t>required under</w:t>
      </w:r>
      <w:r w:rsidR="00110F40" w:rsidRPr="002A677E">
        <w:t xml:space="preserve"> </w:t>
      </w:r>
      <w:r w:rsidR="00566DB5" w:rsidRPr="001235ED">
        <w:rPr>
          <w:lang w:val="en-US"/>
        </w:rPr>
        <w:t>Regulation (EU) No 575/2013</w:t>
      </w:r>
      <w:r w:rsidR="00014DC3" w:rsidRPr="002A677E">
        <w:t xml:space="preserve">. </w:t>
      </w:r>
    </w:p>
    <w:p w14:paraId="4913F19A" w14:textId="77777777" w:rsidR="005643EA" w:rsidRPr="002A677E" w:rsidRDefault="00125707" w:rsidP="0047337A">
      <w:pPr>
        <w:pStyle w:val="InstructionsText2"/>
        <w:numPr>
          <w:ilvl w:val="0"/>
          <w:numId w:val="0"/>
        </w:numPr>
        <w:ind w:left="993"/>
      </w:pPr>
      <w:r w:rsidRPr="002A677E">
        <w:t>a)</w:t>
      </w:r>
      <w:r w:rsidRPr="002A677E">
        <w:tab/>
      </w:r>
      <w:r w:rsidR="00854E5A" w:rsidRPr="002A677E">
        <w:t>The template</w:t>
      </w:r>
      <w:r w:rsidR="00552A83" w:rsidRPr="002A677E">
        <w:t>s</w:t>
      </w:r>
      <w:r w:rsidR="00854E5A" w:rsidRPr="002A677E">
        <w:t xml:space="preserve"> </w:t>
      </w:r>
      <w:r w:rsidR="00014DC3" w:rsidRPr="002A677E">
        <w:t xml:space="preserve">CA1, CA2 or CA5 only </w:t>
      </w:r>
      <w:r w:rsidR="00AF3C10" w:rsidRPr="002A677E">
        <w:t>contain</w:t>
      </w:r>
      <w:r w:rsidR="00014DC3" w:rsidRPr="002A677E">
        <w:t xml:space="preserve"> data</w:t>
      </w:r>
      <w:r w:rsidR="00AF3C10" w:rsidRPr="002A677E">
        <w:t xml:space="preserve"> on Pillar </w:t>
      </w:r>
      <w:r w:rsidR="00A53C11" w:rsidRPr="002A677E">
        <w:t>I issues</w:t>
      </w:r>
      <w:r w:rsidR="00014DC3" w:rsidRPr="002A677E">
        <w:t>.</w:t>
      </w:r>
    </w:p>
    <w:p w14:paraId="1D28867A" w14:textId="77777777" w:rsidR="005643EA" w:rsidRPr="002A677E" w:rsidRDefault="00125707" w:rsidP="0047337A">
      <w:pPr>
        <w:pStyle w:val="InstructionsText2"/>
        <w:numPr>
          <w:ilvl w:val="0"/>
          <w:numId w:val="0"/>
        </w:numPr>
        <w:ind w:left="993"/>
      </w:pPr>
      <w:r w:rsidRPr="002A677E">
        <w:t>b)</w:t>
      </w:r>
      <w:r w:rsidRPr="002A677E">
        <w:tab/>
      </w:r>
      <w:r w:rsidR="00113EA5" w:rsidRPr="002A677E">
        <w:t>The template CA3 contains t</w:t>
      </w:r>
      <w:r w:rsidR="00014DC3" w:rsidRPr="002A677E">
        <w:t xml:space="preserve">he impact of additional Pillar II-requirements on the solvency ratio </w:t>
      </w:r>
      <w:r w:rsidR="00854E5A" w:rsidRPr="002A677E">
        <w:t xml:space="preserve">on an aggregated basis. </w:t>
      </w:r>
      <w:r w:rsidR="006A6049" w:rsidRPr="002A677E">
        <w:t>It mainly</w:t>
      </w:r>
      <w:r w:rsidR="00014DC3" w:rsidRPr="002A677E">
        <w:t xml:space="preserve"> </w:t>
      </w:r>
      <w:r w:rsidR="00113EA5" w:rsidRPr="002A677E">
        <w:t>focuses</w:t>
      </w:r>
      <w:r w:rsidR="00014DC3" w:rsidRPr="002A677E">
        <w:t xml:space="preserve"> on the </w:t>
      </w:r>
      <w:r w:rsidR="006A6049" w:rsidRPr="002A677E">
        <w:t xml:space="preserve">target </w:t>
      </w:r>
      <w:r w:rsidR="00014DC3" w:rsidRPr="002A677E">
        <w:t>ratio</w:t>
      </w:r>
      <w:r w:rsidR="006A6049" w:rsidRPr="002A677E">
        <w:t>s themselves</w:t>
      </w:r>
      <w:r w:rsidR="00014DC3" w:rsidRPr="002A677E">
        <w:t xml:space="preserve">. </w:t>
      </w:r>
      <w:r w:rsidR="006A6049" w:rsidRPr="002A677E">
        <w:t>There is no</w:t>
      </w:r>
      <w:r w:rsidR="00014DC3" w:rsidRPr="002A677E">
        <w:t xml:space="preserve"> further link to the templates CA1, CA2 or CA5.</w:t>
      </w:r>
    </w:p>
    <w:p w14:paraId="36BBAE84" w14:textId="73CEAC43" w:rsidR="005643EA" w:rsidRDefault="00125707" w:rsidP="0047337A">
      <w:pPr>
        <w:pStyle w:val="InstructionsText2"/>
        <w:numPr>
          <w:ilvl w:val="0"/>
          <w:numId w:val="0"/>
        </w:numPr>
        <w:ind w:left="993"/>
      </w:pPr>
      <w:r w:rsidRPr="002A677E">
        <w:t>c)</w:t>
      </w:r>
      <w:r w:rsidRPr="002A677E">
        <w:tab/>
      </w:r>
      <w:r w:rsidR="00113EA5" w:rsidRPr="002A677E">
        <w:t xml:space="preserve">The </w:t>
      </w:r>
      <w:r w:rsidR="00854E5A" w:rsidRPr="002A677E">
        <w:t>template</w:t>
      </w:r>
      <w:r w:rsidR="00113EA5" w:rsidRPr="002A677E">
        <w:t xml:space="preserve"> CA4 contains one cell regarding additional own funds requirements relating to Pillar II. Th</w:t>
      </w:r>
      <w:r w:rsidR="002C66A4" w:rsidRPr="002A677E">
        <w:t>at</w:t>
      </w:r>
      <w:r w:rsidR="00113EA5" w:rsidRPr="002A677E">
        <w:t xml:space="preserve"> cell has no link via validation rules to the capital ratios of the CA3 </w:t>
      </w:r>
      <w:r w:rsidR="00480A69" w:rsidRPr="002A677E">
        <w:t>template</w:t>
      </w:r>
      <w:r w:rsidR="00113EA5" w:rsidRPr="002A677E">
        <w:t xml:space="preserve"> and reflects Article 104</w:t>
      </w:r>
      <w:r w:rsidR="006A6049" w:rsidRPr="002A677E">
        <w:t>a</w:t>
      </w:r>
      <w:r w:rsidR="00113EA5" w:rsidRPr="002A677E">
        <w:t>(</w:t>
      </w:r>
      <w:r w:rsidR="006A6049" w:rsidRPr="002A677E">
        <w:t>1</w:t>
      </w:r>
      <w:r w:rsidR="00113EA5" w:rsidRPr="002A677E">
        <w:t xml:space="preserve">) </w:t>
      </w:r>
      <w:r w:rsidR="00027D90" w:rsidRPr="002A677E">
        <w:t>of Directive 2013/36/EU</w:t>
      </w:r>
      <w:r w:rsidR="00113EA5" w:rsidRPr="002A677E">
        <w:t xml:space="preserve"> which explicitly mentions additional own funds requirements as one possibility for Pillar II decisions.</w:t>
      </w:r>
    </w:p>
    <w:p w14:paraId="272519CE" w14:textId="069B2F61" w:rsidR="001174B1" w:rsidRDefault="000E39F1" w:rsidP="0047337A">
      <w:pPr>
        <w:pStyle w:val="InstructionsText2"/>
        <w:numPr>
          <w:ilvl w:val="0"/>
          <w:numId w:val="0"/>
        </w:numPr>
        <w:ind w:left="993"/>
      </w:pPr>
      <w:r>
        <w:t xml:space="preserve">15a. </w:t>
      </w:r>
      <w:r w:rsidR="00955DE2" w:rsidRPr="002A677E">
        <w:t xml:space="preserve">The </w:t>
      </w:r>
      <w:r w:rsidR="00955DE2">
        <w:t xml:space="preserve">application of the output floor requirements may affect TREA as well as own funds requirements the calculation of which depends on TREA: capital ratios, Pillar 2 requirements and capital buffers.   </w:t>
      </w:r>
    </w:p>
    <w:p w14:paraId="4F102D37" w14:textId="6A4D54B1" w:rsidR="00955DE2" w:rsidRPr="005B630F" w:rsidRDefault="005B630F" w:rsidP="0047337A">
      <w:pPr>
        <w:pStyle w:val="InstructionsText2"/>
        <w:numPr>
          <w:ilvl w:val="0"/>
          <w:numId w:val="0"/>
        </w:numPr>
        <w:ind w:left="993"/>
      </w:pPr>
      <w:r w:rsidRPr="002A677E">
        <w:t>a)</w:t>
      </w:r>
      <w:r w:rsidRPr="002A677E">
        <w:tab/>
      </w:r>
      <w:r>
        <w:t xml:space="preserve">The template CA2 contains the floored, un-floored and standardised total risk exposure amounts. The floored and standardised TREA reflect the effect of transitional arrangements for the output floor defined in Article 465 of </w:t>
      </w:r>
      <w:r w:rsidRPr="005B630F">
        <w:t>Regulation (EU) No 575/2013.</w:t>
      </w:r>
    </w:p>
    <w:p w14:paraId="521857F3" w14:textId="08F71E6B" w:rsidR="005B630F" w:rsidRDefault="00DD5973" w:rsidP="0047337A">
      <w:pPr>
        <w:pStyle w:val="InstructionsText2"/>
        <w:numPr>
          <w:ilvl w:val="0"/>
          <w:numId w:val="0"/>
        </w:numPr>
        <w:ind w:left="993"/>
      </w:pPr>
      <w:r w:rsidRPr="002A677E">
        <w:t>b)</w:t>
      </w:r>
      <w:r w:rsidRPr="002A677E">
        <w:tab/>
      </w:r>
      <w:r w:rsidR="007F77B8">
        <w:t xml:space="preserve">The template CA3 contains the floored and unfloored capital ratios and the total SREP capital requirement (TSCR) before and after the cap set out in Article 104a </w:t>
      </w:r>
      <w:r w:rsidR="007F77B8" w:rsidRPr="002A677E">
        <w:t>of Directive 2013/36/EU</w:t>
      </w:r>
      <w:r w:rsidR="007F77B8">
        <w:t xml:space="preserve"> and the capital ratios without the application of transitional arrangements for the output floor.</w:t>
      </w:r>
    </w:p>
    <w:p w14:paraId="611BA0D6" w14:textId="4D6B3714" w:rsidR="00DD5973" w:rsidRDefault="00DD5973" w:rsidP="0047337A">
      <w:pPr>
        <w:pStyle w:val="InstructionsText2"/>
        <w:numPr>
          <w:ilvl w:val="0"/>
          <w:numId w:val="0"/>
        </w:numPr>
        <w:ind w:left="993"/>
      </w:pPr>
      <w:r>
        <w:t>15b. The template CA4 contains the amounts of floor adjustments with and without the application of transitional arrangements for the output floor</w:t>
      </w:r>
      <w:r w:rsidR="00816BA4">
        <w:t xml:space="preserve">, as well as the </w:t>
      </w:r>
      <w:r w:rsidR="00661F76">
        <w:t xml:space="preserve">applicable output floor percentage pursuant to Article </w:t>
      </w:r>
      <w:r w:rsidR="00F50C1A">
        <w:t xml:space="preserve">465(1) </w:t>
      </w:r>
      <w:r w:rsidR="00B83CF3">
        <w:t>of Regulation (EU) No 575/2013</w:t>
      </w:r>
      <w:r w:rsidR="00E935D6">
        <w:t>.</w:t>
      </w:r>
    </w:p>
    <w:p w14:paraId="032631A8" w14:textId="4BE65688" w:rsidR="00A710EC" w:rsidRDefault="00733656" w:rsidP="0047337A">
      <w:pPr>
        <w:pStyle w:val="InstructionsText2"/>
        <w:numPr>
          <w:ilvl w:val="0"/>
          <w:numId w:val="0"/>
        </w:numPr>
        <w:ind w:left="993"/>
      </w:pPr>
      <w:r>
        <w:t xml:space="preserve">The template </w:t>
      </w:r>
      <w:r w:rsidR="005E02D3">
        <w:t>C 06.02</w:t>
      </w:r>
      <w:r w:rsidR="00097502">
        <w:t xml:space="preserve"> contain</w:t>
      </w:r>
      <w:r w:rsidR="00B041A5">
        <w:t>s</w:t>
      </w:r>
      <w:r w:rsidR="00097502">
        <w:t xml:space="preserve"> the floor adjustment in TREA of entities within the scope of consolidation.</w:t>
      </w:r>
    </w:p>
    <w:p w14:paraId="0DED2890" w14:textId="77777777" w:rsidR="0041192D" w:rsidRPr="002A677E" w:rsidRDefault="0041192D" w:rsidP="0047337A">
      <w:pPr>
        <w:pStyle w:val="InstructionsText2"/>
        <w:numPr>
          <w:ilvl w:val="0"/>
          <w:numId w:val="0"/>
        </w:numPr>
        <w:ind w:left="993"/>
      </w:pPr>
      <w:r>
        <w:t xml:space="preserve">15c. The templates C10.00, C13.01, C14.01 and C34.02 contain information about the standardised exposure values and standardised TREA calculated in accordance </w:t>
      </w:r>
      <w:r>
        <w:lastRenderedPageBreak/>
        <w:t xml:space="preserve">with Article 92(5) of </w:t>
      </w:r>
      <w:r w:rsidRPr="0041192D">
        <w:t xml:space="preserve">Regulation (EU) No 575/2013 and where applicable the impact of transitional arrangements for the calculation of S-TREA. </w:t>
      </w:r>
      <w:r>
        <w:t xml:space="preserve">  </w:t>
      </w:r>
    </w:p>
    <w:p w14:paraId="1E9292EE" w14:textId="77777777" w:rsidR="007F77B8" w:rsidRPr="002A677E" w:rsidRDefault="007F77B8" w:rsidP="0047337A">
      <w:pPr>
        <w:pStyle w:val="InstructionsText2"/>
        <w:numPr>
          <w:ilvl w:val="0"/>
          <w:numId w:val="0"/>
        </w:numPr>
        <w:ind w:left="993"/>
      </w:pP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1" w:name="_Toc473560873"/>
      <w:bookmarkStart w:id="32" w:name="_Toc151714361"/>
      <w:bookmarkStart w:id="33" w:name="_Toc308175820"/>
      <w:bookmarkStart w:id="34" w:name="_Toc360188325"/>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01.00 - OWN FUNDS (CA1)</w:t>
      </w:r>
      <w:bookmarkEnd w:id="31"/>
      <w:bookmarkEnd w:id="32"/>
      <w:r w:rsidR="002648B0" w:rsidRPr="002A677E">
        <w:rPr>
          <w:rFonts w:ascii="Times New Roman" w:hAnsi="Times New Roman" w:cs="Times New Roman"/>
          <w:sz w:val="24"/>
          <w:lang w:val="en-GB"/>
        </w:rPr>
        <w:t xml:space="preserve"> </w:t>
      </w:r>
      <w:bookmarkEnd w:id="33"/>
      <w:bookmarkEnd w:id="34"/>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 w:name="_Toc308175821"/>
      <w:bookmarkStart w:id="36" w:name="_Toc310414968"/>
      <w:bookmarkStart w:id="37" w:name="_Toc360188326"/>
      <w:bookmarkStart w:id="38" w:name="_Toc473560874"/>
      <w:bookmarkStart w:id="39" w:name="_Toc151714362"/>
      <w:r w:rsidRPr="002A677E">
        <w:rPr>
          <w:rFonts w:ascii="Times New Roman" w:hAnsi="Times New Roman" w:cs="Times New Roman"/>
          <w:sz w:val="24"/>
          <w:u w:val="none"/>
          <w:lang w:val="en-GB"/>
        </w:rPr>
        <w:t>1.2.1.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35"/>
      <w:bookmarkEnd w:id="36"/>
      <w:r w:rsidR="002B5403" w:rsidRPr="002A677E">
        <w:rPr>
          <w:rFonts w:ascii="Times New Roman" w:hAnsi="Times New Roman" w:cs="Times New Roman"/>
          <w:sz w:val="24"/>
          <w:lang w:val="en-GB"/>
        </w:rPr>
        <w:t>positions</w:t>
      </w:r>
      <w:bookmarkEnd w:id="37"/>
      <w:bookmarkEnd w:id="38"/>
      <w:bookmarkEnd w:id="39"/>
    </w:p>
    <w:p w14:paraId="576AA95C" w14:textId="77777777" w:rsidR="002648B0" w:rsidRPr="002A677E" w:rsidRDefault="002648B0" w:rsidP="00B055FF">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B055FF">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5F9C6DF8" w14:textId="77777777" w:rsidR="005643EA" w:rsidRPr="002A677E" w:rsidRDefault="002648B0" w:rsidP="00B055FF">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2648B0" w:rsidRPr="002A677E" w14:paraId="4DF964B1" w14:textId="77777777" w:rsidTr="00D731E3">
        <w:tc>
          <w:tcPr>
            <w:tcW w:w="1129" w:type="dxa"/>
          </w:tcPr>
          <w:p w14:paraId="4B969D4C"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010</w:t>
            </w:r>
          </w:p>
        </w:tc>
        <w:tc>
          <w:tcPr>
            <w:tcW w:w="7620" w:type="dxa"/>
          </w:tcPr>
          <w:p w14:paraId="6C1D3AFB" w14:textId="77777777" w:rsidR="00D7242F" w:rsidRPr="002A677E" w:rsidRDefault="00C66473"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Own funds</w:t>
            </w:r>
          </w:p>
          <w:p w14:paraId="386CAF3D" w14:textId="1638814A"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(118)</w:t>
            </w:r>
            <w:r w:rsidR="00FF161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 xml:space="preserve">72 </w:t>
            </w:r>
            <w:r w:rsidR="00655B6E" w:rsidRPr="001235ED">
              <w:rPr>
                <w:lang w:val="en-US"/>
              </w:rPr>
              <w:t xml:space="preserve">of Regulation (EU) No </w:t>
            </w:r>
            <w:r w:rsidR="00D21548" w:rsidRPr="001235ED">
              <w:rPr>
                <w:lang w:val="en-US"/>
              </w:rPr>
              <w:t>575/2013</w:t>
            </w:r>
          </w:p>
          <w:p w14:paraId="3C8B7AF9" w14:textId="77777777" w:rsidR="005643EA" w:rsidRPr="002A677E" w:rsidRDefault="002648B0"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r w:rsidR="00797C89" w:rsidRPr="002A677E">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015</w:t>
            </w:r>
          </w:p>
        </w:tc>
        <w:tc>
          <w:tcPr>
            <w:tcW w:w="7620" w:type="dxa"/>
          </w:tcPr>
          <w:p w14:paraId="478AF4FD" w14:textId="77777777" w:rsidR="005643EA" w:rsidRPr="002A677E" w:rsidRDefault="0066699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Tier 1 capital</w:t>
            </w:r>
          </w:p>
          <w:p w14:paraId="38E5595D" w14:textId="56DE5531"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25</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1A21B40" w14:textId="77777777" w:rsidR="005643EA" w:rsidRPr="002A677E" w:rsidRDefault="00666996"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2A677E" w14:paraId="35B60C57" w14:textId="77777777" w:rsidTr="00D731E3">
        <w:tc>
          <w:tcPr>
            <w:tcW w:w="1129" w:type="dxa"/>
          </w:tcPr>
          <w:p w14:paraId="35BA1B6C"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020</w:t>
            </w:r>
          </w:p>
        </w:tc>
        <w:tc>
          <w:tcPr>
            <w:tcW w:w="7620" w:type="dxa"/>
          </w:tcPr>
          <w:p w14:paraId="3FBABB9A" w14:textId="77777777" w:rsidR="005643EA" w:rsidRPr="002A677E" w:rsidRDefault="0066699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Common Equity Tier 1 capital</w:t>
            </w:r>
          </w:p>
          <w:p w14:paraId="79BBD3B7" w14:textId="35270E58"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50 </w:t>
            </w:r>
            <w:r w:rsidR="00655B6E" w:rsidRPr="001235ED">
              <w:rPr>
                <w:lang w:val="en-US"/>
              </w:rPr>
              <w:t xml:space="preserve">of Regulation (EU) No </w:t>
            </w:r>
            <w:r w:rsidR="00D21548" w:rsidRPr="001235ED">
              <w:rPr>
                <w:lang w:val="en-US"/>
              </w:rPr>
              <w:t>575/2013</w:t>
            </w:r>
          </w:p>
        </w:tc>
      </w:tr>
      <w:tr w:rsidR="002648B0" w:rsidRPr="002A677E" w14:paraId="6AFFA79C" w14:textId="77777777" w:rsidTr="00D731E3">
        <w:tc>
          <w:tcPr>
            <w:tcW w:w="1129" w:type="dxa"/>
          </w:tcPr>
          <w:p w14:paraId="24043EFF"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030</w:t>
            </w:r>
          </w:p>
        </w:tc>
        <w:tc>
          <w:tcPr>
            <w:tcW w:w="7620" w:type="dxa"/>
          </w:tcPr>
          <w:p w14:paraId="51F18ADC" w14:textId="3590E38A" w:rsidR="005643EA" w:rsidRPr="001235ED" w:rsidRDefault="000120EB" w:rsidP="00B055FF">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w:t>
            </w:r>
            <w:r w:rsidR="000D194E" w:rsidRPr="001235ED">
              <w:rPr>
                <w:rStyle w:val="InstructionsTabelleberschrift"/>
                <w:rFonts w:ascii="Times New Roman" w:hAnsi="Times New Roman"/>
                <w:sz w:val="24"/>
              </w:rPr>
              <w:t>.1.1.1</w:t>
            </w:r>
            <w:r w:rsidR="000D194E" w:rsidRPr="001235ED">
              <w:rPr>
                <w:rStyle w:val="InstructionsTabelleberschrift"/>
                <w:rFonts w:ascii="Times New Roman" w:hAnsi="Times New Roman"/>
                <w:sz w:val="24"/>
              </w:rPr>
              <w:tab/>
            </w:r>
            <w:r w:rsidRPr="001235ED">
              <w:rPr>
                <w:rStyle w:val="InstructionsTabelleberschrift"/>
                <w:rFonts w:ascii="Times New Roman" w:hAnsi="Times New Roman"/>
                <w:sz w:val="24"/>
              </w:rPr>
              <w:t xml:space="preserve">Capital instruments </w:t>
            </w:r>
            <w:r w:rsidR="00C53C4E" w:rsidRPr="001235ED">
              <w:rPr>
                <w:rStyle w:val="InstructionsTabelleberschrift"/>
                <w:rFonts w:ascii="Times New Roman" w:hAnsi="Times New Roman"/>
                <w:sz w:val="24"/>
              </w:rPr>
              <w:t xml:space="preserve">and share premium </w:t>
            </w:r>
            <w:r w:rsidRPr="001235ED">
              <w:rPr>
                <w:rStyle w:val="InstructionsTabelleberschrift"/>
                <w:rFonts w:ascii="Times New Roman" w:hAnsi="Times New Roman"/>
                <w:sz w:val="24"/>
              </w:rPr>
              <w:t>eligible as CET1 capital</w:t>
            </w:r>
          </w:p>
          <w:p w14:paraId="3A690C0A" w14:textId="2985F612"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(a) and (b),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0C7632" w:rsidRPr="002A677E">
              <w:rPr>
                <w:rStyle w:val="FormatvorlageInstructionsTabelleText"/>
                <w:rFonts w:ascii="Times New Roman" w:hAnsi="Times New Roman"/>
                <w:sz w:val="24"/>
              </w:rPr>
              <w:t>30</w:t>
            </w:r>
            <w:r w:rsidRPr="002A677E">
              <w:rPr>
                <w:rStyle w:val="FormatvorlageInstructionsTabelleText"/>
                <w:rFonts w:ascii="Times New Roman" w:hAnsi="Times New Roman"/>
                <w:sz w:val="24"/>
              </w:rPr>
              <w:t xml:space="preserve">, </w:t>
            </w:r>
            <w:r w:rsidR="00467F65"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81D8AD5" w14:textId="77777777" w:rsidTr="00D731E3">
        <w:tc>
          <w:tcPr>
            <w:tcW w:w="1129" w:type="dxa"/>
          </w:tcPr>
          <w:p w14:paraId="6CCDEC8D"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620" w:type="dxa"/>
          </w:tcPr>
          <w:p w14:paraId="32F8D82E" w14:textId="77777777" w:rsidR="005643EA" w:rsidRPr="002A677E" w:rsidRDefault="0066699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6A6049" w:rsidRPr="002A677E">
              <w:rPr>
                <w:rStyle w:val="InstructionsTabelleberschrift"/>
                <w:rFonts w:ascii="Times New Roman" w:hAnsi="Times New Roman"/>
                <w:sz w:val="24"/>
              </w:rPr>
              <w:t xml:space="preserve">Fully paid </w:t>
            </w:r>
            <w:r w:rsidR="002648B0" w:rsidRPr="002A677E">
              <w:rPr>
                <w:rStyle w:val="InstructionsTabelleberschrift"/>
                <w:rFonts w:ascii="Times New Roman" w:hAnsi="Times New Roman"/>
                <w:sz w:val="24"/>
              </w:rPr>
              <w:t>up capital instruments</w:t>
            </w:r>
          </w:p>
          <w:p w14:paraId="0F8A3967" w14:textId="2ABBA92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3A4C8B" w:rsidRPr="002A677E">
              <w:rPr>
                <w:rStyle w:val="FormatvorlageInstructionsTabelleText"/>
                <w:rFonts w:ascii="Times New Roman" w:hAnsi="Times New Roman"/>
                <w:sz w:val="24"/>
              </w:rPr>
              <w:t>3</w:t>
            </w:r>
            <w:r w:rsidR="00543DBD" w:rsidRPr="002A677E">
              <w:rPr>
                <w:rStyle w:val="FormatvorlageInstructionsTabelleText"/>
                <w:rFonts w:ascii="Times New Roman" w:hAnsi="Times New Roman"/>
                <w:sz w:val="24"/>
              </w:rPr>
              <w:t>1</w:t>
            </w:r>
            <w:r w:rsidR="0040711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C8CBFB" w14:textId="7324F1DD" w:rsidR="00FE3BD8" w:rsidRPr="002A677E" w:rsidRDefault="00543DBD"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w:t>
            </w:r>
            <w:r w:rsidR="002648B0" w:rsidRPr="002A677E">
              <w:rPr>
                <w:rStyle w:val="FormatvorlageInstructionsTabelleText"/>
                <w:rFonts w:ascii="Times New Roman" w:hAnsi="Times New Roman"/>
                <w:sz w:val="24"/>
              </w:rPr>
              <w:t xml:space="preserve">apital instruments of mutual, cooperative societies or similar institutions (Articles </w:t>
            </w:r>
            <w:r w:rsidR="003A497B"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and 2</w:t>
            </w:r>
            <w:r w:rsidR="003A497B" w:rsidRPr="002A677E">
              <w:rPr>
                <w:rStyle w:val="FormatvorlageInstructionsTabelleText"/>
                <w:rFonts w:ascii="Times New Roman" w:hAnsi="Times New Roman"/>
                <w:sz w:val="24"/>
              </w:rPr>
              <w:t>9</w:t>
            </w:r>
            <w:r w:rsidR="002648B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2648B0"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shall be included</w:t>
            </w:r>
            <w:r w:rsidR="002648B0" w:rsidRPr="002A677E">
              <w:rPr>
                <w:rStyle w:val="FormatvorlageInstructionsTabelleText"/>
                <w:rFonts w:ascii="Times New Roman" w:hAnsi="Times New Roman"/>
                <w:sz w:val="24"/>
              </w:rPr>
              <w:t>.</w:t>
            </w:r>
          </w:p>
          <w:p w14:paraId="6646326D" w14:textId="77777777" w:rsidR="00FE3BD8"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w:t>
            </w:r>
            <w:r w:rsidR="00543DBD" w:rsidRPr="002A677E">
              <w:rPr>
                <w:rStyle w:val="FormatvorlageInstructionsTabelleText"/>
                <w:rFonts w:ascii="Times New Roman" w:hAnsi="Times New Roman"/>
                <w:sz w:val="24"/>
              </w:rPr>
              <w:t xml:space="preserve"> shall not be included.</w:t>
            </w:r>
          </w:p>
          <w:p w14:paraId="2E095C10" w14:textId="133DCB79" w:rsidR="005643EA" w:rsidRPr="002A677E" w:rsidRDefault="00543DBD"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subscribed by public authorities in emergency situations shall be included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are fulfilled.</w:t>
            </w:r>
          </w:p>
        </w:tc>
      </w:tr>
      <w:tr w:rsidR="00216D67" w:rsidRPr="002A677E" w14:paraId="4E73C954" w14:textId="77777777" w:rsidTr="00D731E3">
        <w:tc>
          <w:tcPr>
            <w:tcW w:w="1129" w:type="dxa"/>
          </w:tcPr>
          <w:p w14:paraId="6063EFFC" w14:textId="77777777" w:rsidR="00216D67"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16D67" w:rsidRPr="002A677E">
              <w:rPr>
                <w:rStyle w:val="FormatvorlageInstructionsTabelleText"/>
                <w:rFonts w:ascii="Times New Roman" w:hAnsi="Times New Roman"/>
                <w:sz w:val="24"/>
              </w:rPr>
              <w:t>045</w:t>
            </w:r>
          </w:p>
        </w:tc>
        <w:tc>
          <w:tcPr>
            <w:tcW w:w="7620" w:type="dxa"/>
          </w:tcPr>
          <w:p w14:paraId="74FA71E2" w14:textId="77777777" w:rsidR="00216D67" w:rsidRPr="002A677E" w:rsidRDefault="00DD2C1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216D67" w:rsidRPr="002A677E">
              <w:rPr>
                <w:rStyle w:val="InstructionsTabelleberschrift"/>
                <w:rFonts w:ascii="Times New Roman" w:hAnsi="Times New Roman"/>
                <w:sz w:val="24"/>
              </w:rPr>
              <w:t>Of which: Capital instruments subscribed by public authorities in emergency situations</w:t>
            </w:r>
          </w:p>
          <w:p w14:paraId="46EFD50D" w14:textId="0FF2F7E3" w:rsidR="00216D67" w:rsidRPr="002A677E" w:rsidRDefault="00216D67"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sidR="00402284">
              <w:rPr>
                <w:rStyle w:val="InstructionsTabelleberschrift"/>
                <w:rFonts w:ascii="Times New Roman" w:hAnsi="Times New Roman"/>
                <w:b w:val="0"/>
                <w:sz w:val="24"/>
                <w:u w:val="none"/>
              </w:rPr>
              <w:t xml:space="preserve"> </w:t>
            </w:r>
            <w:r w:rsidR="00655B6E" w:rsidRPr="001235ED">
              <w:rPr>
                <w:lang w:val="en-US"/>
              </w:rPr>
              <w:t xml:space="preserve">of Regulation (EU) No </w:t>
            </w:r>
            <w:r w:rsidR="00D21548" w:rsidRPr="001235ED">
              <w:rPr>
                <w:lang w:val="en-US"/>
              </w:rPr>
              <w:t>575/2013</w:t>
            </w:r>
          </w:p>
          <w:p w14:paraId="79CD2790" w14:textId="44B3A242" w:rsidR="00216D67" w:rsidRPr="002A677E" w:rsidRDefault="00216D6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InstructionsTabelleberschrift"/>
                <w:rFonts w:ascii="Times New Roman" w:hAnsi="Times New Roman"/>
                <w:b w:val="0"/>
                <w:sz w:val="24"/>
                <w:u w:val="none"/>
              </w:rPr>
              <w:t>are fulfilled.</w:t>
            </w:r>
          </w:p>
        </w:tc>
      </w:tr>
      <w:tr w:rsidR="002648B0" w:rsidRPr="002A677E" w14:paraId="1CBAD62F" w14:textId="77777777" w:rsidTr="00D731E3">
        <w:tc>
          <w:tcPr>
            <w:tcW w:w="1129" w:type="dxa"/>
          </w:tcPr>
          <w:p w14:paraId="4AFF8BD5"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620" w:type="dxa"/>
          </w:tcPr>
          <w:p w14:paraId="48A44EEF"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Memorandum item: Capital instruments not eligible</w:t>
            </w:r>
          </w:p>
          <w:p w14:paraId="6274F785" w14:textId="08EBA2E3"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Article </w:t>
            </w:r>
            <w:r w:rsidR="003A497B" w:rsidRPr="002A677E">
              <w:rPr>
                <w:rStyle w:val="FormatvorlageInstructionsTabelleText"/>
                <w:rFonts w:ascii="Times New Roman" w:hAnsi="Times New Roman"/>
                <w:sz w:val="24"/>
              </w:rPr>
              <w:t>28</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oints (b), (l) and (m)</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C489B35"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8771DB0" w14:textId="23DA4DE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sidR="00CF5957">
              <w:rPr>
                <w:rStyle w:val="FormatvorlageInstructionsTabelleText"/>
                <w:rFonts w:ascii="Times New Roman" w:hAnsi="Times New Roman"/>
                <w:sz w:val="24"/>
              </w:rPr>
              <w:t>.</w:t>
            </w:r>
          </w:p>
        </w:tc>
      </w:tr>
      <w:tr w:rsidR="002648B0" w:rsidRPr="002A677E" w14:paraId="03B33CB1" w14:textId="77777777" w:rsidTr="00D731E3">
        <w:tc>
          <w:tcPr>
            <w:tcW w:w="1129" w:type="dxa"/>
          </w:tcPr>
          <w:p w14:paraId="46B79C78"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060</w:t>
            </w:r>
          </w:p>
        </w:tc>
        <w:tc>
          <w:tcPr>
            <w:tcW w:w="7620" w:type="dxa"/>
          </w:tcPr>
          <w:p w14:paraId="0CFA87CE"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Share premium</w:t>
            </w:r>
          </w:p>
          <w:p w14:paraId="0238A602" w14:textId="0DD89F14"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(b)</w:t>
            </w:r>
            <w:r w:rsidR="008D696E">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24548BB"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7041C01"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w:t>
            </w:r>
            <w:r w:rsidR="006A6049" w:rsidRPr="002A677E">
              <w:rPr>
                <w:rStyle w:val="FormatvorlageInstructionsTabelleText"/>
                <w:rFonts w:ascii="Times New Roman" w:hAnsi="Times New Roman"/>
                <w:sz w:val="24"/>
              </w:rPr>
              <w:t xml:space="preserve">Fully paid </w:t>
            </w:r>
            <w:r w:rsidRPr="002A677E">
              <w:rPr>
                <w:rStyle w:val="FormatvorlageInstructionsTabelleText"/>
                <w:rFonts w:ascii="Times New Roman" w:hAnsi="Times New Roman"/>
                <w:sz w:val="24"/>
              </w:rPr>
              <w:t>up capital instruments"</w:t>
            </w:r>
            <w:r w:rsidR="008F5BF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1235ED" w:rsidRDefault="00A53185"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620" w:type="dxa"/>
          </w:tcPr>
          <w:p w14:paraId="4873A5A6"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Own CET1 instruments</w:t>
            </w:r>
          </w:p>
          <w:p w14:paraId="17A6A53A" w14:textId="52D49DA1"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6F1D6654" w14:textId="3C7F1416"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sidR="003B0B15">
              <w:rPr>
                <w:rStyle w:val="FormatvorlageInstructionsTabelleText"/>
                <w:rFonts w:ascii="Times New Roman" w:hAnsi="Times New Roman"/>
                <w:sz w:val="24"/>
              </w:rPr>
              <w:t xml:space="preserve"> and amounts of CET1 instruments which have to be de</w:t>
            </w:r>
            <w:r w:rsidR="00B83DDE">
              <w:rPr>
                <w:rStyle w:val="FormatvorlageInstructionsTabelleText"/>
                <w:rFonts w:ascii="Times New Roman" w:hAnsi="Times New Roman"/>
                <w:sz w:val="24"/>
              </w:rPr>
              <w:t>d</w:t>
            </w:r>
            <w:r w:rsidR="003B0B15">
              <w:rPr>
                <w:rStyle w:val="FormatvorlageInstructionsTabelleText"/>
                <w:rFonts w:ascii="Times New Roman" w:hAnsi="Times New Roman"/>
                <w:sz w:val="24"/>
              </w:rPr>
              <w:t>ucted in accordance with Article 28(2) of</w:t>
            </w:r>
            <w:r w:rsidR="00DB4C59">
              <w:rPr>
                <w:rStyle w:val="FormatvorlageInstructionsTabelleText"/>
                <w:rFonts w:ascii="Times New Roman" w:hAnsi="Times New Roman"/>
                <w:sz w:val="24"/>
              </w:rPr>
              <w:t xml:space="preserve"> Commission</w:t>
            </w:r>
            <w:r w:rsidR="003B0B15">
              <w:rPr>
                <w:rStyle w:val="FormatvorlageInstructionsTabelleText"/>
                <w:rFonts w:ascii="Times New Roman" w:hAnsi="Times New Roman"/>
                <w:sz w:val="24"/>
              </w:rPr>
              <w:t xml:space="preserve"> Delegated Regulation (EU) No 241/2014</w:t>
            </w:r>
            <w:r w:rsidR="003B0B15" w:rsidRPr="002A677E">
              <w:rPr>
                <w:rStyle w:val="FootnoteReference"/>
                <w:rFonts w:ascii="Times New Roman" w:hAnsi="Times New Roman"/>
                <w:bCs/>
                <w:sz w:val="24"/>
                <w:szCs w:val="24"/>
                <w:vertAlign w:val="superscript"/>
              </w:rPr>
              <w:footnoteReference w:id="2"/>
            </w:r>
            <w:r w:rsidRPr="002A677E">
              <w:rPr>
                <w:rStyle w:val="FormatvorlageInstructionsTabelleText"/>
                <w:rFonts w:ascii="Times New Roman" w:hAnsi="Times New Roman"/>
                <w:sz w:val="24"/>
              </w:rPr>
              <w:t xml:space="preserve">. Subject to exceptions in 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p w14:paraId="55EB9090" w14:textId="77777777" w:rsidR="005643EA" w:rsidRPr="002A677E" w:rsidRDefault="002648B0"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Holdings on shares included as "Capital instruments not eligible" shall not be reported in this row.</w:t>
            </w:r>
          </w:p>
          <w:p w14:paraId="4915BB74"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1C5347E"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 to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1.1.1.5.</w:t>
            </w:r>
          </w:p>
        </w:tc>
      </w:tr>
      <w:tr w:rsidR="002648B0" w:rsidRPr="002A677E" w14:paraId="24A9D21A" w14:textId="77777777" w:rsidTr="00D731E3">
        <w:tc>
          <w:tcPr>
            <w:tcW w:w="1129" w:type="dxa"/>
          </w:tcPr>
          <w:p w14:paraId="57922310"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620" w:type="dxa"/>
          </w:tcPr>
          <w:p w14:paraId="1C57F442"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Direct holdings of CET1 instruments</w:t>
            </w:r>
          </w:p>
          <w:p w14:paraId="75423A7A" w14:textId="41B0080C"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42</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8CA447F" w14:textId="75A0EF20"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sidR="00B83DDE">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52B27E73" w14:textId="3A649023"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2A677E">
              <w:rPr>
                <w:rStyle w:val="FormatvorlageInstructionsTabelleText"/>
                <w:rFonts w:ascii="Times New Roman" w:hAnsi="Times New Roman"/>
                <w:sz w:val="24"/>
              </w:rPr>
              <w:t>42</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620" w:type="dxa"/>
          </w:tcPr>
          <w:p w14:paraId="424919D1"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Indirect holdings of CET1 instruments</w:t>
            </w:r>
          </w:p>
          <w:p w14:paraId="09702BF0" w14:textId="3EFA5BE4" w:rsidR="005643EA" w:rsidRPr="002A677E" w:rsidRDefault="00805255"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4033278" w14:textId="77777777" w:rsidTr="00D731E3">
        <w:tc>
          <w:tcPr>
            <w:tcW w:w="1129" w:type="dxa"/>
          </w:tcPr>
          <w:p w14:paraId="048D1D2A" w14:textId="77777777" w:rsidR="005643EA"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091</w:t>
            </w:r>
          </w:p>
        </w:tc>
        <w:tc>
          <w:tcPr>
            <w:tcW w:w="7620" w:type="dxa"/>
          </w:tcPr>
          <w:p w14:paraId="34A4870F"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Synthetic holdings of CET1 instruments</w:t>
            </w:r>
          </w:p>
          <w:p w14:paraId="26DE2A22" w14:textId="2872D286" w:rsidR="005643EA" w:rsidRPr="002A677E" w:rsidRDefault="00805255"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(126), 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C7103D"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2452134E" w14:textId="77777777" w:rsidTr="00D731E3">
        <w:tc>
          <w:tcPr>
            <w:tcW w:w="1129" w:type="dxa"/>
          </w:tcPr>
          <w:p w14:paraId="79B3F072"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092</w:t>
            </w:r>
          </w:p>
        </w:tc>
        <w:tc>
          <w:tcPr>
            <w:tcW w:w="7620" w:type="dxa"/>
          </w:tcPr>
          <w:p w14:paraId="071C30DD" w14:textId="77777777" w:rsidR="005643EA" w:rsidRPr="002A677E" w:rsidRDefault="0066699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Actual or contingent obligations to purchase own CET1 instruments</w:t>
            </w:r>
          </w:p>
          <w:p w14:paraId="5F8B540B" w14:textId="580330E0"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8D274F" w:rsidRPr="002A677E" w:rsidDel="00407110">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7F2407F4" w14:textId="2DA6F370" w:rsidR="005643EA" w:rsidRPr="002A677E" w:rsidRDefault="002648B0"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Article </w:t>
            </w:r>
            <w:r w:rsidR="00407110" w:rsidRPr="002A677E">
              <w:rPr>
                <w:rStyle w:val="InstructionsTabelleberschrift"/>
                <w:rFonts w:ascii="Times New Roman" w:hAnsi="Times New Roman"/>
                <w:b w:val="0"/>
                <w:sz w:val="24"/>
                <w:u w:val="none"/>
              </w:rPr>
              <w:t>36(</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467F65" w:rsidRPr="002A677E">
              <w:rPr>
                <w:rStyle w:val="FormatvorlageInstructionsTabelleText"/>
                <w:rFonts w:ascii="Times New Roman" w:hAnsi="Times New Roman"/>
                <w:sz w:val="24"/>
              </w:rPr>
              <w:t>oint (f)</w:t>
            </w:r>
            <w:r w:rsidR="00BE127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2648B0" w:rsidRPr="002A677E" w14:paraId="57B96802" w14:textId="77777777" w:rsidTr="00D731E3">
        <w:tc>
          <w:tcPr>
            <w:tcW w:w="1129" w:type="dxa"/>
          </w:tcPr>
          <w:p w14:paraId="7BBB4DF5"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620" w:type="dxa"/>
          </w:tcPr>
          <w:p w14:paraId="5BAA99CD"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Retained earnings</w:t>
            </w:r>
          </w:p>
          <w:p w14:paraId="3ADB3998" w14:textId="0D76E52F"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073D5A2F"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2648B0" w:rsidRPr="002A677E" w14:paraId="40435219" w14:textId="77777777" w:rsidTr="00D731E3">
        <w:tc>
          <w:tcPr>
            <w:tcW w:w="1129" w:type="dxa"/>
          </w:tcPr>
          <w:p w14:paraId="7ED7F1A2"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620" w:type="dxa"/>
          </w:tcPr>
          <w:p w14:paraId="3D5DDD0C"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Previous years retained earnings</w:t>
            </w:r>
          </w:p>
          <w:p w14:paraId="54F5DF50" w14:textId="139C4985"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784E49D" w14:textId="25A4171E"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defines retained earnings as "Profit and losses brought forward as a result of the final application of profit or loss under the applicable accounting </w:t>
            </w:r>
            <w:r w:rsidR="009F2B54"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w:t>
            </w:r>
            <w:r w:rsidR="003A4C8B" w:rsidRPr="002A677E">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620" w:type="dxa"/>
          </w:tcPr>
          <w:p w14:paraId="3B0AA1FB"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eligible</w:t>
            </w:r>
          </w:p>
          <w:p w14:paraId="21F4DCF2" w14:textId="30E40D7B"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(121), </w:t>
            </w:r>
            <w:r w:rsidR="00FF2818"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w:t>
            </w:r>
            <w:r w:rsidR="00467F65"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9CD03AF" w14:textId="6A57AFFF"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59132D42" w14:textId="37E5F52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 the other hand, losses shall be deducted from CET1, as stated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3A4C8B" w:rsidRPr="002A677E">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620" w:type="dxa"/>
          </w:tcPr>
          <w:p w14:paraId="7761C75F"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attributable to owners of the parent</w:t>
            </w:r>
          </w:p>
          <w:p w14:paraId="7D2A8D42" w14:textId="0BFAF8B2"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 and</w:t>
            </w:r>
            <w:r w:rsidR="00730040"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7A1695"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r w:rsidR="003A4C8B" w:rsidRPr="002A677E">
              <w:rPr>
                <w:rStyle w:val="FormatvorlageInstructionsTabelleText"/>
                <w:rFonts w:ascii="Times New Roman" w:hAnsi="Times New Roman"/>
                <w:sz w:val="24"/>
              </w:rPr>
              <w:t>.</w:t>
            </w:r>
          </w:p>
        </w:tc>
      </w:tr>
      <w:tr w:rsidR="002648B0" w:rsidRPr="002A677E" w14:paraId="49949D25" w14:textId="77777777" w:rsidTr="00D731E3">
        <w:tc>
          <w:tcPr>
            <w:tcW w:w="1129" w:type="dxa"/>
          </w:tcPr>
          <w:p w14:paraId="2460E57C"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620" w:type="dxa"/>
          </w:tcPr>
          <w:p w14:paraId="3450958C" w14:textId="77777777" w:rsidR="005643EA" w:rsidRPr="002A677E" w:rsidRDefault="0066699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Part of interim or year-end profit not eligible</w:t>
            </w:r>
          </w:p>
          <w:p w14:paraId="1285EAFD" w14:textId="08E5136F"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36949832"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w:t>
            </w:r>
            <w:r w:rsidR="00C7103D"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because the losses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completely deducted from CET1</w:t>
            </w:r>
            <w:r w:rsidR="00BA1C6C" w:rsidRPr="002A677E">
              <w:rPr>
                <w:rStyle w:val="FormatvorlageInstructionsTabelleText"/>
                <w:rFonts w:ascii="Times New Roman" w:hAnsi="Times New Roman"/>
                <w:sz w:val="24"/>
              </w:rPr>
              <w:t>.</w:t>
            </w:r>
          </w:p>
          <w:p w14:paraId="7D9F770C" w14:textId="4FC80CBF"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If the institution reports profits, the </w:t>
            </w:r>
            <w:r w:rsidR="0002267E" w:rsidRPr="002A677E">
              <w:rPr>
                <w:rStyle w:val="FormatvorlageInstructionsTabelleText"/>
                <w:rFonts w:ascii="Times New Roman" w:hAnsi="Times New Roman"/>
                <w:sz w:val="24"/>
              </w:rPr>
              <w:t xml:space="preserve">part, which is not eligible according to Article 26(2) </w:t>
            </w:r>
            <w:r w:rsidR="00655B6E" w:rsidRPr="001235ED">
              <w:rPr>
                <w:lang w:val="en-US"/>
              </w:rPr>
              <w:t xml:space="preserve">of Regulation (EU) No </w:t>
            </w:r>
            <w:r w:rsidR="00D21548" w:rsidRPr="001235ED">
              <w:rPr>
                <w:lang w:val="en-US"/>
              </w:rPr>
              <w:t>575/2013</w:t>
            </w:r>
            <w:r w:rsidR="00402284">
              <w:rPr>
                <w:lang w:val="en-US"/>
              </w:rPr>
              <w:t xml:space="preserve"> </w:t>
            </w:r>
            <w:r w:rsidR="0002267E" w:rsidRPr="002A677E">
              <w:rPr>
                <w:rStyle w:val="FormatvorlageInstructionsTabelleText"/>
                <w:rFonts w:ascii="Times New Roman" w:hAnsi="Times New Roman"/>
                <w:sz w:val="24"/>
              </w:rPr>
              <w:t>(i.e. profits not audited and foreseeable charges or dividends),</w:t>
            </w:r>
            <w:r w:rsidR="00C7103D" w:rsidRPr="002A677E">
              <w:rPr>
                <w:rStyle w:val="FormatvorlageInstructionsTabelleText"/>
                <w:rFonts w:ascii="Times New Roman" w:hAnsi="Times New Roman"/>
                <w:sz w:val="24"/>
              </w:rPr>
              <w:t xml:space="preserve"> shall be reported.</w:t>
            </w:r>
          </w:p>
          <w:p w14:paraId="69A71319"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Note that, in case of profits, the amount to be deduced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at least, the interim dividends</w:t>
            </w:r>
            <w:r w:rsidR="00BA1C6C" w:rsidRPr="002A677E">
              <w:rPr>
                <w:rStyle w:val="FormatvorlageInstructionsTabelleText"/>
                <w:rFonts w:ascii="Times New Roman" w:hAnsi="Times New Roman"/>
                <w:sz w:val="24"/>
              </w:rPr>
              <w:t>.</w:t>
            </w:r>
          </w:p>
        </w:tc>
      </w:tr>
      <w:tr w:rsidR="002648B0" w:rsidRPr="002A677E" w14:paraId="33F9A001" w14:textId="77777777" w:rsidTr="00D731E3">
        <w:tc>
          <w:tcPr>
            <w:tcW w:w="1129" w:type="dxa"/>
          </w:tcPr>
          <w:p w14:paraId="655D5FF8"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180</w:t>
            </w:r>
          </w:p>
        </w:tc>
        <w:tc>
          <w:tcPr>
            <w:tcW w:w="7620" w:type="dxa"/>
          </w:tcPr>
          <w:p w14:paraId="4A378A87"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Accumulated other comprehensive income</w:t>
            </w:r>
          </w:p>
          <w:p w14:paraId="4FCA4A4A" w14:textId="231792D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(100)</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(d)</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0CC48" w14:textId="546AA2B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2A677E">
              <w:rPr>
                <w:rStyle w:val="FormatvorlageInstructionsTabelleText"/>
                <w:rFonts w:ascii="Times New Roman" w:hAnsi="Times New Roman"/>
                <w:sz w:val="24"/>
              </w:rPr>
              <w:t xml:space="preserve">. The amount to be reported shall </w:t>
            </w:r>
            <w:r w:rsidR="0034786E" w:rsidRPr="002A677E">
              <w:rPr>
                <w:rStyle w:val="FormatvorlageInstructionsTabelleText"/>
                <w:rFonts w:ascii="Times New Roman" w:hAnsi="Times New Roman"/>
                <w:iCs/>
                <w:sz w:val="24"/>
              </w:rPr>
              <w:t>be determined in accordance with</w:t>
            </w:r>
            <w:r w:rsidR="00967FAE" w:rsidRPr="002A677E">
              <w:rPr>
                <w:rStyle w:val="FormatvorlageInstructionsTabelleText"/>
                <w:rFonts w:ascii="Times New Roman" w:hAnsi="Times New Roman"/>
                <w:iCs/>
                <w:sz w:val="24"/>
              </w:rPr>
              <w:t xml:space="preserve"> </w:t>
            </w:r>
            <w:r w:rsidR="00967FAE" w:rsidRPr="002A677E">
              <w:rPr>
                <w:rStyle w:val="FormatvorlageInstructionsTabelleText"/>
                <w:rFonts w:ascii="Times New Roman" w:hAnsi="Times New Roman"/>
                <w:sz w:val="24"/>
              </w:rPr>
              <w:t>Article 1</w:t>
            </w:r>
            <w:r w:rsidR="0034786E" w:rsidRPr="002A677E">
              <w:rPr>
                <w:rStyle w:val="FormatvorlageInstructionsTabelleText"/>
                <w:rFonts w:ascii="Times New Roman" w:hAnsi="Times New Roman"/>
                <w:sz w:val="24"/>
              </w:rPr>
              <w:t>3</w:t>
            </w:r>
            <w:r w:rsidR="00967FAE" w:rsidRPr="002A677E">
              <w:rPr>
                <w:rStyle w:val="FormatvorlageInstructionsTabelleText"/>
                <w:rFonts w:ascii="Times New Roman" w:hAnsi="Times New Roman"/>
                <w:sz w:val="24"/>
              </w:rPr>
              <w:t>(4) of</w:t>
            </w:r>
            <w:r w:rsidR="00FE3BD8" w:rsidRPr="002A677E">
              <w:rPr>
                <w:rStyle w:val="FormatvorlageInstructionsTabelleText"/>
                <w:rFonts w:ascii="Times New Roman" w:hAnsi="Times New Roman"/>
                <w:sz w:val="24"/>
              </w:rPr>
              <w:t xml:space="preserve"> </w:t>
            </w:r>
            <w:r w:rsidR="00E871FE" w:rsidRPr="002A677E">
              <w:rPr>
                <w:rStyle w:val="FormatvorlageInstructionsTabelleText"/>
                <w:rFonts w:ascii="Times New Roman" w:hAnsi="Times New Roman"/>
                <w:sz w:val="24"/>
              </w:rPr>
              <w:t>Commission Delegated Regu</w:t>
            </w:r>
            <w:r w:rsidR="0034786E" w:rsidRPr="002A677E">
              <w:rPr>
                <w:rStyle w:val="FormatvorlageInstructionsTabelleText"/>
                <w:rFonts w:ascii="Times New Roman" w:hAnsi="Times New Roman"/>
                <w:sz w:val="24"/>
              </w:rPr>
              <w:t>lation (EU) No 241/2014</w:t>
            </w:r>
            <w:r w:rsidR="00E871FE" w:rsidRPr="002A677E">
              <w:rPr>
                <w:rStyle w:val="FormatvorlageInstructionsTabelleText"/>
                <w:rFonts w:ascii="Times New Roman" w:hAnsi="Times New Roman"/>
                <w:sz w:val="24"/>
              </w:rPr>
              <w:t xml:space="preserve">. </w:t>
            </w:r>
          </w:p>
        </w:tc>
      </w:tr>
      <w:tr w:rsidR="002648B0" w:rsidRPr="002A677E" w14:paraId="53147632" w14:textId="77777777" w:rsidTr="00D731E3">
        <w:tc>
          <w:tcPr>
            <w:tcW w:w="1129" w:type="dxa"/>
          </w:tcPr>
          <w:p w14:paraId="0A7C0289"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620" w:type="dxa"/>
          </w:tcPr>
          <w:p w14:paraId="5279EFC6"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Other reserves</w:t>
            </w:r>
          </w:p>
          <w:p w14:paraId="2AF06D00" w14:textId="40C434D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(117)</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(e)</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926C51" w14:textId="5A69441B"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00655B6E" w:rsidRPr="001235ED">
              <w:rPr>
                <w:lang w:val="en-US"/>
              </w:rPr>
              <w:t xml:space="preserve">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as "Reserves within the meaning of the applicable accounting </w:t>
            </w:r>
            <w:r w:rsidR="0009761E"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60525F07"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6D374D3A" w14:textId="77777777" w:rsidTr="00D731E3">
        <w:tc>
          <w:tcPr>
            <w:tcW w:w="1129" w:type="dxa"/>
          </w:tcPr>
          <w:p w14:paraId="53073028"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620" w:type="dxa"/>
          </w:tcPr>
          <w:p w14:paraId="55CF601F"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Funds for general banking risk</w:t>
            </w:r>
          </w:p>
          <w:p w14:paraId="0FA76D31" w14:textId="78EBD8A9"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(112)</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2514A1CE" w14:textId="52657B86"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38 </w:t>
            </w:r>
            <w:r w:rsidR="00B64EB6" w:rsidRPr="002A677E">
              <w:t>of Council Directive 86/635/EEC</w:t>
            </w:r>
            <w:r w:rsidRPr="002A677E">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2A677E">
              <w:rPr>
                <w:rStyle w:val="FormatvorlageInstructionsTabelleText"/>
                <w:rFonts w:ascii="Times New Roman" w:hAnsi="Times New Roman"/>
                <w:sz w:val="24"/>
              </w:rPr>
              <w:t>.</w:t>
            </w:r>
          </w:p>
          <w:p w14:paraId="23902DBC"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0A60FFDD" w14:textId="77777777" w:rsidTr="00D731E3">
        <w:tc>
          <w:tcPr>
            <w:tcW w:w="1129" w:type="dxa"/>
          </w:tcPr>
          <w:p w14:paraId="7D9A924B"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220</w:t>
            </w:r>
          </w:p>
        </w:tc>
        <w:tc>
          <w:tcPr>
            <w:tcW w:w="7620" w:type="dxa"/>
          </w:tcPr>
          <w:p w14:paraId="2DEB3A90"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.1.1.6</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Transitional adjustments due to grandfathered CET1 </w:t>
            </w:r>
            <w:r w:rsidR="00CD7D5B" w:rsidRPr="002A677E">
              <w:rPr>
                <w:rStyle w:val="InstructionsTabelleberschrift"/>
                <w:rFonts w:ascii="Times New Roman" w:hAnsi="Times New Roman"/>
                <w:sz w:val="24"/>
              </w:rPr>
              <w:t>C</w:t>
            </w:r>
            <w:r w:rsidR="00BA1C6C" w:rsidRPr="002A677E">
              <w:rPr>
                <w:rStyle w:val="InstructionsTabelleberschrift"/>
                <w:rFonts w:ascii="Times New Roman" w:hAnsi="Times New Roman"/>
                <w:sz w:val="24"/>
              </w:rPr>
              <w:t xml:space="preserve">apital </w:t>
            </w:r>
            <w:r w:rsidR="002648B0" w:rsidRPr="002A677E">
              <w:rPr>
                <w:rStyle w:val="InstructionsTabelleberschrift"/>
                <w:rFonts w:ascii="Times New Roman" w:hAnsi="Times New Roman"/>
                <w:sz w:val="24"/>
              </w:rPr>
              <w:t>instruments</w:t>
            </w:r>
          </w:p>
          <w:p w14:paraId="34326EC5" w14:textId="7EA9CC71"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B542AB" w:rsidRPr="002A677E">
              <w:rPr>
                <w:rStyle w:val="FormatvorlageInstructionsTabelleText"/>
                <w:rFonts w:ascii="Times New Roman" w:hAnsi="Times New Roman"/>
                <w:sz w:val="24"/>
              </w:rPr>
              <w:t>483</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484</w:t>
            </w:r>
            <w:r w:rsidRPr="002A677E">
              <w:rPr>
                <w:rStyle w:val="FormatvorlageInstructionsTabelleText"/>
                <w:rFonts w:ascii="Times New Roman" w:hAnsi="Times New Roman"/>
                <w:sz w:val="24"/>
              </w:rPr>
              <w:t xml:space="preserve"> to </w:t>
            </w:r>
            <w:r w:rsidR="00B542AB" w:rsidRPr="002A677E">
              <w:rPr>
                <w:rStyle w:val="FormatvorlageInstructionsTabelleText"/>
                <w:rFonts w:ascii="Times New Roman" w:hAnsi="Times New Roman"/>
                <w:sz w:val="24"/>
              </w:rPr>
              <w:t>487</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DD047D9"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2A677E" w14:paraId="03EC0373" w14:textId="77777777" w:rsidTr="00D731E3">
        <w:tc>
          <w:tcPr>
            <w:tcW w:w="1129" w:type="dxa"/>
          </w:tcPr>
          <w:p w14:paraId="46448552"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230</w:t>
            </w:r>
          </w:p>
        </w:tc>
        <w:tc>
          <w:tcPr>
            <w:tcW w:w="7620" w:type="dxa"/>
          </w:tcPr>
          <w:p w14:paraId="4DBB71EE" w14:textId="77777777" w:rsidR="005643EA" w:rsidRPr="002A677E" w:rsidRDefault="00666996"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.1.1.7</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Minority interest given recognition in CET1 capital</w:t>
            </w:r>
          </w:p>
          <w:p w14:paraId="2B0E9AD1" w14:textId="0AE3BECA"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C53B22" w:rsidRPr="002A677E">
              <w:rPr>
                <w:rStyle w:val="FormatvorlageInstructionsTabelleText"/>
                <w:rFonts w:ascii="Times New Roman" w:hAnsi="Times New Roman"/>
                <w:sz w:val="24"/>
              </w:rPr>
              <w:t>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(120)</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C53B22" w:rsidRPr="002A677E">
              <w:rPr>
                <w:rStyle w:val="FormatvorlageInstructionsTabelleText"/>
                <w:rFonts w:ascii="Times New Roman" w:hAnsi="Times New Roman"/>
                <w:sz w:val="24"/>
              </w:rPr>
              <w:t xml:space="preserve">and </w:t>
            </w:r>
            <w:r w:rsidR="008241B9"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84 </w:t>
            </w:r>
            <w:r w:rsidR="00655B6E" w:rsidRPr="001235ED">
              <w:rPr>
                <w:lang w:val="en-US"/>
              </w:rPr>
              <w:t xml:space="preserve">of Regulation (EU) No </w:t>
            </w:r>
            <w:r w:rsidR="00D21548" w:rsidRPr="001235ED">
              <w:rPr>
                <w:lang w:val="en-US"/>
              </w:rPr>
              <w:t>575/2013</w:t>
            </w:r>
          </w:p>
          <w:p w14:paraId="6A561838"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2648B0" w:rsidRPr="002A677E" w14:paraId="194284D4" w14:textId="77777777" w:rsidTr="00D731E3">
        <w:tc>
          <w:tcPr>
            <w:tcW w:w="1129" w:type="dxa"/>
          </w:tcPr>
          <w:p w14:paraId="104D03DC"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240</w:t>
            </w:r>
          </w:p>
        </w:tc>
        <w:tc>
          <w:tcPr>
            <w:tcW w:w="7620" w:type="dxa"/>
          </w:tcPr>
          <w:p w14:paraId="7599C16C"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Transitional adjustments due to additional minority interests</w:t>
            </w:r>
          </w:p>
          <w:p w14:paraId="269E3669" w14:textId="21574CC8"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479</w:t>
            </w:r>
            <w:r w:rsidRPr="002A677E">
              <w:rPr>
                <w:rStyle w:val="FormatvorlageInstructionsTabelleText"/>
                <w:rFonts w:ascii="Times New Roman" w:hAnsi="Times New Roman"/>
                <w:sz w:val="24"/>
              </w:rPr>
              <w:t xml:space="preserve"> and </w:t>
            </w:r>
            <w:r w:rsidR="00B542AB" w:rsidRPr="002A677E">
              <w:rPr>
                <w:rStyle w:val="FormatvorlageInstructionsTabelleText"/>
                <w:rFonts w:ascii="Times New Roman" w:hAnsi="Times New Roman"/>
                <w:sz w:val="24"/>
              </w:rPr>
              <w:t>480</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A1C75"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2648B0" w:rsidRPr="002A677E" w14:paraId="742514AD" w14:textId="77777777" w:rsidTr="00D731E3">
        <w:tc>
          <w:tcPr>
            <w:tcW w:w="1129" w:type="dxa"/>
          </w:tcPr>
          <w:p w14:paraId="27EE8811"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250</w:t>
            </w:r>
          </w:p>
        </w:tc>
        <w:tc>
          <w:tcPr>
            <w:tcW w:w="7620" w:type="dxa"/>
          </w:tcPr>
          <w:p w14:paraId="04E6BFDB"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Adjustments to CET1 due to prudential filters</w:t>
            </w:r>
          </w:p>
          <w:p w14:paraId="235AF992" w14:textId="5D67AF0B"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8D274F" w:rsidRPr="002A677E">
              <w:rPr>
                <w:rStyle w:val="FormatvorlageInstructionsTabelleText"/>
                <w:rFonts w:ascii="Times New Roman" w:hAnsi="Times New Roman"/>
                <w:sz w:val="24"/>
              </w:rPr>
              <w:t xml:space="preserve">32 </w:t>
            </w:r>
            <w:r w:rsidRPr="002A677E">
              <w:rPr>
                <w:rStyle w:val="FormatvorlageInstructionsTabelleText"/>
                <w:rFonts w:ascii="Times New Roman" w:hAnsi="Times New Roman"/>
                <w:sz w:val="24"/>
              </w:rPr>
              <w:t xml:space="preserve">to </w:t>
            </w:r>
            <w:r w:rsidR="008D274F" w:rsidRPr="002A677E">
              <w:rPr>
                <w:rStyle w:val="FormatvorlageInstructionsTabelleText"/>
                <w:rFonts w:ascii="Times New Roman" w:hAnsi="Times New Roman"/>
                <w:sz w:val="24"/>
              </w:rPr>
              <w:t xml:space="preserve">35 </w:t>
            </w:r>
            <w:r w:rsidR="00655B6E" w:rsidRPr="001235ED">
              <w:rPr>
                <w:lang w:val="en-US"/>
              </w:rPr>
              <w:t xml:space="preserve">of Regulation (EU) No </w:t>
            </w:r>
            <w:r w:rsidR="00D21548" w:rsidRPr="001235ED">
              <w:rPr>
                <w:lang w:val="en-US"/>
              </w:rPr>
              <w:t>575/2013</w:t>
            </w:r>
            <w:r w:rsidR="00402284">
              <w:rPr>
                <w:lang w:val="en-US"/>
              </w:rPr>
              <w:t xml:space="preserve"> </w:t>
            </w:r>
          </w:p>
        </w:tc>
      </w:tr>
      <w:tr w:rsidR="002648B0" w:rsidRPr="002A677E" w14:paraId="6677C476" w14:textId="77777777" w:rsidTr="00D731E3">
        <w:tc>
          <w:tcPr>
            <w:tcW w:w="1129" w:type="dxa"/>
          </w:tcPr>
          <w:p w14:paraId="4D972B5B"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260</w:t>
            </w:r>
          </w:p>
        </w:tc>
        <w:tc>
          <w:tcPr>
            <w:tcW w:w="7620" w:type="dxa"/>
          </w:tcPr>
          <w:p w14:paraId="3B671B4C"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Increases in equity resulting from securitised assets</w:t>
            </w:r>
          </w:p>
          <w:p w14:paraId="7D8F1942" w14:textId="0E8AEB75"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32</w:t>
            </w:r>
            <w:r w:rsidRPr="002A677E">
              <w:rPr>
                <w:rStyle w:val="FormatvorlageInstructionsTabelleText"/>
                <w:rFonts w:ascii="Times New Roman" w:hAnsi="Times New Roman"/>
                <w:sz w:val="24"/>
              </w:rPr>
              <w:t xml:space="preserve">(1) </w:t>
            </w:r>
            <w:r w:rsidR="00655B6E" w:rsidRPr="001235ED">
              <w:rPr>
                <w:lang w:val="en-US"/>
              </w:rPr>
              <w:t xml:space="preserve">of Regulation (EU) No </w:t>
            </w:r>
            <w:r w:rsidR="00D21548" w:rsidRPr="001235ED">
              <w:rPr>
                <w:lang w:val="en-US"/>
              </w:rPr>
              <w:t>575/2013</w:t>
            </w:r>
          </w:p>
          <w:p w14:paraId="75C8F355"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2A677E">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w:t>
            </w:r>
            <w:r w:rsidR="00C7103D" w:rsidRPr="002A677E">
              <w:rPr>
                <w:rStyle w:val="FormatvorlageInstructionsTabelleText"/>
                <w:rFonts w:ascii="Times New Roman" w:hAnsi="Times New Roman"/>
                <w:sz w:val="24"/>
              </w:rPr>
              <w:t>dance</w:t>
            </w:r>
            <w:r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with </w:t>
            </w:r>
            <w:r w:rsidRPr="002A677E">
              <w:rPr>
                <w:rStyle w:val="FormatvorlageInstructionsTabelleText"/>
                <w:rFonts w:ascii="Times New Roman" w:hAnsi="Times New Roman"/>
                <w:sz w:val="24"/>
              </w:rPr>
              <w:t>the applicable accounting standard.</w:t>
            </w:r>
          </w:p>
          <w:p w14:paraId="392BF58C"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2A677E" w14:paraId="2082B334" w14:textId="77777777" w:rsidTr="00D731E3">
        <w:tc>
          <w:tcPr>
            <w:tcW w:w="1129" w:type="dxa"/>
          </w:tcPr>
          <w:p w14:paraId="1BB8E372"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270</w:t>
            </w:r>
          </w:p>
        </w:tc>
        <w:tc>
          <w:tcPr>
            <w:tcW w:w="7620" w:type="dxa"/>
          </w:tcPr>
          <w:p w14:paraId="1EFA5A91"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Cash flow hedge reserve</w:t>
            </w:r>
          </w:p>
          <w:p w14:paraId="05713177" w14:textId="5E1AF45E"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2834BF7"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6206233D"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shall be net of any tax charge </w:t>
            </w:r>
            <w:r w:rsidR="00C7103D" w:rsidRPr="002A677E">
              <w:rPr>
                <w:rStyle w:val="FormatvorlageInstructionsTabelleText"/>
                <w:rFonts w:ascii="Times New Roman" w:hAnsi="Times New Roman"/>
                <w:sz w:val="24"/>
              </w:rPr>
              <w:t>to be expected</w:t>
            </w:r>
            <w:r w:rsidRPr="002A677E">
              <w:rPr>
                <w:rStyle w:val="FormatvorlageInstructionsTabelleText"/>
                <w:rFonts w:ascii="Times New Roman" w:hAnsi="Times New Roman"/>
                <w:sz w:val="24"/>
              </w:rPr>
              <w:t xml:space="preserve"> at the moment of the calculation.</w:t>
            </w:r>
          </w:p>
        </w:tc>
      </w:tr>
      <w:tr w:rsidR="002648B0" w:rsidRPr="002A677E" w14:paraId="0AB7916A" w14:textId="77777777" w:rsidTr="00D731E3">
        <w:tc>
          <w:tcPr>
            <w:tcW w:w="1129" w:type="dxa"/>
          </w:tcPr>
          <w:p w14:paraId="512195C6" w14:textId="77777777" w:rsidR="002648B0" w:rsidRPr="001235ED" w:rsidRDefault="00A20B7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280</w:t>
            </w:r>
          </w:p>
        </w:tc>
        <w:tc>
          <w:tcPr>
            <w:tcW w:w="7620" w:type="dxa"/>
          </w:tcPr>
          <w:p w14:paraId="107BBC80"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Cumulative gains and losses due to changes in own credit risk on fair valued liabilities</w:t>
            </w:r>
          </w:p>
          <w:p w14:paraId="75FB3FBB" w14:textId="4B1DA1B3"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2C8E2D8"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2FB34054"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666996" w:rsidRPr="002A677E" w14:paraId="09DA3158" w14:textId="77777777" w:rsidTr="00D731E3">
        <w:tc>
          <w:tcPr>
            <w:tcW w:w="1129" w:type="dxa"/>
          </w:tcPr>
          <w:p w14:paraId="3F523A24"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28</w:t>
            </w:r>
            <w:r w:rsidR="00855D5F" w:rsidRPr="002A677E">
              <w:rPr>
                <w:rStyle w:val="FormatvorlageInstructionsTabelleText"/>
                <w:rFonts w:ascii="Times New Roman" w:hAnsi="Times New Roman"/>
                <w:sz w:val="24"/>
              </w:rPr>
              <w:t>5</w:t>
            </w:r>
          </w:p>
        </w:tc>
        <w:tc>
          <w:tcPr>
            <w:tcW w:w="7620" w:type="dxa"/>
          </w:tcPr>
          <w:p w14:paraId="508D5E7A" w14:textId="77777777" w:rsidR="005643EA" w:rsidRPr="002A677E" w:rsidRDefault="00855D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.1.1.9.4</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xml:space="preserve">Fair value gains and losses </w:t>
            </w:r>
            <w:r w:rsidRPr="002A677E">
              <w:rPr>
                <w:rStyle w:val="InstructionsTabelleberschrift"/>
                <w:rFonts w:ascii="Times New Roman" w:hAnsi="Times New Roman"/>
                <w:sz w:val="24"/>
              </w:rPr>
              <w:t xml:space="preserve">arising from the institution´s own </w:t>
            </w:r>
            <w:r w:rsidR="00666996" w:rsidRPr="002A677E">
              <w:rPr>
                <w:rStyle w:val="InstructionsTabelleberschrift"/>
                <w:rFonts w:ascii="Times New Roman" w:hAnsi="Times New Roman"/>
                <w:sz w:val="24"/>
              </w:rPr>
              <w:t xml:space="preserve">credit risk </w:t>
            </w:r>
            <w:r w:rsidRPr="002A677E">
              <w:rPr>
                <w:rStyle w:val="InstructionsTabelleberschrift"/>
                <w:rFonts w:ascii="Times New Roman" w:hAnsi="Times New Roman"/>
                <w:sz w:val="24"/>
              </w:rPr>
              <w:t>related t</w:t>
            </w:r>
            <w:r w:rsidR="00666996" w:rsidRPr="002A677E">
              <w:rPr>
                <w:rStyle w:val="InstructionsTabelleberschrift"/>
                <w:rFonts w:ascii="Times New Roman" w:hAnsi="Times New Roman"/>
                <w:sz w:val="24"/>
              </w:rPr>
              <w:t>o</w:t>
            </w:r>
            <w:r w:rsidRPr="002A677E">
              <w:rPr>
                <w:rStyle w:val="InstructionsTabelleberschrift"/>
                <w:rFonts w:ascii="Times New Roman" w:hAnsi="Times New Roman"/>
                <w:sz w:val="24"/>
              </w:rPr>
              <w:t xml:space="preserve"> derivative liabilities</w:t>
            </w:r>
          </w:p>
          <w:p w14:paraId="5A6E61A2" w14:textId="4AD12AEA" w:rsidR="005643EA" w:rsidRPr="002A677E" w:rsidRDefault="00855D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57A47298" w14:textId="77777777"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5ACD1CE4" w14:textId="77777777" w:rsidR="005643EA" w:rsidRPr="002A677E" w:rsidRDefault="00666996"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666996" w:rsidRPr="002A677E" w14:paraId="42EAF179" w14:textId="77777777" w:rsidTr="00D731E3">
        <w:tc>
          <w:tcPr>
            <w:tcW w:w="1129" w:type="dxa"/>
          </w:tcPr>
          <w:p w14:paraId="12A3C0A2"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666996" w:rsidRPr="002A677E">
              <w:rPr>
                <w:rStyle w:val="FormatvorlageInstructionsTabelleText"/>
                <w:rFonts w:ascii="Times New Roman" w:hAnsi="Times New Roman"/>
                <w:sz w:val="24"/>
              </w:rPr>
              <w:t>290</w:t>
            </w:r>
          </w:p>
        </w:tc>
        <w:tc>
          <w:tcPr>
            <w:tcW w:w="7620" w:type="dxa"/>
          </w:tcPr>
          <w:p w14:paraId="2F21BB27" w14:textId="77777777" w:rsidR="005643EA" w:rsidRPr="002A677E" w:rsidRDefault="00855D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.1.1.9.5</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Value adjustments due to the requirements for prudent valuation</w:t>
            </w:r>
          </w:p>
          <w:p w14:paraId="3C1598C4" w14:textId="2A57D643"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F540A" w:rsidRPr="002A677E">
              <w:rPr>
                <w:rStyle w:val="FormatvorlageInstructionsTabelleText"/>
                <w:rFonts w:ascii="Times New Roman" w:hAnsi="Times New Roman"/>
                <w:sz w:val="24"/>
              </w:rPr>
              <w:t xml:space="preserve">34 </w:t>
            </w:r>
            <w:r w:rsidRPr="002A677E">
              <w:rPr>
                <w:rStyle w:val="FormatvorlageInstructionsTabelleText"/>
                <w:rFonts w:ascii="Times New Roman" w:hAnsi="Times New Roman"/>
                <w:sz w:val="24"/>
              </w:rPr>
              <w:t xml:space="preserve">and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p w14:paraId="239269A0" w14:textId="16F2D5C3"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w:t>
            </w:r>
            <w:r w:rsidR="002423CA" w:rsidRPr="002A677E">
              <w:rPr>
                <w:rStyle w:val="FormatvorlageInstructionsTabelleText"/>
                <w:rFonts w:ascii="Times New Roman" w:hAnsi="Times New Roman"/>
                <w:sz w:val="24"/>
              </w:rPr>
              <w:t xml:space="preserve">exposures included in </w:t>
            </w:r>
            <w:r w:rsidRPr="002A677E">
              <w:rPr>
                <w:rStyle w:val="FormatvorlageInstructionsTabelleText"/>
                <w:rFonts w:ascii="Times New Roman" w:hAnsi="Times New Roman"/>
                <w:sz w:val="24"/>
              </w:rPr>
              <w:t xml:space="preserve">the trading book </w:t>
            </w:r>
            <w:r w:rsidR="002423CA" w:rsidRPr="002A677E">
              <w:rPr>
                <w:rStyle w:val="FormatvorlageInstructionsTabelleText"/>
                <w:rFonts w:ascii="Times New Roman" w:hAnsi="Times New Roman"/>
                <w:sz w:val="24"/>
              </w:rPr>
              <w:t>or non-trading book due to</w:t>
            </w:r>
            <w:r w:rsidRPr="002A677E">
              <w:rPr>
                <w:rStyle w:val="FormatvorlageInstructionsTabelleText"/>
                <w:rFonts w:ascii="Times New Roman" w:hAnsi="Times New Roman"/>
                <w:sz w:val="24"/>
              </w:rPr>
              <w:t xml:space="preserve"> stricter standards for prudent valuation set in Article</w:t>
            </w:r>
            <w:r w:rsidR="002C66A4" w:rsidRPr="002A677E">
              <w:rPr>
                <w:rStyle w:val="FormatvorlageInstructionsTabelleText"/>
                <w:rFonts w:ascii="Times New Roman" w:hAnsi="Times New Roman"/>
                <w:sz w:val="24"/>
              </w:rPr>
              <w:t>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tc>
      </w:tr>
      <w:tr w:rsidR="00666996" w:rsidRPr="002A677E" w14:paraId="77E0D073" w14:textId="77777777" w:rsidTr="00D731E3">
        <w:tc>
          <w:tcPr>
            <w:tcW w:w="1129" w:type="dxa"/>
          </w:tcPr>
          <w:p w14:paraId="4A3E7A56"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300</w:t>
            </w:r>
          </w:p>
        </w:tc>
        <w:tc>
          <w:tcPr>
            <w:tcW w:w="7620" w:type="dxa"/>
          </w:tcPr>
          <w:p w14:paraId="59E804BD" w14:textId="77777777" w:rsidR="005643EA" w:rsidRPr="002A677E" w:rsidRDefault="00855D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w:t>
            </w:r>
          </w:p>
          <w:p w14:paraId="350ABC26" w14:textId="55683982"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(113),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BF540A" w:rsidRPr="002A677E">
              <w:rPr>
                <w:rStyle w:val="FormatvorlageInstructionsTabelleText"/>
                <w:rFonts w:ascii="Times New Roman" w:hAnsi="Times New Roman"/>
                <w:sz w:val="24"/>
              </w:rPr>
              <w:t xml:space="preserve">37 </w:t>
            </w:r>
            <w:r w:rsidR="00655B6E" w:rsidRPr="001235ED">
              <w:rPr>
                <w:lang w:val="en-US"/>
              </w:rPr>
              <w:t xml:space="preserve">of Regulation (EU) No </w:t>
            </w:r>
            <w:r w:rsidR="00D21548" w:rsidRPr="001235ED">
              <w:rPr>
                <w:lang w:val="en-US"/>
              </w:rPr>
              <w:t>575/2013</w:t>
            </w:r>
          </w:p>
        </w:tc>
      </w:tr>
      <w:tr w:rsidR="00666996" w:rsidRPr="002A677E" w14:paraId="7A30C744" w14:textId="77777777" w:rsidTr="00D731E3">
        <w:tc>
          <w:tcPr>
            <w:tcW w:w="1129" w:type="dxa"/>
          </w:tcPr>
          <w:p w14:paraId="06A9B308"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310</w:t>
            </w:r>
          </w:p>
        </w:tc>
        <w:tc>
          <w:tcPr>
            <w:tcW w:w="7620" w:type="dxa"/>
          </w:tcPr>
          <w:p w14:paraId="3745F912" w14:textId="77777777" w:rsidR="005643EA" w:rsidRPr="002A677E" w:rsidRDefault="00855D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accounted for as intangible asset</w:t>
            </w:r>
          </w:p>
          <w:p w14:paraId="1271061A" w14:textId="347B961B"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(113)</w:t>
            </w:r>
            <w:r w:rsidR="00CF5957">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503CFC4" w14:textId="77777777"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4E464E25" w14:textId="77777777"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be the same </w:t>
            </w:r>
            <w:r w:rsidR="00852CAD" w:rsidRPr="002A677E">
              <w:rPr>
                <w:rStyle w:val="FormatvorlageInstructionsTabelleText"/>
                <w:rFonts w:ascii="Times New Roman" w:hAnsi="Times New Roman"/>
                <w:sz w:val="24"/>
              </w:rPr>
              <w:t xml:space="preserve">as the amount </w:t>
            </w:r>
            <w:r w:rsidRPr="002A677E">
              <w:rPr>
                <w:rStyle w:val="FormatvorlageInstructionsTabelleText"/>
                <w:rFonts w:ascii="Times New Roman" w:hAnsi="Times New Roman"/>
                <w:sz w:val="24"/>
              </w:rPr>
              <w:t>that is reported in the balance sheet.</w:t>
            </w:r>
          </w:p>
        </w:tc>
      </w:tr>
      <w:tr w:rsidR="00666996" w:rsidRPr="002A677E" w14:paraId="4B8A9B4D" w14:textId="77777777" w:rsidTr="00D731E3">
        <w:tc>
          <w:tcPr>
            <w:tcW w:w="1129" w:type="dxa"/>
          </w:tcPr>
          <w:p w14:paraId="3C597623"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320</w:t>
            </w:r>
          </w:p>
        </w:tc>
        <w:tc>
          <w:tcPr>
            <w:tcW w:w="7620" w:type="dxa"/>
          </w:tcPr>
          <w:p w14:paraId="4F15EF0F" w14:textId="77777777" w:rsidR="005643EA" w:rsidRPr="002A677E" w:rsidRDefault="00855D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included in the valuation of significant investments</w:t>
            </w:r>
          </w:p>
          <w:p w14:paraId="17810431" w14:textId="043A6839"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855D5F"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4</w:t>
            </w:r>
            <w:r w:rsidR="009C3D16"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tc>
      </w:tr>
      <w:tr w:rsidR="00666996" w:rsidRPr="002A677E" w14:paraId="50B3ACBE" w14:textId="77777777" w:rsidTr="00D731E3">
        <w:tc>
          <w:tcPr>
            <w:tcW w:w="1129" w:type="dxa"/>
          </w:tcPr>
          <w:p w14:paraId="1F74A819" w14:textId="77777777" w:rsidR="00666996"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330</w:t>
            </w:r>
          </w:p>
        </w:tc>
        <w:tc>
          <w:tcPr>
            <w:tcW w:w="7620" w:type="dxa"/>
          </w:tcPr>
          <w:p w14:paraId="596199BA" w14:textId="77777777" w:rsidR="005643EA" w:rsidRPr="002A677E" w:rsidRDefault="00AD70F1"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Deferred tax liabilities associated to goodwill</w:t>
            </w:r>
          </w:p>
          <w:p w14:paraId="10535BD3" w14:textId="4FBD0116"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8F66CAA" w14:textId="77777777" w:rsidR="005643EA" w:rsidRPr="002A677E" w:rsidRDefault="00666996"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2A677E">
              <w:rPr>
                <w:rStyle w:val="FormatvorlageInstructionsTabelleText"/>
                <w:rFonts w:ascii="Times New Roman" w:hAnsi="Times New Roman"/>
                <w:sz w:val="24"/>
              </w:rPr>
              <w:t>.</w:t>
            </w:r>
          </w:p>
        </w:tc>
      </w:tr>
      <w:tr w:rsidR="00D731E3" w:rsidRPr="002A677E" w14:paraId="6770CC20" w14:textId="77777777" w:rsidTr="00D731E3">
        <w:tc>
          <w:tcPr>
            <w:tcW w:w="1129" w:type="dxa"/>
          </w:tcPr>
          <w:p w14:paraId="17F6DFF3" w14:textId="77777777" w:rsidR="00D731E3" w:rsidRPr="001235ED" w:rsidRDefault="007C2334"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335</w:t>
            </w:r>
          </w:p>
        </w:tc>
        <w:tc>
          <w:tcPr>
            <w:tcW w:w="7620" w:type="dxa"/>
          </w:tcPr>
          <w:p w14:paraId="74FA2878" w14:textId="77777777" w:rsidR="00D731E3" w:rsidRPr="002A677E" w:rsidRDefault="00D731E3"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3BEF7077" w14:textId="20DF938B"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BBA5C38" w14:textId="5DBB4A24" w:rsidR="00D731E3" w:rsidRPr="002A677E" w:rsidRDefault="00D731E3"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than the undertakings included in the consolidation pursuant to </w:t>
            </w:r>
            <w:r w:rsidR="007079CE" w:rsidRPr="002A677E">
              <w:rPr>
                <w:rStyle w:val="FormatvorlageInstructionsTabelleText"/>
                <w:rFonts w:ascii="Times New Roman" w:hAnsi="Times New Roman"/>
                <w:sz w:val="24"/>
              </w:rPr>
              <w:t>Part One,</w:t>
            </w:r>
            <w:r w:rsidR="007079CE"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w:t>
            </w:r>
            <w:r w:rsidR="007079C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7079CE" w:rsidRPr="002A677E">
              <w:rPr>
                <w:rStyle w:val="FormatvorlageInstructionsTabelleText"/>
                <w:rFonts w:ascii="Times New Roman" w:hAnsi="Times New Roman"/>
                <w:sz w:val="24"/>
              </w:rPr>
              <w:t>Chapter 2</w:t>
            </w:r>
            <w:r w:rsidRPr="002A677E">
              <w:rPr>
                <w:rStyle w:val="FormatvorlageInstructionsTabelleText"/>
                <w:rFonts w:ascii="Times New Roman" w:hAnsi="Times New Roman"/>
                <w:sz w:val="24"/>
              </w:rPr>
              <w:t>.</w:t>
            </w:r>
          </w:p>
        </w:tc>
      </w:tr>
      <w:tr w:rsidR="00D731E3" w:rsidRPr="002A677E" w14:paraId="72173EEA" w14:textId="77777777" w:rsidTr="00D731E3">
        <w:tc>
          <w:tcPr>
            <w:tcW w:w="1129" w:type="dxa"/>
          </w:tcPr>
          <w:p w14:paraId="6D53C429" w14:textId="77777777" w:rsidR="00D731E3" w:rsidRPr="001235ED" w:rsidRDefault="003172C8"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340</w:t>
            </w:r>
          </w:p>
        </w:tc>
        <w:tc>
          <w:tcPr>
            <w:tcW w:w="7620" w:type="dxa"/>
          </w:tcPr>
          <w:p w14:paraId="41993F3F" w14:textId="77777777" w:rsidR="00D731E3" w:rsidRPr="002A677E" w:rsidRDefault="00D731E3"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2F1C3286" w14:textId="7E2AC4BA"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1D3CE7"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(c) </w:t>
            </w:r>
            <w:r w:rsidR="00655B6E" w:rsidRPr="001235ED">
              <w:rPr>
                <w:lang w:val="en-US"/>
              </w:rPr>
              <w:t xml:space="preserve">of Regulation (EU) No </w:t>
            </w:r>
            <w:r w:rsidR="00D21548" w:rsidRPr="001235ED">
              <w:rPr>
                <w:lang w:val="en-US"/>
              </w:rPr>
              <w:t>575/2013</w:t>
            </w:r>
          </w:p>
          <w:p w14:paraId="67CB01F7" w14:textId="77777777"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2A677E" w14:paraId="777467A3" w14:textId="77777777" w:rsidTr="00D731E3">
        <w:tc>
          <w:tcPr>
            <w:tcW w:w="1129" w:type="dxa"/>
          </w:tcPr>
          <w:p w14:paraId="00D57D37" w14:textId="77777777" w:rsidR="00D731E3" w:rsidRPr="001235ED" w:rsidRDefault="003172C8"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350</w:t>
            </w:r>
          </w:p>
        </w:tc>
        <w:tc>
          <w:tcPr>
            <w:tcW w:w="7620" w:type="dxa"/>
          </w:tcPr>
          <w:p w14:paraId="1931512B" w14:textId="77777777" w:rsidR="00D731E3" w:rsidRPr="002A677E" w:rsidRDefault="00D731E3"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14039C37" w14:textId="67AD6CF4"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98CB4CB" w14:textId="6DAD1E2A"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sidR="006657C2">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sidR="006657C2">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5600CAE4" w14:textId="0339A835"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sidR="00624117">
              <w:rPr>
                <w:rStyle w:val="FormatvorlageInstructionsTabelleText"/>
                <w:rFonts w:ascii="Times New Roman" w:hAnsi="Times New Roman"/>
                <w:sz w:val="24"/>
              </w:rPr>
              <w:t xml:space="preserve"> included in the balance sheet in accordance with the appli</w:t>
            </w:r>
            <w:r w:rsidR="004157CC">
              <w:rPr>
                <w:rStyle w:val="FormatvorlageInstructionsTabelleText"/>
                <w:rFonts w:ascii="Times New Roman" w:hAnsi="Times New Roman"/>
                <w:sz w:val="24"/>
              </w:rPr>
              <w:t>c</w:t>
            </w:r>
            <w:r w:rsidR="00624117">
              <w:rPr>
                <w:rStyle w:val="FormatvorlageInstructionsTabelleText"/>
                <w:rFonts w:ascii="Times New Roman" w:hAnsi="Times New Roman"/>
                <w:sz w:val="24"/>
              </w:rPr>
              <w:t>able accounting standard</w:t>
            </w:r>
            <w:r w:rsidR="00D21548" w:rsidRPr="002A677E">
              <w:rPr>
                <w:rStyle w:val="FormatvorlageInstructionsTabelleText"/>
                <w:rFonts w:ascii="Times New Roman" w:hAnsi="Times New Roman"/>
                <w:sz w:val="24"/>
              </w:rPr>
              <w:t>, excluding</w:t>
            </w:r>
            <w:r w:rsidR="000F0D99">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w:t>
            </w:r>
            <w:r w:rsidR="00D21548" w:rsidRPr="002A677E">
              <w:rPr>
                <w:rStyle w:val="FormatvorlageInstructionsTabelleText"/>
                <w:rFonts w:ascii="Times New Roman" w:hAnsi="Times New Roman"/>
                <w:sz w:val="24"/>
              </w:rPr>
              <w:t xml:space="preserve"> and the amount of prudently valued software assets </w:t>
            </w:r>
            <w:r w:rsidR="00176495" w:rsidRPr="002A677E">
              <w:rPr>
                <w:rStyle w:val="FormatvorlageInstructionsTabelleText"/>
                <w:rFonts w:ascii="Times New Roman" w:hAnsi="Times New Roman"/>
                <w:sz w:val="24"/>
              </w:rPr>
              <w:t xml:space="preserve">that is not </w:t>
            </w:r>
            <w:r w:rsidR="00D21548" w:rsidRPr="002A677E">
              <w:rPr>
                <w:rStyle w:val="FormatvorlageInstructionsTabelleText"/>
                <w:rFonts w:ascii="Times New Roman" w:hAnsi="Times New Roman"/>
                <w:sz w:val="24"/>
              </w:rPr>
              <w:t>deduct</w:t>
            </w:r>
            <w:r w:rsidR="00176495" w:rsidRPr="002A677E">
              <w:rPr>
                <w:rStyle w:val="FormatvorlageInstructionsTabelleText"/>
                <w:rFonts w:ascii="Times New Roman" w:hAnsi="Times New Roman"/>
                <w:sz w:val="24"/>
              </w:rPr>
              <w:t>ed</w:t>
            </w:r>
            <w:r w:rsidR="00D21548" w:rsidRPr="002A677E">
              <w:rPr>
                <w:rStyle w:val="FormatvorlageInstructionsTabelleText"/>
                <w:rFonts w:ascii="Times New Roman" w:hAnsi="Times New Roman"/>
                <w:sz w:val="24"/>
              </w:rPr>
              <w:t xml:space="preserve"> from CET1 items in accordance with Article </w:t>
            </w:r>
            <w:r w:rsidR="00176495" w:rsidRPr="002A677E">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176495"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76495" w:rsidRPr="002A677E">
              <w:rPr>
                <w:rStyle w:val="FormatvorlageInstructionsTabelleText"/>
                <w:rFonts w:ascii="Times New Roman" w:hAnsi="Times New Roman"/>
                <w:sz w:val="24"/>
              </w:rPr>
              <w:t xml:space="preserve"> of Regulati</w:t>
            </w:r>
            <w:r w:rsidR="004157CC">
              <w:rPr>
                <w:rStyle w:val="FormatvorlageInstructionsTabelleText"/>
                <w:rFonts w:ascii="Times New Roman" w:hAnsi="Times New Roman"/>
                <w:sz w:val="24"/>
              </w:rPr>
              <w:t>o</w:t>
            </w:r>
            <w:r w:rsidR="00176495" w:rsidRPr="002A677E">
              <w:rPr>
                <w:rStyle w:val="FormatvorlageInstructionsTabelleText"/>
                <w:rFonts w:ascii="Times New Roman" w:hAnsi="Times New Roman"/>
                <w:sz w:val="24"/>
              </w:rPr>
              <w:t>n (EU) No 575/2013</w:t>
            </w:r>
            <w:r w:rsidRPr="002A677E">
              <w:rPr>
                <w:rStyle w:val="FormatvorlageInstructionsTabelleText"/>
                <w:rFonts w:ascii="Times New Roman" w:hAnsi="Times New Roman"/>
                <w:sz w:val="24"/>
              </w:rPr>
              <w:t>.</w:t>
            </w:r>
          </w:p>
        </w:tc>
      </w:tr>
      <w:tr w:rsidR="0082014C" w:rsidRPr="002A677E" w14:paraId="3F1BF3D9" w14:textId="77777777" w:rsidTr="00D731E3">
        <w:tc>
          <w:tcPr>
            <w:tcW w:w="1129" w:type="dxa"/>
          </w:tcPr>
          <w:p w14:paraId="4AE8ED50" w14:textId="5EC0B2A8" w:rsidR="0082014C" w:rsidRPr="001235ED" w:rsidRDefault="0082014C"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26F640AD" w14:textId="731995EF" w:rsidR="0082014C" w:rsidRPr="002A677E" w:rsidRDefault="0082014C"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and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D7E8804" w14:textId="0F1041D6" w:rsidR="0082014C" w:rsidRPr="002A677E" w:rsidRDefault="0082014C"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sidR="006657C2">
              <w:rPr>
                <w:rStyle w:val="FormatvorlageInstructionsTabelleText"/>
                <w:rFonts w:ascii="Times New Roman" w:hAnsi="Times New Roman"/>
                <w:sz w:val="24"/>
              </w:rPr>
              <w:t xml:space="preserve"> 36(1)</w:t>
            </w:r>
            <w:r w:rsidR="00B83DDE">
              <w:rPr>
                <w:rStyle w:val="FormatvorlageInstructionsTabelleText"/>
                <w:rFonts w:ascii="Times New Roman" w:hAnsi="Times New Roman"/>
                <w:sz w:val="24"/>
              </w:rPr>
              <w:t>, p</w:t>
            </w:r>
            <w:r w:rsidR="002533EF">
              <w:rPr>
                <w:rStyle w:val="FormatvorlageInstructionsTabelleText"/>
                <w:rFonts w:ascii="Times New Roman" w:hAnsi="Times New Roman"/>
                <w:sz w:val="24"/>
              </w:rPr>
              <w:t>o</w:t>
            </w:r>
            <w:r w:rsidR="006657C2">
              <w:rPr>
                <w:rStyle w:val="FormatvorlageInstructionsTabelleText"/>
                <w:rFonts w:ascii="Times New Roman" w:hAnsi="Times New Roman"/>
                <w:sz w:val="24"/>
              </w:rPr>
              <w:t>int (b)</w:t>
            </w:r>
            <w:r w:rsidR="00CF595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of Regulation (EU) No 575/2013 and Article</w:t>
            </w:r>
            <w:r w:rsidRPr="002A677E">
              <w:rPr>
                <w:rStyle w:val="FormatvorlageInstructionsTabelleText"/>
                <w:rFonts w:ascii="Times New Roman" w:hAnsi="Times New Roman"/>
                <w:sz w:val="24"/>
              </w:rPr>
              <w:t xml:space="preserve"> 13a of Delegated Regulation (EU) No 241/2014</w:t>
            </w:r>
            <w:r w:rsidR="00A95150"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sidR="006855AB">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with reference to the deferred tax liabilities associated to those software assets.</w:t>
            </w:r>
          </w:p>
          <w:p w14:paraId="64E4F871" w14:textId="703E537B" w:rsidR="0082014C" w:rsidRPr="002A677E" w:rsidRDefault="0082014C"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instead of applying the treatment of Article 13a of Delegated Regulation (EU) No 241/2014, the amount </w:t>
            </w:r>
            <w:r w:rsidR="00A95150" w:rsidRPr="002A677E">
              <w:rPr>
                <w:rStyle w:val="FormatvorlageInstructionsTabelleText"/>
                <w:rFonts w:ascii="Times New Roman" w:hAnsi="Times New Roman"/>
                <w:sz w:val="24"/>
              </w:rPr>
              <w:t xml:space="preserve">reported in this row </w:t>
            </w:r>
            <w:r w:rsidRPr="002A677E">
              <w:rPr>
                <w:rStyle w:val="FormatvorlageInstructionsTabelleText"/>
                <w:rFonts w:ascii="Times New Roman" w:hAnsi="Times New Roman"/>
                <w:sz w:val="24"/>
              </w:rPr>
              <w:t xml:space="preserve">shall correspond to the amount of software assets accounted </w:t>
            </w:r>
            <w:r w:rsidR="00D21548" w:rsidRPr="002A677E">
              <w:rPr>
                <w:rStyle w:val="FormatvorlageInstructionsTabelleText"/>
                <w:rFonts w:ascii="Times New Roman" w:hAnsi="Times New Roman"/>
                <w:sz w:val="24"/>
              </w:rPr>
              <w:t xml:space="preserve">for </w:t>
            </w:r>
            <w:r w:rsidRPr="002A677E">
              <w:rPr>
                <w:rStyle w:val="FormatvorlageInstructionsTabelleText"/>
                <w:rFonts w:ascii="Times New Roman" w:hAnsi="Times New Roman"/>
                <w:sz w:val="24"/>
              </w:rPr>
              <w:t xml:space="preserve">as intangible assets </w:t>
            </w:r>
            <w:r w:rsidR="006657C2">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D731E3" w:rsidRPr="002A677E" w14:paraId="533C4B4D" w14:textId="77777777" w:rsidTr="00D731E3">
        <w:tc>
          <w:tcPr>
            <w:tcW w:w="1129" w:type="dxa"/>
          </w:tcPr>
          <w:p w14:paraId="47B8DE1D" w14:textId="77777777" w:rsidR="00D731E3" w:rsidRPr="001235ED" w:rsidRDefault="003172C8"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360</w:t>
            </w:r>
          </w:p>
        </w:tc>
        <w:tc>
          <w:tcPr>
            <w:tcW w:w="7620" w:type="dxa"/>
          </w:tcPr>
          <w:p w14:paraId="1A2DC8CB" w14:textId="77777777" w:rsidR="00D731E3" w:rsidRPr="002A677E" w:rsidRDefault="00D731E3"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697CC772" w14:textId="650B3161"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2FC46FD" w14:textId="24E8BC54" w:rsidR="00D731E3" w:rsidRPr="002A677E" w:rsidRDefault="00D731E3"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 assets, other than goodwill</w:t>
            </w:r>
            <w:r w:rsidR="00D21548" w:rsidRPr="002A677E">
              <w:rPr>
                <w:rStyle w:val="FormatvorlageInstructionsTabelleText"/>
                <w:rFonts w:ascii="Times New Roman" w:hAnsi="Times New Roman"/>
                <w:sz w:val="24"/>
              </w:rPr>
              <w:t xml:space="preserve"> and prudently valued software assets exempted from the deduction from CET1 items in accordance with Article 13a of Delegated Regulation (EU) No 241/2014</w:t>
            </w:r>
            <w:r w:rsidRPr="002A677E">
              <w:rPr>
                <w:rStyle w:val="FormatvorlageInstructionsTabelleText"/>
                <w:rFonts w:ascii="Times New Roman" w:hAnsi="Times New Roman"/>
                <w:sz w:val="24"/>
              </w:rPr>
              <w:t>, became impaired or w</w:t>
            </w:r>
            <w:r w:rsidR="00D21548" w:rsidRPr="002A677E">
              <w:rPr>
                <w:rStyle w:val="FormatvorlageInstructionsTabelleText"/>
                <w:rFonts w:ascii="Times New Roman" w:hAnsi="Times New Roman"/>
                <w:sz w:val="24"/>
              </w:rPr>
              <w:t>ere</w:t>
            </w:r>
            <w:r w:rsidRPr="002A677E">
              <w:rPr>
                <w:rStyle w:val="FormatvorlageInstructionsTabelleText"/>
                <w:rFonts w:ascii="Times New Roman" w:hAnsi="Times New Roman"/>
                <w:sz w:val="24"/>
              </w:rPr>
              <w:t xml:space="preserve"> derecognised under the relevant accounting standard.</w:t>
            </w:r>
          </w:p>
        </w:tc>
      </w:tr>
      <w:tr w:rsidR="00A95150" w:rsidRPr="002A677E" w14:paraId="16944B76" w14:textId="77777777" w:rsidTr="00D731E3">
        <w:tc>
          <w:tcPr>
            <w:tcW w:w="1129" w:type="dxa"/>
          </w:tcPr>
          <w:p w14:paraId="018231F1" w14:textId="0083AFB3" w:rsidR="00A95150" w:rsidRPr="001235ED" w:rsidRDefault="00A95150"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7EDBB408" w14:textId="311AADDB" w:rsidR="00A95150" w:rsidRPr="002A677E" w:rsidRDefault="00A9515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AC299D4" w14:textId="0E299A5B" w:rsidR="00A95150" w:rsidRPr="002A677E" w:rsidRDefault="00A95150"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sidR="006657C2">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w:t>
            </w:r>
            <w:r w:rsidR="006657C2" w:rsidRPr="00233DCF">
              <w:rPr>
                <w:lang w:val="en-US"/>
              </w:rPr>
              <w:t>of Regulation (EU) No 575/2013</w:t>
            </w:r>
            <w:r w:rsidR="006657C2">
              <w:rPr>
                <w:lang w:val="en-US"/>
              </w:rPr>
              <w:t xml:space="preserve"> and Article</w:t>
            </w:r>
            <w:r w:rsidR="006657C2">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365</w:t>
            </w:r>
          </w:p>
        </w:tc>
        <w:tc>
          <w:tcPr>
            <w:tcW w:w="7620" w:type="dxa"/>
          </w:tcPr>
          <w:p w14:paraId="62DD6957"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31F097E" w14:textId="0AD80A11"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8BC0D47" w14:textId="3C449A2F" w:rsidR="0022315F" w:rsidRPr="002A677E" w:rsidRDefault="0022315F"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w:t>
            </w:r>
            <w:r w:rsidR="007079CE" w:rsidRPr="002A677E">
              <w:rPr>
                <w:rStyle w:val="FormatvorlageInstructionsTabelleText"/>
                <w:rFonts w:ascii="Times New Roman" w:hAnsi="Times New Roman"/>
                <w:sz w:val="24"/>
              </w:rPr>
              <w:t>, Title II, Chapter 2</w:t>
            </w:r>
            <w:r w:rsidRPr="002A677E">
              <w:rPr>
                <w:rStyle w:val="FormatvorlageInstructionsTabelleText"/>
                <w:rFonts w:ascii="Times New Roman" w:hAnsi="Times New Roman"/>
                <w:sz w:val="24"/>
              </w:rPr>
              <w:t>.</w:t>
            </w:r>
          </w:p>
        </w:tc>
      </w:tr>
      <w:tr w:rsidR="0022315F" w:rsidRPr="002A677E" w14:paraId="07140902" w14:textId="77777777" w:rsidTr="00D731E3">
        <w:tc>
          <w:tcPr>
            <w:tcW w:w="1129" w:type="dxa"/>
          </w:tcPr>
          <w:p w14:paraId="0083D8AB"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370</w:t>
            </w:r>
          </w:p>
        </w:tc>
        <w:tc>
          <w:tcPr>
            <w:tcW w:w="7620" w:type="dxa"/>
          </w:tcPr>
          <w:p w14:paraId="5D1BD8E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105E273D" w14:textId="12452432"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Article 38 </w:t>
            </w:r>
            <w:r w:rsidR="00655B6E" w:rsidRPr="001235ED">
              <w:rPr>
                <w:lang w:val="en-US"/>
              </w:rPr>
              <w:t xml:space="preserve">of Regulation (EU) No </w:t>
            </w:r>
            <w:r w:rsidR="00D21548" w:rsidRPr="001235ED">
              <w:rPr>
                <w:lang w:val="en-US"/>
              </w:rPr>
              <w:t>575/2013</w:t>
            </w:r>
          </w:p>
        </w:tc>
      </w:tr>
      <w:tr w:rsidR="0022315F" w:rsidRPr="002A677E" w14:paraId="549330D3" w14:textId="77777777" w:rsidTr="00D731E3">
        <w:tc>
          <w:tcPr>
            <w:tcW w:w="1129" w:type="dxa"/>
          </w:tcPr>
          <w:p w14:paraId="26AA4DE5"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380</w:t>
            </w:r>
          </w:p>
        </w:tc>
        <w:tc>
          <w:tcPr>
            <w:tcW w:w="7620" w:type="dxa"/>
          </w:tcPr>
          <w:p w14:paraId="6E7B1E8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04504206" w14:textId="238C20AE"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(d), </w:t>
            </w:r>
            <w:r w:rsidRPr="002A677E">
              <w:rPr>
                <w:rStyle w:val="FormatvorlageInstructionsTabelleText"/>
                <w:rFonts w:ascii="Times New Roman" w:hAnsi="Times New Roman"/>
                <w:sz w:val="24"/>
              </w:rPr>
              <w:t xml:space="preserve">Articles 40, 158 and 159 </w:t>
            </w:r>
            <w:r w:rsidR="00655B6E" w:rsidRPr="001235ED">
              <w:rPr>
                <w:lang w:val="en-US"/>
              </w:rPr>
              <w:t xml:space="preserve">of Regulation (EU) No </w:t>
            </w:r>
            <w:r w:rsidR="00D21548" w:rsidRPr="001235ED">
              <w:rPr>
                <w:lang w:val="en-US"/>
              </w:rPr>
              <w:t>575/2013</w:t>
            </w:r>
          </w:p>
          <w:p w14:paraId="16018D37" w14:textId="79797AC0"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390</w:t>
            </w:r>
          </w:p>
        </w:tc>
        <w:tc>
          <w:tcPr>
            <w:tcW w:w="7620" w:type="dxa"/>
          </w:tcPr>
          <w:p w14:paraId="77656C71"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08FE1920" w14:textId="2C4B336B"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41 </w:t>
            </w:r>
            <w:r w:rsidR="00655B6E" w:rsidRPr="001235ED">
              <w:rPr>
                <w:lang w:val="en-US"/>
              </w:rPr>
              <w:t xml:space="preserve">of Regulation (EU) No </w:t>
            </w:r>
            <w:r w:rsidR="00D21548" w:rsidRPr="001235ED">
              <w:rPr>
                <w:lang w:val="en-US"/>
              </w:rPr>
              <w:t>575/2013</w:t>
            </w:r>
          </w:p>
        </w:tc>
      </w:tr>
      <w:tr w:rsidR="0022315F" w:rsidRPr="002A677E" w14:paraId="15E61181" w14:textId="77777777" w:rsidTr="00D731E3">
        <w:tc>
          <w:tcPr>
            <w:tcW w:w="1129" w:type="dxa"/>
          </w:tcPr>
          <w:p w14:paraId="5745463D"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400</w:t>
            </w:r>
          </w:p>
        </w:tc>
        <w:tc>
          <w:tcPr>
            <w:tcW w:w="7620" w:type="dxa"/>
          </w:tcPr>
          <w:p w14:paraId="17A474B2"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1B1D7EAC" w14:textId="2398F21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591543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4357AF1F"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2A677E" w14:paraId="3D1FB7D3" w14:textId="77777777" w:rsidTr="00D731E3">
        <w:tc>
          <w:tcPr>
            <w:tcW w:w="1129" w:type="dxa"/>
          </w:tcPr>
          <w:p w14:paraId="363A4227"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410</w:t>
            </w:r>
          </w:p>
        </w:tc>
        <w:tc>
          <w:tcPr>
            <w:tcW w:w="7620" w:type="dxa"/>
          </w:tcPr>
          <w:p w14:paraId="7408A62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0ADB647D" w14:textId="5D7614E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oints (108) and (109)</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DAAD0FA"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2A677E" w14:paraId="6719402F" w14:textId="77777777" w:rsidTr="00D731E3">
        <w:tc>
          <w:tcPr>
            <w:tcW w:w="1129" w:type="dxa"/>
          </w:tcPr>
          <w:p w14:paraId="04DBEB8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420</w:t>
            </w:r>
          </w:p>
        </w:tc>
        <w:tc>
          <w:tcPr>
            <w:tcW w:w="7620" w:type="dxa"/>
          </w:tcPr>
          <w:p w14:paraId="03E84828"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0124E866" w14:textId="10C4A8A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FF43790"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This item shall only present any amount if there is a prior consent of the competent authority to reduce the amount of defined benefit pension fund assets to be deducted.</w:t>
            </w:r>
          </w:p>
          <w:p w14:paraId="57049D74"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22315F" w:rsidRPr="002A677E" w14:paraId="5A8DAB05" w14:textId="77777777" w:rsidTr="00D731E3">
        <w:tc>
          <w:tcPr>
            <w:tcW w:w="1129" w:type="dxa"/>
          </w:tcPr>
          <w:p w14:paraId="4EC02B2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430</w:t>
            </w:r>
          </w:p>
        </w:tc>
        <w:tc>
          <w:tcPr>
            <w:tcW w:w="7620" w:type="dxa"/>
          </w:tcPr>
          <w:p w14:paraId="3D438BF2"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635C9F86" w14:textId="7F4F6EA4"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(122),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00655B6E" w:rsidRPr="001235ED">
              <w:rPr>
                <w:lang w:val="en-US"/>
              </w:rPr>
              <w:t xml:space="preserve">of Regulation (EU) No </w:t>
            </w:r>
            <w:r w:rsidR="00D21548" w:rsidRPr="001235ED">
              <w:rPr>
                <w:lang w:val="en-US"/>
              </w:rPr>
              <w:t>575/2013</w:t>
            </w:r>
          </w:p>
          <w:p w14:paraId="7360C4FF" w14:textId="6386324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62726B5D"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2A677E" w14:paraId="03DEEE24" w14:textId="77777777" w:rsidTr="00D731E3">
        <w:tc>
          <w:tcPr>
            <w:tcW w:w="1129" w:type="dxa"/>
          </w:tcPr>
          <w:p w14:paraId="07E6CFAA"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440</w:t>
            </w:r>
          </w:p>
        </w:tc>
        <w:tc>
          <w:tcPr>
            <w:tcW w:w="7620" w:type="dxa"/>
          </w:tcPr>
          <w:p w14:paraId="3CB94F00"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2C188D37" w14:textId="4AD1B2FF"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EE452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2A677E" w14:paraId="59E5FC5E" w14:textId="77777777" w:rsidTr="00D731E3">
        <w:tc>
          <w:tcPr>
            <w:tcW w:w="1129" w:type="dxa"/>
          </w:tcPr>
          <w:p w14:paraId="1A6284D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450</w:t>
            </w:r>
          </w:p>
        </w:tc>
        <w:tc>
          <w:tcPr>
            <w:tcW w:w="7620" w:type="dxa"/>
          </w:tcPr>
          <w:p w14:paraId="508E0012" w14:textId="78C8694C"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sidR="008D696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2A58A94" w14:textId="33AED88F"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(36),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(k)(i)</w:t>
            </w:r>
            <w:r w:rsidR="001D3CE7"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Articles 89 to 91 </w:t>
            </w:r>
            <w:r w:rsidR="00655B6E" w:rsidRPr="001235ED">
              <w:rPr>
                <w:lang w:val="en-US"/>
              </w:rPr>
              <w:t xml:space="preserve">of Regulation (EU) No </w:t>
            </w:r>
            <w:r w:rsidR="00D21548" w:rsidRPr="001235ED">
              <w:rPr>
                <w:lang w:val="en-US"/>
              </w:rPr>
              <w:t>575/2013</w:t>
            </w:r>
          </w:p>
          <w:p w14:paraId="53C23A03" w14:textId="145AA9AB"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rsidR="00B856D5">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5D3874CE" w14:textId="4D029F8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460</w:t>
            </w:r>
          </w:p>
        </w:tc>
        <w:tc>
          <w:tcPr>
            <w:tcW w:w="7620" w:type="dxa"/>
          </w:tcPr>
          <w:p w14:paraId="5BA68174" w14:textId="28E29C6E"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rsidR="00B856D5">
              <w:t> </w:t>
            </w:r>
            <w:r w:rsidRPr="002A677E">
              <w:rPr>
                <w:rStyle w:val="InstructionsTabelleberschrift"/>
                <w:rFonts w:ascii="Times New Roman" w:hAnsi="Times New Roman"/>
                <w:sz w:val="24"/>
              </w:rPr>
              <w:t>% risk weight</w:t>
            </w:r>
          </w:p>
          <w:p w14:paraId="1DC138C0" w14:textId="68AE4A66"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 Article 245(1)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253(1)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p>
          <w:p w14:paraId="18AAF006" w14:textId="1897E68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rsidR="00B856D5">
              <w:t> </w:t>
            </w:r>
            <w:r w:rsidRPr="002A677E">
              <w:rPr>
                <w:rStyle w:val="FormatvorlageInstructionsTabelleText"/>
                <w:rFonts w:ascii="Times New Roman" w:hAnsi="Times New Roman"/>
                <w:sz w:val="24"/>
              </w:rPr>
              <w:t>% risk weight, but alternatively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shall be reported in this item.</w:t>
            </w:r>
          </w:p>
        </w:tc>
      </w:tr>
      <w:tr w:rsidR="0022315F" w:rsidRPr="002A677E" w14:paraId="63F31664" w14:textId="77777777" w:rsidTr="00D731E3">
        <w:tc>
          <w:tcPr>
            <w:tcW w:w="1129" w:type="dxa"/>
          </w:tcPr>
          <w:p w14:paraId="17BCA67A"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470</w:t>
            </w:r>
          </w:p>
        </w:tc>
        <w:tc>
          <w:tcPr>
            <w:tcW w:w="7620" w:type="dxa"/>
          </w:tcPr>
          <w:p w14:paraId="3B4B6512" w14:textId="16739639"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rsidR="00B856D5">
              <w:t> </w:t>
            </w:r>
            <w:r w:rsidRPr="002A677E">
              <w:rPr>
                <w:rStyle w:val="InstructionsTabelleberschrift"/>
                <w:rFonts w:ascii="Times New Roman" w:hAnsi="Times New Roman"/>
                <w:sz w:val="24"/>
              </w:rPr>
              <w:t>% risk weight</w:t>
            </w:r>
          </w:p>
          <w:p w14:paraId="567139B5" w14:textId="7173A246"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Pr="002A677E">
              <w:rPr>
                <w:rStyle w:val="FormatvorlageInstructionsTabelleText"/>
                <w:rFonts w:ascii="Times New Roman" w:hAnsi="Times New Roman"/>
                <w:sz w:val="24"/>
              </w:rPr>
              <w:t xml:space="preserve">and Article 379(3) </w:t>
            </w:r>
            <w:r w:rsidR="00655B6E" w:rsidRPr="001235ED">
              <w:rPr>
                <w:lang w:val="en-US"/>
              </w:rPr>
              <w:t xml:space="preserve">of Regulation (EU) No </w:t>
            </w:r>
            <w:r w:rsidR="00D21548" w:rsidRPr="001235ED">
              <w:rPr>
                <w:lang w:val="en-US"/>
              </w:rPr>
              <w:t>575/2013</w:t>
            </w:r>
          </w:p>
          <w:p w14:paraId="50BFAA3F" w14:textId="6B56BFA1"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Free deliveries are subject to a 1 250</w:t>
            </w:r>
            <w:r w:rsidR="00B856D5">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In the latter case, they shall be reported in this item.</w:t>
            </w:r>
          </w:p>
        </w:tc>
      </w:tr>
      <w:tr w:rsidR="0022315F" w:rsidRPr="002A677E" w14:paraId="1B3ABFC9" w14:textId="77777777" w:rsidTr="00D731E3">
        <w:tc>
          <w:tcPr>
            <w:tcW w:w="1129" w:type="dxa"/>
          </w:tcPr>
          <w:p w14:paraId="7FAEDC8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471</w:t>
            </w:r>
          </w:p>
        </w:tc>
        <w:tc>
          <w:tcPr>
            <w:tcW w:w="7620" w:type="dxa"/>
          </w:tcPr>
          <w:p w14:paraId="725038CE" w14:textId="6BE1AD68"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sidR="0077085A">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0AA0358B" w14:textId="6A9010B8"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Pr="002A677E">
              <w:rPr>
                <w:rStyle w:val="InstructionsTabelleberschrift"/>
                <w:rFonts w:ascii="Times New Roman" w:hAnsi="Times New Roman"/>
                <w:b w:val="0"/>
                <w:sz w:val="24"/>
                <w:u w:val="none"/>
              </w:rPr>
              <w:t xml:space="preserve">and Article 153(8) </w:t>
            </w:r>
            <w:r w:rsidR="00655B6E" w:rsidRPr="001235ED">
              <w:rPr>
                <w:lang w:val="en-US"/>
              </w:rPr>
              <w:t xml:space="preserve">of Regulation (EU) No </w:t>
            </w:r>
            <w:r w:rsidR="00D21548" w:rsidRPr="001235ED">
              <w:rPr>
                <w:lang w:val="en-US"/>
              </w:rPr>
              <w:t>575/2013</w:t>
            </w:r>
          </w:p>
          <w:p w14:paraId="3F32CEF7" w14:textId="37AF5E7E"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00634EC4"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00655B6E" w:rsidRPr="001235ED">
              <w:rPr>
                <w:lang w:val="en-US"/>
              </w:rPr>
              <w:t xml:space="preserve">of Regulation (EU) No </w:t>
            </w:r>
            <w:r w:rsidR="00D21548" w:rsidRPr="001235ED">
              <w:rPr>
                <w:lang w:val="en-US"/>
              </w:rPr>
              <w:t>575/2013</w:t>
            </w:r>
            <w:r w:rsidR="00B83DDE">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sidR="0077085A">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22315F" w:rsidRPr="002A677E" w14:paraId="66EC04EB" w14:textId="77777777" w:rsidTr="00D731E3">
        <w:tc>
          <w:tcPr>
            <w:tcW w:w="1129" w:type="dxa"/>
          </w:tcPr>
          <w:p w14:paraId="37DC44A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472</w:t>
            </w:r>
          </w:p>
        </w:tc>
        <w:tc>
          <w:tcPr>
            <w:tcW w:w="7620" w:type="dxa"/>
          </w:tcPr>
          <w:p w14:paraId="1841C0B0" w14:textId="7A0262CB"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rsidR="00B856D5">
              <w:t> </w:t>
            </w:r>
            <w:r w:rsidRPr="002A677E">
              <w:rPr>
                <w:rStyle w:val="InstructionsTabelleberschrift"/>
                <w:rFonts w:ascii="Times New Roman" w:hAnsi="Times New Roman"/>
                <w:sz w:val="24"/>
              </w:rPr>
              <w:t>% risk weight</w:t>
            </w:r>
          </w:p>
          <w:p w14:paraId="2D89DE81" w14:textId="1A39C62D" w:rsidR="0022315F" w:rsidRPr="002A677E" w:rsidRDefault="00634EC4"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w:t>
            </w:r>
            <w:r w:rsidR="0022315F" w:rsidRPr="002A677E">
              <w:rPr>
                <w:rStyle w:val="InstructionsTabelleberschrift"/>
                <w:rFonts w:ascii="Times New Roman" w:hAnsi="Times New Roman"/>
                <w:b w:val="0"/>
                <w:sz w:val="24"/>
                <w:u w:val="none"/>
              </w:rPr>
              <w:t xml:space="preserve">and Article 155(4) </w:t>
            </w:r>
            <w:r w:rsidR="00655B6E" w:rsidRPr="001235ED">
              <w:rPr>
                <w:lang w:val="en-US"/>
              </w:rPr>
              <w:t xml:space="preserve">of Regulation (EU) No </w:t>
            </w:r>
            <w:r w:rsidR="00D21548" w:rsidRPr="001235ED">
              <w:rPr>
                <w:lang w:val="en-US"/>
              </w:rPr>
              <w:t>575/2013</w:t>
            </w:r>
          </w:p>
          <w:p w14:paraId="1D29C80B" w14:textId="489507BF"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(k)(v)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480</w:t>
            </w:r>
          </w:p>
        </w:tc>
        <w:tc>
          <w:tcPr>
            <w:tcW w:w="7620" w:type="dxa"/>
          </w:tcPr>
          <w:p w14:paraId="292610DA"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3461344B" w14:textId="39A95ADA"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(h), </w:t>
            </w:r>
            <w:r w:rsidRPr="002A677E">
              <w:rPr>
                <w:rStyle w:val="FormatvorlageInstructionsTabelleText"/>
                <w:rFonts w:ascii="Times New Roman" w:hAnsi="Times New Roman"/>
                <w:sz w:val="24"/>
              </w:rPr>
              <w:t>Articles 43 to 46, Article 49</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aragraphs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101FE476" w14:textId="13669F4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CE5754"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328C33B9" w14:textId="5057E202"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aragraphs 2 and 3</w:t>
            </w:r>
            <w:r w:rsidRPr="002A677E">
              <w:rPr>
                <w:rStyle w:val="FormatvorlageInstructionsTabelleText"/>
                <w:rFonts w:ascii="Times New Roman" w:hAnsi="Times New Roman"/>
                <w:sz w:val="24"/>
              </w:rPr>
              <w:t>).</w:t>
            </w:r>
          </w:p>
        </w:tc>
      </w:tr>
      <w:tr w:rsidR="0022315F" w:rsidRPr="002A677E" w14:paraId="0F8D9170" w14:textId="77777777" w:rsidTr="00D731E3">
        <w:tc>
          <w:tcPr>
            <w:tcW w:w="1129" w:type="dxa"/>
          </w:tcPr>
          <w:p w14:paraId="3A11B5CC"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490</w:t>
            </w:r>
          </w:p>
        </w:tc>
        <w:tc>
          <w:tcPr>
            <w:tcW w:w="7620" w:type="dxa"/>
          </w:tcPr>
          <w:p w14:paraId="5478143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1DACA2A1" w14:textId="12366BF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(c); </w:t>
            </w:r>
            <w:r w:rsidRPr="002A677E">
              <w:rPr>
                <w:rStyle w:val="FormatvorlageInstructionsTabelleText"/>
                <w:rFonts w:ascii="Times New Roman" w:hAnsi="Times New Roman"/>
                <w:sz w:val="24"/>
              </w:rPr>
              <w:t>Article 38 and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2E7BEC1" w14:textId="25811B5E"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r w:rsidR="00402284">
              <w:rPr>
                <w:lang w:val="en-US"/>
              </w:rPr>
              <w:t xml:space="preserve"> </w:t>
            </w:r>
            <w:r w:rsidRPr="002A677E">
              <w:rPr>
                <w:rStyle w:val="FormatvorlageInstructionsTabelleText"/>
                <w:rFonts w:ascii="Times New Roman" w:hAnsi="Times New Roman"/>
                <w:sz w:val="24"/>
              </w:rPr>
              <w:t>has to be deducted applying the 10</w:t>
            </w:r>
            <w:r w:rsidR="00B856D5">
              <w:t> </w:t>
            </w:r>
            <w:r w:rsidRPr="002A677E">
              <w:rPr>
                <w:rStyle w:val="FormatvorlageInstructionsTabelleText"/>
                <w:rFonts w:ascii="Times New Roman" w:hAnsi="Times New Roman"/>
                <w:sz w:val="24"/>
              </w:rPr>
              <w:t>% threshold referred to in of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500</w:t>
            </w:r>
          </w:p>
        </w:tc>
        <w:tc>
          <w:tcPr>
            <w:tcW w:w="7620" w:type="dxa"/>
          </w:tcPr>
          <w:p w14:paraId="3DF7DDD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6906A14D" w14:textId="3DA806C0"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(i); </w:t>
            </w:r>
            <w:r w:rsidRPr="002A677E">
              <w:rPr>
                <w:rStyle w:val="FormatvorlageInstructionsTabelleText"/>
                <w:rFonts w:ascii="Times New Roman" w:hAnsi="Times New Roman"/>
                <w:sz w:val="24"/>
              </w:rPr>
              <w:t>Articles 43, 45, 47, Article 48(2)</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3E66EE26" w14:textId="5E246CE9"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rsidR="00B856D5">
              <w:t> </w:t>
            </w:r>
            <w:r w:rsidRPr="002A677E">
              <w:rPr>
                <w:rStyle w:val="FormatvorlageInstructionsTabelleText"/>
                <w:rFonts w:ascii="Times New Roman" w:hAnsi="Times New Roman"/>
                <w:sz w:val="24"/>
              </w:rPr>
              <w:t>% threshold referred to in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p w14:paraId="0DCB0638" w14:textId="61038C1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00566DB5" w:rsidRPr="001235ED">
              <w:rPr>
                <w:lang w:val="en-US"/>
              </w:rPr>
              <w:t>of Regulation (EU) No 575/2013</w:t>
            </w:r>
            <w:r w:rsidRPr="002A677E">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510</w:t>
            </w:r>
          </w:p>
        </w:tc>
        <w:tc>
          <w:tcPr>
            <w:tcW w:w="7620" w:type="dxa"/>
          </w:tcPr>
          <w:p w14:paraId="149B4832" w14:textId="5BD12EA8"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242D5AEA" w14:textId="60223D2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00566DB5" w:rsidRPr="001235ED">
              <w:rPr>
                <w:lang w:val="en-US"/>
              </w:rPr>
              <w:t>of Regulation (EU) No 575/2013</w:t>
            </w:r>
          </w:p>
          <w:p w14:paraId="7B05980C" w14:textId="02F7BB8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and direct, indirect and synthetic holdings by the institution of the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sidR="00B856D5">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511</w:t>
            </w:r>
          </w:p>
        </w:tc>
        <w:tc>
          <w:tcPr>
            <w:tcW w:w="7620" w:type="dxa"/>
          </w:tcPr>
          <w:p w14:paraId="3F9F869A" w14:textId="74E1CB02"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22315F" w:rsidRPr="002A677E" w14:paraId="272E4CF2" w14:textId="77777777" w:rsidTr="00D731E3">
        <w:tc>
          <w:tcPr>
            <w:tcW w:w="1129" w:type="dxa"/>
          </w:tcPr>
          <w:p w14:paraId="02436C4C"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512</w:t>
            </w:r>
          </w:p>
        </w:tc>
        <w:tc>
          <w:tcPr>
            <w:tcW w:w="7620" w:type="dxa"/>
          </w:tcPr>
          <w:p w14:paraId="6F9E4E4A" w14:textId="153608F0"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22315F" w:rsidRPr="002A677E" w14:paraId="6526CCCF" w14:textId="77777777" w:rsidTr="00D731E3">
        <w:tc>
          <w:tcPr>
            <w:tcW w:w="1129" w:type="dxa"/>
          </w:tcPr>
          <w:p w14:paraId="364AA539"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513</w:t>
            </w:r>
          </w:p>
        </w:tc>
        <w:tc>
          <w:tcPr>
            <w:tcW w:w="7620" w:type="dxa"/>
          </w:tcPr>
          <w:p w14:paraId="68B15638"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76458C5D" w14:textId="5437E541" w:rsidR="0022315F" w:rsidRPr="002A677E" w:rsidRDefault="0044539D"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w:t>
            </w:r>
            <w:r w:rsidR="002231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(m)</w:t>
            </w:r>
            <w:r w:rsidR="00BE127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22315F" w:rsidRPr="002A677E">
              <w:rPr>
                <w:rStyle w:val="FormatvorlageInstructionsTabelleText"/>
                <w:rFonts w:ascii="Times New Roman" w:hAnsi="Times New Roman"/>
                <w:sz w:val="24"/>
              </w:rPr>
              <w:t xml:space="preserve">47c </w:t>
            </w:r>
            <w:r w:rsidR="00566DB5" w:rsidRPr="001235ED">
              <w:rPr>
                <w:lang w:val="en-US"/>
              </w:rPr>
              <w:t>of Regulation (EU) No 575/2013</w:t>
            </w:r>
          </w:p>
        </w:tc>
      </w:tr>
      <w:tr w:rsidR="0022315F" w:rsidRPr="002A677E" w14:paraId="56B584B6" w14:textId="77777777" w:rsidTr="00D731E3">
        <w:tc>
          <w:tcPr>
            <w:tcW w:w="1129" w:type="dxa"/>
          </w:tcPr>
          <w:p w14:paraId="1C8C1950"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514</w:t>
            </w:r>
          </w:p>
        </w:tc>
        <w:tc>
          <w:tcPr>
            <w:tcW w:w="7620" w:type="dxa"/>
          </w:tcPr>
          <w:p w14:paraId="45B3CC0F"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1DA8258E" w14:textId="261D7C57" w:rsidR="0022315F" w:rsidRPr="002A677E" w:rsidRDefault="00634EC4"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44539D" w:rsidRPr="002A677E">
              <w:rPr>
                <w:rStyle w:val="FormatvorlageInstructionsTabelleText"/>
                <w:rFonts w:ascii="Times New Roman" w:hAnsi="Times New Roman"/>
                <w:sz w:val="24"/>
              </w:rPr>
              <w:t>and Article 132c</w:t>
            </w:r>
            <w:r w:rsidR="0022315F" w:rsidRPr="002A677E">
              <w:rPr>
                <w:rStyle w:val="FormatvorlageInstructionsTabelleText"/>
                <w:rFonts w:ascii="Times New Roman" w:hAnsi="Times New Roman"/>
                <w:sz w:val="24"/>
              </w:rPr>
              <w:t xml:space="preserve">(2) </w:t>
            </w:r>
            <w:r w:rsidR="00566DB5" w:rsidRPr="001235ED">
              <w:rPr>
                <w:lang w:val="en-US"/>
              </w:rPr>
              <w:t>of Regulation (EU) No 575/2013</w:t>
            </w:r>
          </w:p>
        </w:tc>
      </w:tr>
      <w:tr w:rsidR="0022315F" w:rsidRPr="002A677E" w14:paraId="6CF8BC09" w14:textId="77777777" w:rsidTr="00D731E3">
        <w:tc>
          <w:tcPr>
            <w:tcW w:w="1129" w:type="dxa"/>
          </w:tcPr>
          <w:p w14:paraId="0CB128F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515</w:t>
            </w:r>
          </w:p>
        </w:tc>
        <w:tc>
          <w:tcPr>
            <w:tcW w:w="7620" w:type="dxa"/>
          </w:tcPr>
          <w:p w14:paraId="037C4B78"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5267EA9F" w14:textId="6D1DAA5C" w:rsidR="0022315F" w:rsidRPr="002A677E" w:rsidRDefault="00634EC4" w:rsidP="00B055FF">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77A0C028" w14:textId="77777777" w:rsidR="0022315F" w:rsidRPr="002A677E" w:rsidRDefault="0022315F"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2A677E" w14:paraId="270A6EFF" w14:textId="77777777" w:rsidTr="00D731E3">
        <w:tc>
          <w:tcPr>
            <w:tcW w:w="1129" w:type="dxa"/>
          </w:tcPr>
          <w:p w14:paraId="1D5288B4"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520</w:t>
            </w:r>
          </w:p>
        </w:tc>
        <w:tc>
          <w:tcPr>
            <w:tcW w:w="7620" w:type="dxa"/>
          </w:tcPr>
          <w:p w14:paraId="0253165E"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488DD7BC" w14:textId="1CB62E2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00566DB5" w:rsidRPr="001235ED">
              <w:rPr>
                <w:lang w:val="en-US"/>
              </w:rPr>
              <w:t>of Regulation (EU) No 575/2013</w:t>
            </w:r>
          </w:p>
          <w:p w14:paraId="049A1B00"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2A677E" w14:paraId="7B4D2E5B" w14:textId="77777777" w:rsidTr="00D731E3">
        <w:tc>
          <w:tcPr>
            <w:tcW w:w="1129" w:type="dxa"/>
          </w:tcPr>
          <w:p w14:paraId="5650F59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524</w:t>
            </w:r>
          </w:p>
        </w:tc>
        <w:tc>
          <w:tcPr>
            <w:tcW w:w="7620" w:type="dxa"/>
          </w:tcPr>
          <w:p w14:paraId="7AEB8516" w14:textId="1416086E"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xml:space="preserve">(-) Additional deductions of CET1 Capital due to Article 3 </w:t>
            </w:r>
            <w:r w:rsidR="00566DB5" w:rsidRPr="002A677E">
              <w:rPr>
                <w:rStyle w:val="InstructionsTabelleberschrift"/>
                <w:rFonts w:ascii="Times New Roman" w:hAnsi="Times New Roman"/>
                <w:sz w:val="24"/>
              </w:rPr>
              <w:t>of Regulation (EU) No 575/2013</w:t>
            </w:r>
          </w:p>
          <w:p w14:paraId="2FCD75D4" w14:textId="2C4E3183"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p w14:paraId="385DA344" w14:textId="4ECE485A" w:rsidR="00A95150" w:rsidRPr="002A677E" w:rsidRDefault="00A95150"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00566DB5"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22315F" w:rsidRPr="002A677E" w14:paraId="37D36F0C" w14:textId="77777777" w:rsidTr="00D731E3">
        <w:tc>
          <w:tcPr>
            <w:tcW w:w="1129" w:type="dxa"/>
          </w:tcPr>
          <w:p w14:paraId="5AF86446"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529</w:t>
            </w:r>
          </w:p>
        </w:tc>
        <w:tc>
          <w:tcPr>
            <w:tcW w:w="7620" w:type="dxa"/>
          </w:tcPr>
          <w:p w14:paraId="062BBE28"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572AA726" w14:textId="77777777"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1A5B3380" w14:textId="5EC77995"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00566DB5" w:rsidRPr="001235ED">
              <w:rPr>
                <w:lang w:val="en-US"/>
              </w:rPr>
              <w:t>of Regulation (EU) No 575/2013</w:t>
            </w:r>
            <w:r w:rsidRPr="002A677E">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530</w:t>
            </w:r>
          </w:p>
        </w:tc>
        <w:tc>
          <w:tcPr>
            <w:tcW w:w="7620" w:type="dxa"/>
          </w:tcPr>
          <w:p w14:paraId="58200C4E"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6084F8E8" w14:textId="0400DB2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00566DB5" w:rsidRPr="001235ED">
              <w:rPr>
                <w:lang w:val="en-US"/>
              </w:rPr>
              <w:t>of Regulation (EU) No 575/2013</w:t>
            </w:r>
          </w:p>
        </w:tc>
      </w:tr>
      <w:tr w:rsidR="0022315F" w:rsidRPr="002A677E" w14:paraId="64E16F46" w14:textId="77777777" w:rsidTr="00D731E3">
        <w:tc>
          <w:tcPr>
            <w:tcW w:w="1129" w:type="dxa"/>
          </w:tcPr>
          <w:p w14:paraId="0972E7E0"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540</w:t>
            </w:r>
          </w:p>
        </w:tc>
        <w:tc>
          <w:tcPr>
            <w:tcW w:w="7620" w:type="dxa"/>
          </w:tcPr>
          <w:p w14:paraId="1836352C" w14:textId="7043C770"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sidR="00C53C4E">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72A2A6AF" w14:textId="14112B36"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52, 53 and 54,</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377F55D4" w14:textId="77777777" w:rsidTr="00D731E3">
        <w:tc>
          <w:tcPr>
            <w:tcW w:w="1129" w:type="dxa"/>
          </w:tcPr>
          <w:p w14:paraId="3776B94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551</w:t>
            </w:r>
          </w:p>
        </w:tc>
        <w:tc>
          <w:tcPr>
            <w:tcW w:w="7620" w:type="dxa"/>
          </w:tcPr>
          <w:p w14:paraId="60ADD0D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0732E830" w14:textId="4193A044"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Articles 52, 53 and 54 </w:t>
            </w:r>
            <w:r w:rsidR="00566DB5" w:rsidRPr="001235ED">
              <w:rPr>
                <w:lang w:val="en-US"/>
              </w:rPr>
              <w:t>of Regulation (EU) No 575/2013</w:t>
            </w:r>
          </w:p>
          <w:p w14:paraId="47021F80"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C04295E" w14:textId="77777777" w:rsidTr="00D731E3">
        <w:tc>
          <w:tcPr>
            <w:tcW w:w="1129" w:type="dxa"/>
          </w:tcPr>
          <w:p w14:paraId="2B0C882C"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560</w:t>
            </w:r>
          </w:p>
        </w:tc>
        <w:tc>
          <w:tcPr>
            <w:tcW w:w="7620" w:type="dxa"/>
          </w:tcPr>
          <w:p w14:paraId="1AD0D7E1"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58F688AF" w14:textId="160C852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4E69963"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1D972F74"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A20E138" w14:textId="77777777" w:rsidTr="00D731E3">
        <w:tc>
          <w:tcPr>
            <w:tcW w:w="1129" w:type="dxa"/>
          </w:tcPr>
          <w:p w14:paraId="56B3C5C7"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571</w:t>
            </w:r>
          </w:p>
        </w:tc>
        <w:tc>
          <w:tcPr>
            <w:tcW w:w="7620" w:type="dxa"/>
          </w:tcPr>
          <w:p w14:paraId="49B739D6"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153298B7" w14:textId="005A622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5119736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Share premium has the same meaning as under the applicable accounting standard.</w:t>
            </w:r>
          </w:p>
          <w:p w14:paraId="586C3457"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16672D93" w14:textId="77777777" w:rsidTr="00D731E3">
        <w:tc>
          <w:tcPr>
            <w:tcW w:w="1129" w:type="dxa"/>
          </w:tcPr>
          <w:p w14:paraId="6A6D0598"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580</w:t>
            </w:r>
          </w:p>
        </w:tc>
        <w:tc>
          <w:tcPr>
            <w:tcW w:w="7620" w:type="dxa"/>
          </w:tcPr>
          <w:p w14:paraId="737C99C4"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0E23F695" w14:textId="23525B77" w:rsidR="0022315F" w:rsidRPr="002A677E" w:rsidRDefault="00634EC4"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sidR="000F0D99">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sidR="000F0D99">
              <w:rPr>
                <w:rStyle w:val="FormatvorlageInstructionsTabelleText"/>
                <w:rFonts w:ascii="Times New Roman" w:hAnsi="Times New Roman"/>
                <w:sz w:val="24"/>
              </w:rPr>
              <w:t>)</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w:t>
            </w:r>
            <w:r w:rsidR="00402284">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14B767B5" w14:textId="0E61ADE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00566DB5" w:rsidRPr="001235ED">
              <w:rPr>
                <w:lang w:val="en-US"/>
              </w:rPr>
              <w:t>of Regulation (EU) No 575/2013</w:t>
            </w:r>
            <w:r w:rsidRPr="002A677E">
              <w:rPr>
                <w:rStyle w:val="FormatvorlageInstructionsTabelleText"/>
                <w:rFonts w:ascii="Times New Roman" w:hAnsi="Times New Roman"/>
                <w:sz w:val="24"/>
              </w:rPr>
              <w:t>.</w:t>
            </w:r>
          </w:p>
          <w:p w14:paraId="5B12395C"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652F5782"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43D154E" w14:textId="08B5A54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sidR="007F6E9E">
              <w:rPr>
                <w:rStyle w:val="FormatvorlageInstructionsTabelleText"/>
                <w:rFonts w:ascii="Times New Roman" w:hAnsi="Times New Roman"/>
                <w:sz w:val="24"/>
              </w:rPr>
              <w:t>AT1</w:t>
            </w:r>
            <w:r w:rsidR="007F6E9E"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instruments. Actual or contingent obligations to purchase own AT1 instruments are reported separately in item 1.1.2.1.5.</w:t>
            </w:r>
          </w:p>
        </w:tc>
      </w:tr>
      <w:tr w:rsidR="0022315F" w:rsidRPr="002A677E" w14:paraId="30F256BF" w14:textId="77777777" w:rsidTr="00D731E3">
        <w:tc>
          <w:tcPr>
            <w:tcW w:w="1129" w:type="dxa"/>
          </w:tcPr>
          <w:p w14:paraId="0F4C2AE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590</w:t>
            </w:r>
          </w:p>
        </w:tc>
        <w:tc>
          <w:tcPr>
            <w:tcW w:w="7620" w:type="dxa"/>
          </w:tcPr>
          <w:p w14:paraId="7815E8B4"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7B8D41F7" w14:textId="7010199F"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(144), </w:t>
            </w: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7528953E" w14:textId="66DFA7D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736D86F" w14:textId="77777777" w:rsidTr="00D731E3">
        <w:tc>
          <w:tcPr>
            <w:tcW w:w="1129" w:type="dxa"/>
          </w:tcPr>
          <w:p w14:paraId="5BF6B487"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620</w:t>
            </w:r>
          </w:p>
        </w:tc>
        <w:tc>
          <w:tcPr>
            <w:tcW w:w="7620" w:type="dxa"/>
          </w:tcPr>
          <w:p w14:paraId="22788266"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042F575A" w14:textId="293D792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608989AC" w14:textId="77777777" w:rsidTr="00D731E3">
        <w:tc>
          <w:tcPr>
            <w:tcW w:w="1129" w:type="dxa"/>
          </w:tcPr>
          <w:p w14:paraId="7E19F1C3"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621</w:t>
            </w:r>
          </w:p>
        </w:tc>
        <w:tc>
          <w:tcPr>
            <w:tcW w:w="7620" w:type="dxa"/>
          </w:tcPr>
          <w:p w14:paraId="445CC511" w14:textId="77777777" w:rsidR="0022315F" w:rsidRPr="002A677E" w:rsidRDefault="0022315F" w:rsidP="00B055FF">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010780" w14:textId="287F585E" w:rsidR="0022315F" w:rsidRPr="002A677E" w:rsidRDefault="0022315F" w:rsidP="00B055FF">
            <w:pPr>
              <w:pStyle w:val="InstructionsText"/>
              <w:rPr>
                <w:rStyle w:val="InstructionsTabelleberschrift"/>
                <w:rFonts w:ascii="Times New Roman" w:hAnsi="Times New Roman"/>
                <w:b w:val="0"/>
                <w:bCs w:val="0"/>
                <w:sz w:val="24"/>
                <w:u w:val="none"/>
              </w:rPr>
            </w:pPr>
            <w:r w:rsidRPr="002A677E">
              <w:t xml:space="preserve"> Article 4(1)</w:t>
            </w:r>
            <w:r w:rsidR="00B83DDE">
              <w:t>, p</w:t>
            </w:r>
            <w:r w:rsidR="00BA5699" w:rsidRPr="002A677E">
              <w:t xml:space="preserve">oint (126), </w:t>
            </w:r>
            <w:r w:rsidRPr="002A677E">
              <w:t>Article 52(1)</w:t>
            </w:r>
            <w:r w:rsidR="00B83DDE">
              <w:t>, p</w:t>
            </w:r>
            <w:r w:rsidR="00BA5699" w:rsidRPr="002A677E">
              <w:t xml:space="preserve">oint (b),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t xml:space="preserve">and Article 57 </w:t>
            </w:r>
            <w:r w:rsidR="00566DB5" w:rsidRPr="001235ED">
              <w:rPr>
                <w:lang w:val="en-US"/>
              </w:rPr>
              <w:t>of Regulation (EU) No 575/2013</w:t>
            </w:r>
          </w:p>
        </w:tc>
      </w:tr>
      <w:tr w:rsidR="0022315F" w:rsidRPr="002A677E" w14:paraId="0587899F" w14:textId="77777777" w:rsidTr="00D731E3">
        <w:tc>
          <w:tcPr>
            <w:tcW w:w="1129" w:type="dxa"/>
          </w:tcPr>
          <w:p w14:paraId="177372F7"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622</w:t>
            </w:r>
          </w:p>
        </w:tc>
        <w:tc>
          <w:tcPr>
            <w:tcW w:w="7620" w:type="dxa"/>
          </w:tcPr>
          <w:p w14:paraId="430E1B4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F39AA25" w14:textId="067A5C21"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32411320" w14:textId="0C270C03"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402284">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22315F" w:rsidRPr="002A677E" w14:paraId="77B4803A" w14:textId="77777777" w:rsidTr="00D731E3">
        <w:tc>
          <w:tcPr>
            <w:tcW w:w="1129" w:type="dxa"/>
          </w:tcPr>
          <w:p w14:paraId="3BB747D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660</w:t>
            </w:r>
          </w:p>
        </w:tc>
        <w:tc>
          <w:tcPr>
            <w:tcW w:w="7620" w:type="dxa"/>
          </w:tcPr>
          <w:p w14:paraId="014AF977"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34510A38" w14:textId="31E0390B"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aragraphs 4 and 5, </w:t>
            </w:r>
            <w:r w:rsidRPr="002A677E">
              <w:rPr>
                <w:rStyle w:val="FormatvorlageInstructionsTabelleText"/>
                <w:rFonts w:ascii="Times New Roman" w:hAnsi="Times New Roman"/>
                <w:sz w:val="24"/>
              </w:rPr>
              <w:t xml:space="preserve">Articles 484 to 487, Articles 489 and 491 </w:t>
            </w:r>
            <w:r w:rsidR="00566DB5" w:rsidRPr="001235ED">
              <w:rPr>
                <w:lang w:val="en-US"/>
              </w:rPr>
              <w:t>of Regulation (EU) No 575/2013</w:t>
            </w:r>
          </w:p>
          <w:p w14:paraId="2401E4D5"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2A677E" w14:paraId="05746E43" w14:textId="77777777" w:rsidTr="00D731E3">
        <w:tc>
          <w:tcPr>
            <w:tcW w:w="1129" w:type="dxa"/>
          </w:tcPr>
          <w:p w14:paraId="62A82625"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670</w:t>
            </w:r>
          </w:p>
        </w:tc>
        <w:tc>
          <w:tcPr>
            <w:tcW w:w="7620" w:type="dxa"/>
          </w:tcPr>
          <w:p w14:paraId="67CC3F6B"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21A9CDE1" w14:textId="01F928C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00566DB5" w:rsidRPr="001235ED">
              <w:rPr>
                <w:lang w:val="en-US"/>
              </w:rPr>
              <w:t>of Regulation (EU) No 575/2013</w:t>
            </w:r>
          </w:p>
          <w:p w14:paraId="0A4BFAB2"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1FDD3CDB" w14:textId="4E9DFC3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E7583D8" w14:textId="77777777" w:rsidTr="00D731E3">
        <w:tc>
          <w:tcPr>
            <w:tcW w:w="1129" w:type="dxa"/>
          </w:tcPr>
          <w:p w14:paraId="5EB6A58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680</w:t>
            </w:r>
          </w:p>
        </w:tc>
        <w:tc>
          <w:tcPr>
            <w:tcW w:w="7620" w:type="dxa"/>
          </w:tcPr>
          <w:p w14:paraId="1FF8234D"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0D6F07DC" w14:textId="1DE26E81"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778D2FF3"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2A677E" w14:paraId="19AFFA2C" w14:textId="77777777" w:rsidTr="00D731E3">
        <w:tc>
          <w:tcPr>
            <w:tcW w:w="1129" w:type="dxa"/>
          </w:tcPr>
          <w:p w14:paraId="7D4FFE5C"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690</w:t>
            </w:r>
          </w:p>
        </w:tc>
        <w:tc>
          <w:tcPr>
            <w:tcW w:w="7620" w:type="dxa"/>
          </w:tcPr>
          <w:p w14:paraId="00DE0A3C"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613B482E" w14:textId="6E927E0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(122),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58 </w:t>
            </w:r>
            <w:r w:rsidR="00566DB5" w:rsidRPr="001235ED">
              <w:rPr>
                <w:lang w:val="en-US"/>
              </w:rPr>
              <w:t>of Regulation (EU) No 575/2013</w:t>
            </w:r>
          </w:p>
          <w:p w14:paraId="3A4D093E" w14:textId="4237CAFA"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3868707B"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2A677E" w14:paraId="09AAF0BF" w14:textId="77777777" w:rsidTr="00D731E3">
        <w:tc>
          <w:tcPr>
            <w:tcW w:w="1129" w:type="dxa"/>
          </w:tcPr>
          <w:p w14:paraId="0F1D3B8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700</w:t>
            </w:r>
          </w:p>
        </w:tc>
        <w:tc>
          <w:tcPr>
            <w:tcW w:w="7620" w:type="dxa"/>
          </w:tcPr>
          <w:p w14:paraId="6F80B5AD"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37C6AAAE" w14:textId="5468B906"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59, 60 and 79 </w:t>
            </w:r>
            <w:r w:rsidR="00566DB5" w:rsidRPr="001235ED">
              <w:rPr>
                <w:lang w:val="en-US"/>
              </w:rPr>
              <w:t>of Regulation (EU) No 575/2013</w:t>
            </w:r>
          </w:p>
          <w:p w14:paraId="5B8EA05D" w14:textId="7172A8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22315F" w:rsidRPr="002A677E" w14:paraId="1CDD721D" w14:textId="77777777" w:rsidTr="00D731E3">
        <w:tc>
          <w:tcPr>
            <w:tcW w:w="1129" w:type="dxa"/>
          </w:tcPr>
          <w:p w14:paraId="7DE28482"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710</w:t>
            </w:r>
          </w:p>
        </w:tc>
        <w:tc>
          <w:tcPr>
            <w:tcW w:w="7620" w:type="dxa"/>
          </w:tcPr>
          <w:p w14:paraId="7602671C"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553A8EFD" w14:textId="3A44ADE8"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59 and 79 </w:t>
            </w:r>
            <w:r w:rsidR="00566DB5" w:rsidRPr="001235ED">
              <w:rPr>
                <w:lang w:val="en-US"/>
              </w:rPr>
              <w:t>of Regulation (EU) No 575/2013</w:t>
            </w:r>
          </w:p>
          <w:p w14:paraId="428C5674" w14:textId="56B5E0A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AT1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22315F" w:rsidRPr="002A677E" w14:paraId="2DA2C533" w14:textId="77777777" w:rsidTr="00D731E3">
        <w:tc>
          <w:tcPr>
            <w:tcW w:w="1129" w:type="dxa"/>
          </w:tcPr>
          <w:p w14:paraId="766F916F"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720</w:t>
            </w:r>
          </w:p>
        </w:tc>
        <w:tc>
          <w:tcPr>
            <w:tcW w:w="7620" w:type="dxa"/>
          </w:tcPr>
          <w:p w14:paraId="312B336E"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6160D036" w14:textId="1B6E6B51"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566DB5" w:rsidRPr="001235ED">
              <w:rPr>
                <w:lang w:val="en-US"/>
              </w:rPr>
              <w:t>of Regulation (EU) No 575/2013</w:t>
            </w:r>
          </w:p>
          <w:p w14:paraId="5A208BDF"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2A677E" w14:paraId="3441D1E2" w14:textId="77777777" w:rsidTr="00D731E3">
        <w:tc>
          <w:tcPr>
            <w:tcW w:w="1129" w:type="dxa"/>
          </w:tcPr>
          <w:p w14:paraId="5874118A"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730</w:t>
            </w:r>
          </w:p>
        </w:tc>
        <w:tc>
          <w:tcPr>
            <w:tcW w:w="7620" w:type="dxa"/>
          </w:tcPr>
          <w:p w14:paraId="77D1B711"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43690282" w14:textId="77DE0D82"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2E0174" w:rsidRPr="002A677E">
              <w:rPr>
                <w:rStyle w:val="FormatvorlageInstructionsTabelleText"/>
                <w:rFonts w:ascii="Times New Roman" w:hAnsi="Times New Roman"/>
                <w:sz w:val="24"/>
              </w:rPr>
              <w:t xml:space="preserve">472, </w:t>
            </w:r>
            <w:r w:rsidRPr="002A677E">
              <w:rPr>
                <w:rStyle w:val="FormatvorlageInstructionsTabelleText"/>
                <w:rFonts w:ascii="Times New Roman" w:hAnsi="Times New Roman"/>
                <w:sz w:val="24"/>
              </w:rPr>
              <w:t xml:space="preserve">474, 475, 478 and 481 </w:t>
            </w:r>
            <w:r w:rsidR="00566DB5" w:rsidRPr="001235ED">
              <w:rPr>
                <w:lang w:val="en-US"/>
              </w:rPr>
              <w:t>of Regulation (EU) No 575/2013</w:t>
            </w:r>
          </w:p>
          <w:p w14:paraId="2E920E78"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22315F" w:rsidRPr="002A677E" w14:paraId="15DAAB4F" w14:textId="77777777" w:rsidTr="00D731E3">
        <w:tc>
          <w:tcPr>
            <w:tcW w:w="1129" w:type="dxa"/>
          </w:tcPr>
          <w:p w14:paraId="5C1D9F18"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740</w:t>
            </w:r>
          </w:p>
        </w:tc>
        <w:tc>
          <w:tcPr>
            <w:tcW w:w="7620" w:type="dxa"/>
          </w:tcPr>
          <w:p w14:paraId="776D4D4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373BB7A0" w14:textId="69CCC06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09004C92"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B862F8A"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2A677E" w14:paraId="480AC517" w14:textId="77777777" w:rsidTr="00D731E3">
        <w:tc>
          <w:tcPr>
            <w:tcW w:w="1129" w:type="dxa"/>
          </w:tcPr>
          <w:p w14:paraId="00EAB804"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744</w:t>
            </w:r>
          </w:p>
        </w:tc>
        <w:tc>
          <w:tcPr>
            <w:tcW w:w="7620" w:type="dxa"/>
          </w:tcPr>
          <w:p w14:paraId="47A21B6A" w14:textId="40EBB9F1"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xml:space="preserve">(-) Additional deductions of AT1 Capital due to Article 3 </w:t>
            </w:r>
            <w:r w:rsidR="00566DB5" w:rsidRPr="002A677E">
              <w:rPr>
                <w:rStyle w:val="InstructionsTabelleberschrift"/>
                <w:rFonts w:ascii="Times New Roman" w:hAnsi="Times New Roman"/>
                <w:sz w:val="24"/>
              </w:rPr>
              <w:t>of Regulation (EU) No 575/2013</w:t>
            </w:r>
          </w:p>
          <w:p w14:paraId="3102808F" w14:textId="2E4930F6"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60F9DA61" w14:textId="77777777" w:rsidTr="00D731E3">
        <w:tc>
          <w:tcPr>
            <w:tcW w:w="1129" w:type="dxa"/>
          </w:tcPr>
          <w:p w14:paraId="6037E6B5"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748</w:t>
            </w:r>
          </w:p>
        </w:tc>
        <w:tc>
          <w:tcPr>
            <w:tcW w:w="7620" w:type="dxa"/>
          </w:tcPr>
          <w:p w14:paraId="5B9AA869" w14:textId="77777777"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573BAB3F" w14:textId="77777777"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27256754" w14:textId="6DD8A654"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of 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750</w:t>
            </w:r>
          </w:p>
        </w:tc>
        <w:tc>
          <w:tcPr>
            <w:tcW w:w="7620" w:type="dxa"/>
          </w:tcPr>
          <w:p w14:paraId="474595B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538E89BE" w14:textId="77E455EB"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00566DB5" w:rsidRPr="001235ED">
              <w:rPr>
                <w:lang w:val="en-US"/>
              </w:rPr>
              <w:t>of Regulation (EU) No 575/2013</w:t>
            </w:r>
          </w:p>
        </w:tc>
      </w:tr>
      <w:tr w:rsidR="0022315F" w:rsidRPr="002A677E" w14:paraId="472DD548" w14:textId="77777777" w:rsidTr="00D731E3">
        <w:tc>
          <w:tcPr>
            <w:tcW w:w="1129" w:type="dxa"/>
          </w:tcPr>
          <w:p w14:paraId="276B7678"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760</w:t>
            </w:r>
          </w:p>
        </w:tc>
        <w:tc>
          <w:tcPr>
            <w:tcW w:w="7620" w:type="dxa"/>
          </w:tcPr>
          <w:p w14:paraId="60ACA21F" w14:textId="76CE27E2"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sidR="00C53C4E">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59D478DE" w14:textId="61E70A28"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63 to 65,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48D0F570" w14:textId="77777777" w:rsidTr="00D731E3">
        <w:tc>
          <w:tcPr>
            <w:tcW w:w="1129" w:type="dxa"/>
          </w:tcPr>
          <w:p w14:paraId="445C15E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771</w:t>
            </w:r>
          </w:p>
        </w:tc>
        <w:tc>
          <w:tcPr>
            <w:tcW w:w="7620" w:type="dxa"/>
          </w:tcPr>
          <w:p w14:paraId="1BC21F15"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012F3762" w14:textId="00213B21"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sidR="0022315F" w:rsidRPr="002A677E">
              <w:rPr>
                <w:rStyle w:val="FormatvorlageInstructionsTabelleText"/>
                <w:rFonts w:ascii="Times New Roman" w:hAnsi="Times New Roman"/>
                <w:sz w:val="24"/>
              </w:rPr>
              <w:t xml:space="preserve">, Articles 63 and 65 </w:t>
            </w:r>
            <w:r w:rsidR="00566DB5" w:rsidRPr="001235ED">
              <w:rPr>
                <w:lang w:val="en-US"/>
              </w:rPr>
              <w:t>of Regulation (EU) No 575/2013</w:t>
            </w:r>
          </w:p>
          <w:p w14:paraId="0B6C5A69"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The amount to be reported shall not include the share premium related to the instruments. </w:t>
            </w:r>
          </w:p>
          <w:p w14:paraId="56D51D46"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2A677E" w14:paraId="4F09D0C4" w14:textId="77777777" w:rsidTr="00D731E3">
        <w:tc>
          <w:tcPr>
            <w:tcW w:w="1129" w:type="dxa"/>
          </w:tcPr>
          <w:p w14:paraId="1364942B"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780</w:t>
            </w:r>
          </w:p>
        </w:tc>
        <w:tc>
          <w:tcPr>
            <w:tcW w:w="7620" w:type="dxa"/>
          </w:tcPr>
          <w:p w14:paraId="1494FE3B"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32E9D149" w14:textId="795C516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64 </w:t>
            </w:r>
            <w:r w:rsidR="00566DB5" w:rsidRPr="001235ED">
              <w:rPr>
                <w:lang w:val="en-US"/>
              </w:rPr>
              <w:t>of Regulation (EU) No 575/2013</w:t>
            </w:r>
          </w:p>
          <w:p w14:paraId="4F0EABAB"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DCAA46"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2C7CE92B"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22315F" w:rsidRPr="002A677E" w14:paraId="79D16C54" w14:textId="77777777" w:rsidTr="00D731E3">
        <w:tc>
          <w:tcPr>
            <w:tcW w:w="1129" w:type="dxa"/>
          </w:tcPr>
          <w:p w14:paraId="469AD2BF"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791</w:t>
            </w:r>
          </w:p>
        </w:tc>
        <w:tc>
          <w:tcPr>
            <w:tcW w:w="7620" w:type="dxa"/>
          </w:tcPr>
          <w:p w14:paraId="3C93BBF5"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0A9E864A" w14:textId="7663E6B3"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and Article 65 </w:t>
            </w:r>
            <w:r w:rsidR="00566DB5" w:rsidRPr="001235ED">
              <w:rPr>
                <w:lang w:val="en-US"/>
              </w:rPr>
              <w:t>of Regulation (EU) No 575/2013</w:t>
            </w:r>
          </w:p>
          <w:p w14:paraId="7E928804"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78F810"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616E4FDE" w14:textId="77777777" w:rsidTr="00D731E3">
        <w:tc>
          <w:tcPr>
            <w:tcW w:w="1129" w:type="dxa"/>
          </w:tcPr>
          <w:p w14:paraId="7235CFA5"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800</w:t>
            </w:r>
          </w:p>
        </w:tc>
        <w:tc>
          <w:tcPr>
            <w:tcW w:w="7620" w:type="dxa"/>
          </w:tcPr>
          <w:p w14:paraId="156BD3F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64AFA1A4" w14:textId="52EB8CF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(b)(i),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40D8F488" w14:textId="318B7576"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00566DB5" w:rsidRPr="001235ED">
              <w:rPr>
                <w:lang w:val="en-US"/>
              </w:rPr>
              <w:t>of Regulation (EU) No 575/2013</w:t>
            </w:r>
            <w:r w:rsidRPr="002A677E">
              <w:rPr>
                <w:rStyle w:val="FormatvorlageInstructionsTabelleText"/>
                <w:rFonts w:ascii="Times New Roman" w:hAnsi="Times New Roman"/>
                <w:sz w:val="24"/>
              </w:rPr>
              <w:t>.</w:t>
            </w:r>
          </w:p>
          <w:p w14:paraId="5E29EB15"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092C712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08FCB31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2A677E" w14:paraId="41FA271A" w14:textId="77777777" w:rsidTr="00D731E3">
        <w:tc>
          <w:tcPr>
            <w:tcW w:w="1129" w:type="dxa"/>
          </w:tcPr>
          <w:p w14:paraId="5FFAD66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810</w:t>
            </w:r>
          </w:p>
        </w:tc>
        <w:tc>
          <w:tcPr>
            <w:tcW w:w="7620" w:type="dxa"/>
          </w:tcPr>
          <w:p w14:paraId="3501318C"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09D69DCE" w14:textId="781E6736"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0970A86E" w14:textId="6201D02A"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sidR="00B83DDE">
              <w:rPr>
                <w:rStyle w:val="FormatvorlageInstructionsTabelleText"/>
                <w:rFonts w:ascii="Times New Roman" w:hAnsi="Times New Roman"/>
                <w:sz w:val="24"/>
              </w:rPr>
              <w:t xml:space="preserve"> and amounts of T2 instruments which have to be deducted </w:t>
            </w:r>
            <w:r w:rsidR="00B83DDE">
              <w:rPr>
                <w:rStyle w:val="FormatvorlageInstructionsTabelleText"/>
                <w:rFonts w:ascii="Times New Roman" w:hAnsi="Times New Roman"/>
                <w:sz w:val="24"/>
              </w:rPr>
              <w:lastRenderedPageBreak/>
              <w:t>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AF23AB3" w14:textId="77777777" w:rsidTr="00D731E3">
        <w:tc>
          <w:tcPr>
            <w:tcW w:w="1129" w:type="dxa"/>
          </w:tcPr>
          <w:p w14:paraId="34BAF18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840</w:t>
            </w:r>
          </w:p>
        </w:tc>
        <w:tc>
          <w:tcPr>
            <w:tcW w:w="7620" w:type="dxa"/>
          </w:tcPr>
          <w:p w14:paraId="02D197A7"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3DB38496" w14:textId="6F765809"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(114),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1686A030" w14:textId="77777777" w:rsidTr="00D731E3">
        <w:tc>
          <w:tcPr>
            <w:tcW w:w="1129" w:type="dxa"/>
          </w:tcPr>
          <w:p w14:paraId="29C2A518"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841</w:t>
            </w:r>
          </w:p>
        </w:tc>
        <w:tc>
          <w:tcPr>
            <w:tcW w:w="7620" w:type="dxa"/>
          </w:tcPr>
          <w:p w14:paraId="2B4448CF"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75AA04CA" w14:textId="6F6E2EFB"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(126),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02E95398" w14:textId="77777777" w:rsidTr="00D731E3">
        <w:tc>
          <w:tcPr>
            <w:tcW w:w="1129" w:type="dxa"/>
          </w:tcPr>
          <w:p w14:paraId="45BC0D0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842</w:t>
            </w:r>
          </w:p>
        </w:tc>
        <w:tc>
          <w:tcPr>
            <w:tcW w:w="7620" w:type="dxa"/>
          </w:tcPr>
          <w:p w14:paraId="5A4BC8B6" w14:textId="77777777" w:rsidR="0022315F" w:rsidRPr="002A677E" w:rsidRDefault="0022315F" w:rsidP="00B055FF">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85FD6CB" w14:textId="4D0FBD07" w:rsidR="0022315F" w:rsidRPr="002A677E" w:rsidRDefault="00BA5699"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and Article</w:t>
            </w:r>
            <w:r w:rsidR="0022315F" w:rsidRPr="002A677E" w:rsidDel="00852CAD">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67 </w:t>
            </w:r>
            <w:r w:rsidR="00566DB5" w:rsidRPr="001235ED">
              <w:rPr>
                <w:lang w:val="en-US"/>
              </w:rPr>
              <w:t>of Regulation (EU) No 575/2013</w:t>
            </w:r>
          </w:p>
          <w:p w14:paraId="7FBFFA11" w14:textId="4CD853AB" w:rsidR="0022315F" w:rsidRPr="002A677E" w:rsidRDefault="0022315F"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22315F" w:rsidRPr="002A677E" w14:paraId="4331C215" w14:textId="77777777" w:rsidTr="00D731E3">
        <w:tc>
          <w:tcPr>
            <w:tcW w:w="1129" w:type="dxa"/>
          </w:tcPr>
          <w:p w14:paraId="4C38939C"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880</w:t>
            </w:r>
          </w:p>
        </w:tc>
        <w:tc>
          <w:tcPr>
            <w:tcW w:w="7620" w:type="dxa"/>
          </w:tcPr>
          <w:p w14:paraId="318393A7"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1FC43F31" w14:textId="19801581"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aragraphs 6 and 7</w:t>
            </w:r>
            <w:r w:rsidRPr="002A677E">
              <w:rPr>
                <w:rStyle w:val="FormatvorlageInstructionsTabelleText"/>
                <w:rFonts w:ascii="Times New Roman" w:hAnsi="Times New Roman"/>
                <w:sz w:val="24"/>
              </w:rPr>
              <w:t xml:space="preserve">, Articles 484, 486, 488, 490 and 491 </w:t>
            </w:r>
            <w:r w:rsidR="00566DB5" w:rsidRPr="001235ED">
              <w:rPr>
                <w:lang w:val="en-US"/>
              </w:rPr>
              <w:t>of Regulation (EU) No 575/2013</w:t>
            </w:r>
          </w:p>
          <w:p w14:paraId="46B90641"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2A677E" w14:paraId="0EBBC9A0" w14:textId="77777777" w:rsidTr="00D731E3">
        <w:tc>
          <w:tcPr>
            <w:tcW w:w="1129" w:type="dxa"/>
          </w:tcPr>
          <w:p w14:paraId="66EF6AA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890</w:t>
            </w:r>
          </w:p>
        </w:tc>
        <w:tc>
          <w:tcPr>
            <w:tcW w:w="7620" w:type="dxa"/>
          </w:tcPr>
          <w:p w14:paraId="09DA9BE0"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229A9DBE" w14:textId="61C5A9C9"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00566DB5" w:rsidRPr="001235ED">
              <w:rPr>
                <w:lang w:val="en-US"/>
              </w:rPr>
              <w:t>of Regulation (EU) No 575/2013</w:t>
            </w:r>
          </w:p>
          <w:p w14:paraId="20A252CC"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0E4F2E9C" w14:textId="770F7F80"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AB22DD6" w14:textId="77777777" w:rsidTr="00D731E3">
        <w:tc>
          <w:tcPr>
            <w:tcW w:w="1129" w:type="dxa"/>
          </w:tcPr>
          <w:p w14:paraId="5532C661"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900</w:t>
            </w:r>
          </w:p>
        </w:tc>
        <w:tc>
          <w:tcPr>
            <w:tcW w:w="7620" w:type="dxa"/>
          </w:tcPr>
          <w:p w14:paraId="17F16D7A"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2401ACED" w14:textId="289B388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6F53BE23"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2A677E" w14:paraId="50A0FEF3" w14:textId="77777777" w:rsidTr="00D731E3">
        <w:tc>
          <w:tcPr>
            <w:tcW w:w="1129" w:type="dxa"/>
          </w:tcPr>
          <w:p w14:paraId="209564F4"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910</w:t>
            </w:r>
          </w:p>
        </w:tc>
        <w:tc>
          <w:tcPr>
            <w:tcW w:w="7620" w:type="dxa"/>
          </w:tcPr>
          <w:p w14:paraId="1E4EA202"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49A9F780" w14:textId="29A481A4"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1888BC00"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2A677E" w14:paraId="62291C79" w14:textId="77777777" w:rsidTr="00D731E3">
        <w:tc>
          <w:tcPr>
            <w:tcW w:w="1129" w:type="dxa"/>
          </w:tcPr>
          <w:p w14:paraId="4B619DE6"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920</w:t>
            </w:r>
          </w:p>
        </w:tc>
        <w:tc>
          <w:tcPr>
            <w:tcW w:w="7620" w:type="dxa"/>
          </w:tcPr>
          <w:p w14:paraId="7AF3506D"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63615790" w14:textId="1D06D8BD" w:rsidR="0022315F" w:rsidRPr="002A677E" w:rsidRDefault="002A67C8"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286913CB"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For institutions calculating risk-weighted exposure amounts in accordance with standard approach, this item shall contain the general credit risk adjustments eligible as T2 capital.</w:t>
            </w:r>
          </w:p>
        </w:tc>
      </w:tr>
      <w:tr w:rsidR="0022315F" w:rsidRPr="002A677E" w14:paraId="0992E1B0" w14:textId="77777777" w:rsidTr="00D731E3">
        <w:tc>
          <w:tcPr>
            <w:tcW w:w="1129" w:type="dxa"/>
          </w:tcPr>
          <w:p w14:paraId="5E3643F8"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930</w:t>
            </w:r>
          </w:p>
        </w:tc>
        <w:tc>
          <w:tcPr>
            <w:tcW w:w="7620" w:type="dxa"/>
          </w:tcPr>
          <w:p w14:paraId="62DA5E27"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6E5AEEEF" w14:textId="29F3C8F4"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(122),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68 </w:t>
            </w:r>
            <w:r w:rsidR="00566DB5" w:rsidRPr="001235ED">
              <w:rPr>
                <w:lang w:val="en-US"/>
              </w:rPr>
              <w:t>of Regulation (EU) No 575/2013</w:t>
            </w:r>
          </w:p>
          <w:p w14:paraId="318D2ED3" w14:textId="1A785796"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sidR="00B83DDE">
              <w:rPr>
                <w:rStyle w:val="FormatvorlageInstructionsTabelleText"/>
                <w:rFonts w:ascii="Times New Roman" w:hAnsi="Times New Roman"/>
                <w:sz w:val="24"/>
              </w:rPr>
              <w:t>, p</w:t>
            </w:r>
            <w:r w:rsidR="00937A7D">
              <w:rPr>
                <w:rStyle w:val="FormatvorlageInstructionsTabelleText"/>
                <w:rFonts w:ascii="Times New Roman" w:hAnsi="Times New Roman"/>
                <w:sz w:val="24"/>
              </w:rPr>
              <w:t xml:space="preserve">oint </w:t>
            </w:r>
            <w:r w:rsidRPr="002A677E">
              <w:rPr>
                <w:rStyle w:val="FormatvorlageInstructionsTabelleText"/>
                <w:rFonts w:ascii="Times New Roman" w:hAnsi="Times New Roman"/>
                <w:sz w:val="24"/>
              </w:rPr>
              <w:t>(27)</w:t>
            </w:r>
            <w:r w:rsidR="00FF161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104A32FE"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2A677E" w14:paraId="712AFBD1" w14:textId="77777777" w:rsidTr="00D731E3">
        <w:tc>
          <w:tcPr>
            <w:tcW w:w="1129" w:type="dxa"/>
          </w:tcPr>
          <w:p w14:paraId="62E8E53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940</w:t>
            </w:r>
          </w:p>
        </w:tc>
        <w:tc>
          <w:tcPr>
            <w:tcW w:w="7620" w:type="dxa"/>
          </w:tcPr>
          <w:p w14:paraId="1BAF603B"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320B6FB5" w14:textId="2385F565" w:rsidR="0022315F" w:rsidRPr="002A677E" w:rsidRDefault="002A67C8"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68 to 70 and Article 79 </w:t>
            </w:r>
            <w:r w:rsidR="00566DB5" w:rsidRPr="001235ED">
              <w:rPr>
                <w:lang w:val="en-US"/>
              </w:rPr>
              <w:t>of Regulation (EU) No 575/2013</w:t>
            </w:r>
          </w:p>
          <w:p w14:paraId="7BC93609" w14:textId="3D949345"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22315F" w:rsidRPr="002A677E" w14:paraId="0E363C3F" w14:textId="77777777" w:rsidTr="00D731E3">
        <w:tc>
          <w:tcPr>
            <w:tcW w:w="1129" w:type="dxa"/>
          </w:tcPr>
          <w:p w14:paraId="190B6735"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950</w:t>
            </w:r>
          </w:p>
        </w:tc>
        <w:tc>
          <w:tcPr>
            <w:tcW w:w="7620" w:type="dxa"/>
          </w:tcPr>
          <w:p w14:paraId="65830D7B"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6FA90E7C" w14:textId="40B7853E" w:rsidR="0022315F" w:rsidRPr="002A677E" w:rsidRDefault="002A67C8"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68, 69 and Article 79 </w:t>
            </w:r>
            <w:r w:rsidR="00566DB5" w:rsidRPr="001235ED">
              <w:rPr>
                <w:lang w:val="en-US"/>
              </w:rPr>
              <w:t>of Regulation (EU) No 575/2013</w:t>
            </w:r>
          </w:p>
          <w:p w14:paraId="439D8CFA" w14:textId="07E28C98"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T2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22315F" w:rsidRPr="002A677E" w14:paraId="2AD5C06C" w14:textId="77777777" w:rsidTr="00D731E3">
        <w:tc>
          <w:tcPr>
            <w:tcW w:w="1129" w:type="dxa"/>
          </w:tcPr>
          <w:p w14:paraId="51B2062A"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955</w:t>
            </w:r>
          </w:p>
        </w:tc>
        <w:tc>
          <w:tcPr>
            <w:tcW w:w="7620" w:type="dxa"/>
          </w:tcPr>
          <w:p w14:paraId="35A36BD3"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596C4D13" w14:textId="309FACCC" w:rsidR="0022315F" w:rsidRPr="002A677E" w:rsidRDefault="0022315F"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w:t>
            </w:r>
            <w:r w:rsidR="00CF1093" w:rsidRPr="002A677E">
              <w:rPr>
                <w:rStyle w:val="FormatvorlageInstructionsTabelleText"/>
                <w:rFonts w:ascii="Times New Roman" w:hAnsi="Times New Roman"/>
                <w:sz w:val="24"/>
              </w:rPr>
              <w:t xml:space="preserve">(e) </w:t>
            </w:r>
            <w:r w:rsidR="00566DB5" w:rsidRPr="001235ED">
              <w:rPr>
                <w:lang w:val="en-US"/>
              </w:rPr>
              <w:t>of Regulation (EU) No 575/2013</w:t>
            </w:r>
            <w:r w:rsidR="0044539D" w:rsidRPr="002A677E">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960</w:t>
            </w:r>
          </w:p>
        </w:tc>
        <w:tc>
          <w:tcPr>
            <w:tcW w:w="7620" w:type="dxa"/>
          </w:tcPr>
          <w:p w14:paraId="740FD4E0"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1E667E47" w14:textId="1CB93BB3"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0D0A23" w:rsidRPr="002A677E">
              <w:rPr>
                <w:rStyle w:val="FormatvorlageInstructionsTabelleText"/>
                <w:rFonts w:ascii="Times New Roman" w:hAnsi="Times New Roman"/>
                <w:sz w:val="24"/>
              </w:rPr>
              <w:t xml:space="preserve">472, </w:t>
            </w:r>
            <w:r w:rsidRPr="002A677E">
              <w:rPr>
                <w:rStyle w:val="FormatvorlageInstructionsTabelleText"/>
                <w:rFonts w:ascii="Times New Roman" w:hAnsi="Times New Roman"/>
                <w:sz w:val="24"/>
              </w:rPr>
              <w:t xml:space="preserve">476, 477, 478 and 481 </w:t>
            </w:r>
            <w:r w:rsidR="00566DB5" w:rsidRPr="001235ED">
              <w:rPr>
                <w:lang w:val="en-US"/>
              </w:rPr>
              <w:t>of Regulation (EU) No 575/2013</w:t>
            </w:r>
          </w:p>
          <w:p w14:paraId="5D0728A8"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22315F" w:rsidRPr="002A677E" w14:paraId="74FD62BE" w14:textId="77777777" w:rsidTr="00D731E3">
        <w:tc>
          <w:tcPr>
            <w:tcW w:w="1129" w:type="dxa"/>
          </w:tcPr>
          <w:p w14:paraId="4A50586E"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970</w:t>
            </w:r>
          </w:p>
        </w:tc>
        <w:tc>
          <w:tcPr>
            <w:tcW w:w="7620" w:type="dxa"/>
          </w:tcPr>
          <w:p w14:paraId="075D54D9" w14:textId="77777777" w:rsidR="0022315F" w:rsidRPr="002A677E" w:rsidRDefault="0022315F"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228CB6FD" w14:textId="3D8B7D0C"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p>
          <w:p w14:paraId="0B54DD8F"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shall </w:t>
            </w:r>
            <w:r w:rsidRPr="002A677E">
              <w:rPr>
                <w:rStyle w:val="FormatvorlageInstructionsTabelleText"/>
                <w:rFonts w:ascii="Times New Roman" w:hAnsi="Times New Roman"/>
                <w:sz w:val="24"/>
              </w:rPr>
              <w:lastRenderedPageBreak/>
              <w:t>be equal to zero, and the excess of T2 deductions shall be deducted from AT1.</w:t>
            </w:r>
          </w:p>
          <w:p w14:paraId="51C45BAA" w14:textId="77777777" w:rsidR="0022315F" w:rsidRPr="002A677E" w:rsidRDefault="0022315F"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2A677E" w14:paraId="1ABF0B59" w14:textId="77777777" w:rsidTr="00D731E3">
        <w:tc>
          <w:tcPr>
            <w:tcW w:w="1129" w:type="dxa"/>
          </w:tcPr>
          <w:p w14:paraId="37C218FF" w14:textId="77777777" w:rsidR="0022315F" w:rsidRPr="001235ED" w:rsidDel="00BD687C"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974</w:t>
            </w:r>
          </w:p>
        </w:tc>
        <w:tc>
          <w:tcPr>
            <w:tcW w:w="7620" w:type="dxa"/>
          </w:tcPr>
          <w:p w14:paraId="2C45BFC9" w14:textId="5E337B8A"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xml:space="preserve">(-) Additional deductions of T2 Capital due to Article 3 </w:t>
            </w:r>
            <w:r w:rsidR="00566DB5" w:rsidRPr="002A677E">
              <w:rPr>
                <w:rStyle w:val="InstructionsTabelleberschrift"/>
                <w:rFonts w:ascii="Times New Roman" w:hAnsi="Times New Roman"/>
                <w:sz w:val="24"/>
              </w:rPr>
              <w:t>of Regulation (EU) No 575/2013</w:t>
            </w:r>
          </w:p>
          <w:p w14:paraId="0ADB50FF" w14:textId="781745F4"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486CEA55" w14:textId="77777777" w:rsidTr="00D731E3">
        <w:tc>
          <w:tcPr>
            <w:tcW w:w="1129" w:type="dxa"/>
          </w:tcPr>
          <w:p w14:paraId="2E231E77" w14:textId="77777777" w:rsidR="0022315F"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978</w:t>
            </w:r>
          </w:p>
        </w:tc>
        <w:tc>
          <w:tcPr>
            <w:tcW w:w="7620" w:type="dxa"/>
          </w:tcPr>
          <w:p w14:paraId="14547980" w14:textId="77777777" w:rsidR="0022315F" w:rsidRPr="002A677E" w:rsidRDefault="0022315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7C5D4CE" w14:textId="77777777"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4B81AA3E" w14:textId="78141BD8" w:rsidR="0022315F" w:rsidRPr="002A677E" w:rsidRDefault="0022315F"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bl>
    <w:p w14:paraId="1566A89B" w14:textId="77777777" w:rsidR="005643EA" w:rsidRPr="002A677E" w:rsidRDefault="005643EA" w:rsidP="00B055FF">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 w:name="_Toc473560875"/>
      <w:bookmarkStart w:id="41" w:name="_Toc151714363"/>
      <w:bookmarkStart w:id="42" w:name="_Toc308175823"/>
      <w:bookmarkStart w:id="43" w:name="_Toc360188327"/>
      <w:r w:rsidRPr="002A677E">
        <w:rPr>
          <w:rFonts w:ascii="Times New Roman" w:hAnsi="Times New Roman" w:cs="Times New Roman"/>
          <w:sz w:val="24"/>
          <w:u w:val="none"/>
          <w:lang w:val="en-GB"/>
        </w:rPr>
        <w:t>1.3.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02.00 - OWN FUNDS REQUIREMENTS (CA2)</w:t>
      </w:r>
      <w:bookmarkEnd w:id="40"/>
      <w:bookmarkEnd w:id="41"/>
      <w:r w:rsidR="002648B0" w:rsidRPr="002A677E">
        <w:rPr>
          <w:rFonts w:ascii="Times New Roman" w:hAnsi="Times New Roman" w:cs="Times New Roman"/>
          <w:sz w:val="24"/>
          <w:lang w:val="en-GB"/>
        </w:rPr>
        <w:t xml:space="preserve"> </w:t>
      </w:r>
      <w:bookmarkEnd w:id="42"/>
      <w:bookmarkEnd w:id="43"/>
    </w:p>
    <w:p w14:paraId="3DB9FE2A" w14:textId="77777777" w:rsidR="002648B0" w:rsidRDefault="00125707" w:rsidP="0023700C">
      <w:pPr>
        <w:pStyle w:val="Instructionsberschrift2"/>
        <w:numPr>
          <w:ilvl w:val="0"/>
          <w:numId w:val="0"/>
        </w:numPr>
        <w:ind w:left="357" w:hanging="357"/>
        <w:rPr>
          <w:rFonts w:ascii="Times New Roman" w:hAnsi="Times New Roman" w:cs="Times New Roman"/>
          <w:sz w:val="24"/>
          <w:lang w:val="en-GB"/>
        </w:rPr>
      </w:pPr>
      <w:bookmarkStart w:id="44" w:name="_Toc308175824"/>
      <w:bookmarkStart w:id="45" w:name="_Toc310414970"/>
      <w:bookmarkStart w:id="46" w:name="_Toc360188328"/>
      <w:bookmarkStart w:id="47" w:name="_Toc473560876"/>
      <w:bookmarkStart w:id="48" w:name="_Toc151714364"/>
      <w:r w:rsidRPr="002A677E">
        <w:rPr>
          <w:rFonts w:ascii="Times New Roman" w:hAnsi="Times New Roman" w:cs="Times New Roman"/>
          <w:sz w:val="24"/>
          <w:u w:val="none"/>
          <w:lang w:val="en-GB"/>
        </w:rPr>
        <w:t>1.3.1.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44"/>
      <w:bookmarkEnd w:id="45"/>
      <w:r w:rsidR="002B5403" w:rsidRPr="002A677E">
        <w:rPr>
          <w:rFonts w:ascii="Times New Roman" w:hAnsi="Times New Roman" w:cs="Times New Roman"/>
          <w:sz w:val="24"/>
          <w:lang w:val="en-GB"/>
        </w:rPr>
        <w:t>positions</w:t>
      </w:r>
      <w:bookmarkEnd w:id="46"/>
      <w:bookmarkEnd w:id="47"/>
      <w:bookmarkEnd w:id="48"/>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D10B59" w:rsidRPr="002A677E" w14:paraId="6CD005A8" w14:textId="77777777" w:rsidTr="00E40F04">
        <w:tc>
          <w:tcPr>
            <w:tcW w:w="1591" w:type="dxa"/>
            <w:shd w:val="clear" w:color="auto" w:fill="D9D9D9"/>
          </w:tcPr>
          <w:p w14:paraId="4A03B013" w14:textId="5CD8782A" w:rsidR="00D10B59" w:rsidRPr="002A677E" w:rsidRDefault="00D10B59" w:rsidP="00B055FF">
            <w:pPr>
              <w:pStyle w:val="InstructionsText"/>
            </w:pPr>
            <w:r>
              <w:t>Columns</w:t>
            </w:r>
          </w:p>
        </w:tc>
        <w:tc>
          <w:tcPr>
            <w:tcW w:w="7274" w:type="dxa"/>
            <w:shd w:val="clear" w:color="auto" w:fill="D9D9D9"/>
          </w:tcPr>
          <w:p w14:paraId="0A86B4BA" w14:textId="77777777" w:rsidR="00D10B59" w:rsidRPr="002A677E" w:rsidRDefault="00D10B59" w:rsidP="00DA09CD">
            <w:pPr>
              <w:pStyle w:val="InstructionsText"/>
            </w:pPr>
            <w:r w:rsidRPr="002A677E">
              <w:t>Legal references and instructions</w:t>
            </w:r>
          </w:p>
        </w:tc>
      </w:tr>
      <w:tr w:rsidR="00D10B59" w:rsidRPr="002A677E" w14:paraId="24CD4A57" w14:textId="77777777" w:rsidTr="00E40F04">
        <w:tc>
          <w:tcPr>
            <w:tcW w:w="1591" w:type="dxa"/>
          </w:tcPr>
          <w:p w14:paraId="0375DFD1" w14:textId="77777777" w:rsidR="00D10B59" w:rsidRPr="002A677E" w:rsidRDefault="00D10B59" w:rsidP="00B055FF">
            <w:pPr>
              <w:pStyle w:val="InstructionsText"/>
            </w:pPr>
            <w:r w:rsidRPr="002A677E">
              <w:t>0010</w:t>
            </w:r>
          </w:p>
        </w:tc>
        <w:tc>
          <w:tcPr>
            <w:tcW w:w="7274" w:type="dxa"/>
          </w:tcPr>
          <w:p w14:paraId="5C180A0C" w14:textId="4C2A1938" w:rsidR="00D10B59" w:rsidRPr="002A677E" w:rsidRDefault="00D10B59" w:rsidP="00DA09CD">
            <w:pPr>
              <w:pStyle w:val="InstructionsText"/>
            </w:pPr>
            <w:r w:rsidRPr="002A677E">
              <w:rPr>
                <w:rStyle w:val="InstructionsTabelleberschrift"/>
                <w:rFonts w:ascii="Times New Roman" w:hAnsi="Times New Roman"/>
                <w:sz w:val="24"/>
              </w:rPr>
              <w:t>TOTAL RISK EXPOSURE AMOUNT</w:t>
            </w:r>
          </w:p>
          <w:p w14:paraId="2146663F" w14:textId="77777777" w:rsidR="00D10B59" w:rsidRPr="002A677E" w:rsidRDefault="00D10B59" w:rsidP="00DA09CD">
            <w:pPr>
              <w:pStyle w:val="InstructionsText"/>
            </w:pPr>
            <w:r w:rsidRPr="002A677E">
              <w:t xml:space="preserve">Article 92(3) and Articles 95, 96 and 98 </w:t>
            </w:r>
            <w:r w:rsidRPr="001235ED">
              <w:rPr>
                <w:lang w:val="en-US"/>
              </w:rPr>
              <w:t>of Regulation (EU) No 575/2013</w:t>
            </w:r>
          </w:p>
        </w:tc>
      </w:tr>
      <w:tr w:rsidR="00D10B59" w:rsidRPr="002A677E" w14:paraId="364DEDA6" w14:textId="77777777" w:rsidTr="00E40F04">
        <w:tc>
          <w:tcPr>
            <w:tcW w:w="1591" w:type="dxa"/>
          </w:tcPr>
          <w:p w14:paraId="72A9C212" w14:textId="77777777" w:rsidR="00D10B59" w:rsidRPr="002A677E" w:rsidRDefault="00D10B59" w:rsidP="00B055FF">
            <w:pPr>
              <w:pStyle w:val="InstructionsText"/>
            </w:pPr>
            <w:r w:rsidRPr="002A677E">
              <w:t>0020</w:t>
            </w:r>
          </w:p>
        </w:tc>
        <w:tc>
          <w:tcPr>
            <w:tcW w:w="7274" w:type="dxa"/>
          </w:tcPr>
          <w:p w14:paraId="75871DE7" w14:textId="77777777" w:rsidR="00D10B59" w:rsidRPr="002A677E" w:rsidRDefault="00D10B59" w:rsidP="00DA09CD">
            <w:pPr>
              <w:pStyle w:val="InstructionsText"/>
              <w:rPr>
                <w:lang w:eastAsia="en-US"/>
              </w:rPr>
            </w:pPr>
            <w:r>
              <w:rPr>
                <w:rStyle w:val="InstructionsTabelleberschrift"/>
                <w:rFonts w:ascii="Times New Roman" w:hAnsi="Times New Roman"/>
                <w:sz w:val="24"/>
              </w:rPr>
              <w:t>OUTPUT FLOOR S-TREA</w:t>
            </w:r>
          </w:p>
          <w:p w14:paraId="5B932060" w14:textId="78E755F1" w:rsidR="00D10B59" w:rsidRPr="002A677E" w:rsidRDefault="00D10B59" w:rsidP="00DA09CD">
            <w:pPr>
              <w:pStyle w:val="InstructionsText"/>
            </w:pPr>
            <w:r>
              <w:t>For institutions subject the output floor as per Article 92(3)</w:t>
            </w:r>
            <w:r w:rsidRPr="002A677E">
              <w:t xml:space="preserve"> </w:t>
            </w:r>
            <w:r w:rsidRPr="001235ED" w:rsidDel="0006617B">
              <w:rPr>
                <w:lang w:val="en-US"/>
              </w:rPr>
              <w:t>of Regulation (EU) No 575/2013</w:t>
            </w:r>
            <w:r>
              <w:rPr>
                <w:lang w:val="en-US"/>
              </w:rPr>
              <w:t>, the standardised total risk exposure amount (S-TREA) calculated in accordance with Article 92(5).</w:t>
            </w:r>
            <w:r w:rsidR="001E1DC8">
              <w:rPr>
                <w:lang w:val="en-US"/>
              </w:rPr>
              <w:t xml:space="preserve"> </w:t>
            </w:r>
            <w:r w:rsidR="008D0E02">
              <w:rPr>
                <w:lang w:val="en-US"/>
              </w:rPr>
              <w:t>T</w:t>
            </w:r>
            <w:r w:rsidR="001E1DC8" w:rsidRPr="000059B8">
              <w:rPr>
                <w:lang w:val="en-US"/>
              </w:rPr>
              <w:t>his column is applicable only to institutions using internal models</w:t>
            </w:r>
            <w:r w:rsidR="008D0E02">
              <w:rPr>
                <w:lang w:val="en-US"/>
              </w:rPr>
              <w:t>.</w:t>
            </w:r>
          </w:p>
        </w:tc>
      </w:tr>
    </w:tbl>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4004B0B9">
        <w:tc>
          <w:tcPr>
            <w:tcW w:w="1591" w:type="dxa"/>
            <w:shd w:val="clear" w:color="auto" w:fill="D9D9D9" w:themeFill="background1" w:themeFillShade="D9"/>
          </w:tcPr>
          <w:p w14:paraId="10BB5F26" w14:textId="77777777" w:rsidR="002648B0" w:rsidRPr="002A677E" w:rsidRDefault="002648B0" w:rsidP="00B055FF">
            <w:pPr>
              <w:pStyle w:val="InstructionsText"/>
            </w:pPr>
            <w:r w:rsidRPr="002A677E">
              <w:t>Row</w:t>
            </w:r>
          </w:p>
        </w:tc>
        <w:tc>
          <w:tcPr>
            <w:tcW w:w="7274" w:type="dxa"/>
            <w:shd w:val="clear" w:color="auto" w:fill="D9D9D9" w:themeFill="background1" w:themeFillShade="D9"/>
          </w:tcPr>
          <w:p w14:paraId="7F3DDF83" w14:textId="77777777" w:rsidR="005643EA" w:rsidRPr="002A677E" w:rsidRDefault="002648B0" w:rsidP="00B055FF">
            <w:pPr>
              <w:pStyle w:val="InstructionsText"/>
            </w:pPr>
            <w:r w:rsidRPr="002A677E">
              <w:t>Legal references and instructions</w:t>
            </w:r>
          </w:p>
        </w:tc>
      </w:tr>
      <w:tr w:rsidR="002648B0" w:rsidRPr="002A677E" w14:paraId="35C09BD0" w14:textId="77777777" w:rsidTr="00672D2A">
        <w:tc>
          <w:tcPr>
            <w:tcW w:w="1591" w:type="dxa"/>
          </w:tcPr>
          <w:p w14:paraId="4176B046" w14:textId="77777777" w:rsidR="002648B0" w:rsidRPr="002A677E" w:rsidRDefault="00CF1093" w:rsidP="00B055FF">
            <w:pPr>
              <w:pStyle w:val="InstructionsText"/>
            </w:pPr>
            <w:r w:rsidRPr="002A677E">
              <w:t>0</w:t>
            </w:r>
            <w:r w:rsidR="002648B0" w:rsidRPr="002A677E">
              <w:t>010</w:t>
            </w:r>
          </w:p>
        </w:tc>
        <w:tc>
          <w:tcPr>
            <w:tcW w:w="7274" w:type="dxa"/>
          </w:tcPr>
          <w:p w14:paraId="01553D28" w14:textId="77777777" w:rsidR="005643EA" w:rsidRPr="002A677E" w:rsidRDefault="00C66473" w:rsidP="00B055FF">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RISK EXPOSURE AMOUNT</w:t>
            </w:r>
          </w:p>
          <w:p w14:paraId="3E17E533" w14:textId="60733EC2" w:rsidR="002648B0" w:rsidRPr="002A677E" w:rsidRDefault="002648B0" w:rsidP="00B055FF">
            <w:pPr>
              <w:pStyle w:val="InstructionsText"/>
            </w:pPr>
            <w:r w:rsidRPr="002A677E">
              <w:t xml:space="preserve">Article </w:t>
            </w:r>
            <w:r w:rsidR="007F5225" w:rsidRPr="002A677E">
              <w:t>92</w:t>
            </w:r>
            <w:r w:rsidRPr="002A677E">
              <w:t>(3)</w:t>
            </w:r>
            <w:r w:rsidR="00FF2818" w:rsidRPr="002A677E">
              <w:t xml:space="preserve"> </w:t>
            </w:r>
            <w:r w:rsidR="002C66A4" w:rsidRPr="002A677E">
              <w:t>and</w:t>
            </w:r>
            <w:r w:rsidRPr="002A677E">
              <w:t xml:space="preserve"> </w:t>
            </w:r>
            <w:r w:rsidR="002C66A4" w:rsidRPr="002A677E">
              <w:t xml:space="preserve">Articles </w:t>
            </w:r>
            <w:r w:rsidR="007F5225" w:rsidRPr="002A677E">
              <w:t>95</w:t>
            </w:r>
            <w:r w:rsidRPr="002A677E">
              <w:t xml:space="preserve">, </w:t>
            </w:r>
            <w:r w:rsidR="007F5225" w:rsidRPr="002A677E">
              <w:t>96</w:t>
            </w:r>
            <w:r w:rsidR="00E84C8E" w:rsidRPr="002A677E">
              <w:t xml:space="preserve"> </w:t>
            </w:r>
            <w:r w:rsidR="007F5225" w:rsidRPr="002A677E">
              <w:t xml:space="preserve">and </w:t>
            </w:r>
            <w:r w:rsidR="00E84C8E" w:rsidRPr="002A677E">
              <w:t xml:space="preserve">98 </w:t>
            </w:r>
            <w:r w:rsidR="00566DB5" w:rsidRPr="001235ED">
              <w:rPr>
                <w:lang w:val="en-US"/>
              </w:rPr>
              <w:t>of Regulation (EU) No 575/2013</w:t>
            </w:r>
          </w:p>
        </w:tc>
      </w:tr>
      <w:tr w:rsidR="002648B0" w:rsidRPr="002A677E" w14:paraId="2A92A828" w14:textId="77777777" w:rsidTr="00672D2A">
        <w:tc>
          <w:tcPr>
            <w:tcW w:w="1591" w:type="dxa"/>
          </w:tcPr>
          <w:p w14:paraId="3926480A" w14:textId="77777777" w:rsidR="002648B0" w:rsidRPr="002A677E" w:rsidRDefault="00CF1093" w:rsidP="00B055FF">
            <w:pPr>
              <w:pStyle w:val="InstructionsText"/>
            </w:pPr>
            <w:r w:rsidRPr="002A677E">
              <w:t>0</w:t>
            </w:r>
            <w:r w:rsidR="002648B0" w:rsidRPr="002A677E">
              <w:t>020</w:t>
            </w:r>
          </w:p>
        </w:tc>
        <w:tc>
          <w:tcPr>
            <w:tcW w:w="7274" w:type="dxa"/>
          </w:tcPr>
          <w:p w14:paraId="0CA67A6F" w14:textId="403B7490" w:rsidR="005643EA" w:rsidRPr="002A677E" w:rsidRDefault="002648B0" w:rsidP="00B055FF">
            <w:pPr>
              <w:pStyle w:val="InstructionsText"/>
              <w:rPr>
                <w:lang w:eastAsia="en-US"/>
              </w:rPr>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5</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8</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9B39CC9" w14:textId="43F39B38" w:rsidR="005643EA" w:rsidRPr="002A677E" w:rsidRDefault="002648B0" w:rsidP="00B055FF">
            <w:pPr>
              <w:pStyle w:val="InstructionsText"/>
            </w:pPr>
            <w:r w:rsidRPr="002A677E">
              <w:lastRenderedPageBreak/>
              <w:t xml:space="preserve">For investment firms under Article </w:t>
            </w:r>
            <w:r w:rsidR="00E84C8E" w:rsidRPr="002A677E">
              <w:t>95</w:t>
            </w:r>
            <w:r w:rsidRPr="002A677E">
              <w:rPr>
                <w:rStyle w:val="FormatvorlageInstructionsTabelleText"/>
                <w:rFonts w:ascii="Times New Roman" w:hAnsi="Times New Roman"/>
                <w:sz w:val="24"/>
              </w:rPr>
              <w:t>(2)</w:t>
            </w:r>
            <w:r w:rsidRPr="002A677E">
              <w:t xml:space="preserve"> and Article </w:t>
            </w:r>
            <w:r w:rsidR="00E84C8E" w:rsidRPr="002A677E">
              <w:t xml:space="preserve">98 </w:t>
            </w:r>
            <w:r w:rsidR="00566DB5" w:rsidRPr="001235ED">
              <w:rPr>
                <w:lang w:val="en-US"/>
              </w:rPr>
              <w:t>of Regulation (EU) No 575/2013</w:t>
            </w:r>
          </w:p>
        </w:tc>
      </w:tr>
      <w:tr w:rsidR="002648B0" w:rsidRPr="002A677E" w14:paraId="2F866E8B" w14:textId="77777777" w:rsidTr="00672D2A">
        <w:tc>
          <w:tcPr>
            <w:tcW w:w="1591" w:type="dxa"/>
          </w:tcPr>
          <w:p w14:paraId="5749D7E7" w14:textId="77777777" w:rsidR="002648B0" w:rsidRPr="002A677E" w:rsidRDefault="00CF1093" w:rsidP="00B055FF">
            <w:pPr>
              <w:pStyle w:val="InstructionsText"/>
            </w:pPr>
            <w:r w:rsidRPr="002A677E">
              <w:lastRenderedPageBreak/>
              <w:t>0</w:t>
            </w:r>
            <w:r w:rsidR="002648B0" w:rsidRPr="002A677E">
              <w:t>030</w:t>
            </w:r>
          </w:p>
        </w:tc>
        <w:tc>
          <w:tcPr>
            <w:tcW w:w="7274" w:type="dxa"/>
          </w:tcPr>
          <w:p w14:paraId="46EC9CCC" w14:textId="73968430" w:rsidR="005643EA" w:rsidRPr="002A677E" w:rsidRDefault="002648B0" w:rsidP="00B055FF">
            <w:pPr>
              <w:pStyle w:val="InstructionsText"/>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6</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7</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E481CD1" w14:textId="705A2543" w:rsidR="005643EA" w:rsidRPr="002A677E" w:rsidRDefault="002648B0" w:rsidP="00B055FF">
            <w:pPr>
              <w:pStyle w:val="InstructionsText"/>
            </w:pPr>
            <w:r w:rsidRPr="002A677E">
              <w:t xml:space="preserve">For investment firms under Article </w:t>
            </w:r>
            <w:r w:rsidR="00E84C8E" w:rsidRPr="002A677E">
              <w:t>96</w:t>
            </w:r>
            <w:r w:rsidRPr="002A677E">
              <w:rPr>
                <w:rStyle w:val="FormatvorlageInstructionsTabelleText"/>
                <w:rFonts w:ascii="Times New Roman" w:hAnsi="Times New Roman"/>
                <w:sz w:val="24"/>
              </w:rPr>
              <w:t>(2)</w:t>
            </w:r>
            <w:r w:rsidRPr="002A677E">
              <w:t xml:space="preserve"> and Article </w:t>
            </w:r>
            <w:r w:rsidR="00CD7D5B" w:rsidRPr="002A677E">
              <w:t xml:space="preserve">97 </w:t>
            </w:r>
            <w:r w:rsidR="00566DB5" w:rsidRPr="001235ED">
              <w:rPr>
                <w:lang w:val="en-US"/>
              </w:rPr>
              <w:t>of Regulation (EU) No 575/2013</w:t>
            </w:r>
          </w:p>
        </w:tc>
      </w:tr>
      <w:tr w:rsidR="0068406A" w:rsidRPr="002A677E" w14:paraId="56297D07" w14:textId="77777777" w:rsidTr="00672D2A">
        <w:tc>
          <w:tcPr>
            <w:tcW w:w="1591" w:type="dxa"/>
          </w:tcPr>
          <w:p w14:paraId="0928EAE0" w14:textId="0586C299" w:rsidR="0068406A" w:rsidRPr="002A677E" w:rsidRDefault="0068406A" w:rsidP="00B055FF">
            <w:pPr>
              <w:pStyle w:val="InstructionsText"/>
            </w:pPr>
            <w:r>
              <w:rPr>
                <w:rStyle w:val="FormatvorlageInstructionsTabelleText"/>
                <w:rFonts w:ascii="Times New Roman" w:hAnsi="Times New Roman"/>
                <w:sz w:val="24"/>
              </w:rPr>
              <w:t>0035</w:t>
            </w:r>
          </w:p>
        </w:tc>
        <w:tc>
          <w:tcPr>
            <w:tcW w:w="7274" w:type="dxa"/>
          </w:tcPr>
          <w:p w14:paraId="1DE414C4" w14:textId="77777777" w:rsidR="0068406A" w:rsidRPr="002A677E" w:rsidRDefault="0068406A" w:rsidP="00B055FF">
            <w:pPr>
              <w:pStyle w:val="InstructionsText"/>
            </w:pPr>
            <w:r w:rsidRPr="002A677E">
              <w:rPr>
                <w:rStyle w:val="InstructionsTabelleberschrift"/>
                <w:rFonts w:ascii="Times New Roman" w:hAnsi="Times New Roman"/>
                <w:sz w:val="24"/>
              </w:rPr>
              <w:t>1**</w:t>
            </w:r>
            <w:r>
              <w:rPr>
                <w:rStyle w:val="InstructionsTabelleberschrift"/>
                <w:rFonts w:ascii="Times New Roman" w:hAnsi="Times New Roman"/>
                <w:sz w:val="24"/>
              </w:rPr>
              <w:t>*</w:t>
            </w:r>
            <w:r w:rsidRPr="002A677E">
              <w:rPr>
                <w:rStyle w:val="InstructionsTabelleberschrift"/>
                <w:rFonts w:ascii="Times New Roman" w:hAnsi="Times New Roman"/>
                <w:sz w:val="24"/>
              </w:rPr>
              <w:tab/>
              <w:t xml:space="preserve">Of which: </w:t>
            </w:r>
            <w:r>
              <w:rPr>
                <w:rStyle w:val="InstructionsTabelleberschrift"/>
                <w:rFonts w:ascii="Times New Roman" w:hAnsi="Times New Roman"/>
                <w:sz w:val="24"/>
              </w:rPr>
              <w:t>Floor adjustment</w:t>
            </w:r>
          </w:p>
          <w:p w14:paraId="01C74EDF" w14:textId="2F51F94C" w:rsidR="0068406A" w:rsidRPr="002A677E" w:rsidRDefault="0068406A" w:rsidP="00B055FF">
            <w:pPr>
              <w:pStyle w:val="InstructionsText"/>
              <w:rPr>
                <w:rStyle w:val="InstructionsTabelleberschrift"/>
                <w:rFonts w:ascii="Times New Roman" w:hAnsi="Times New Roman"/>
                <w:sz w:val="24"/>
              </w:rPr>
            </w:pPr>
            <w:r>
              <w:t xml:space="preserve">For institutions subject to the output floor as per </w:t>
            </w:r>
            <w:r w:rsidRPr="002A677E" w:rsidDel="00865C40">
              <w:t xml:space="preserve">Article </w:t>
            </w:r>
            <w:r>
              <w:t>92(3)</w:t>
            </w:r>
            <w:r w:rsidDel="001076A7">
              <w:t xml:space="preserve"> </w:t>
            </w:r>
            <w:r w:rsidRPr="001235ED">
              <w:rPr>
                <w:lang w:val="en-US"/>
              </w:rPr>
              <w:t>of Regulation (EU) No 575/2013</w:t>
            </w:r>
            <w:r>
              <w:rPr>
                <w:lang w:val="en-US"/>
              </w:rPr>
              <w:t>, the difference between the amount reported in row 0010 and the amount reported on row 0036. The amount is either positive or equal to zero.</w:t>
            </w:r>
          </w:p>
        </w:tc>
      </w:tr>
      <w:tr w:rsidR="0068406A" w:rsidRPr="002A677E" w14:paraId="3EE1F839" w14:textId="77777777" w:rsidTr="00672D2A">
        <w:tc>
          <w:tcPr>
            <w:tcW w:w="1591" w:type="dxa"/>
          </w:tcPr>
          <w:p w14:paraId="76AD8753" w14:textId="01FE1FD7" w:rsidR="0068406A" w:rsidRPr="002A677E" w:rsidRDefault="0068406A" w:rsidP="00B055FF">
            <w:pPr>
              <w:pStyle w:val="InstructionsText"/>
            </w:pPr>
            <w:r>
              <w:rPr>
                <w:rStyle w:val="FormatvorlageInstructionsTabelleText"/>
                <w:rFonts w:ascii="Times New Roman" w:hAnsi="Times New Roman"/>
                <w:sz w:val="24"/>
              </w:rPr>
              <w:t>0036</w:t>
            </w:r>
          </w:p>
        </w:tc>
        <w:tc>
          <w:tcPr>
            <w:tcW w:w="7274" w:type="dxa"/>
          </w:tcPr>
          <w:p w14:paraId="0D1829DD" w14:textId="77777777" w:rsidR="0068406A" w:rsidRDefault="0068406A"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RISK EXPOSURE AMOUNT PRE-FLOOR</w:t>
            </w:r>
          </w:p>
          <w:p w14:paraId="7A2D8205" w14:textId="0401F9DA" w:rsidR="0068406A" w:rsidRPr="002A677E" w:rsidRDefault="00F46E80" w:rsidP="00B055FF">
            <w:pPr>
              <w:pStyle w:val="InstructionsText"/>
              <w:rPr>
                <w:rStyle w:val="InstructionsTabelleberschrift"/>
                <w:rFonts w:ascii="Times New Roman" w:hAnsi="Times New Roman"/>
                <w:sz w:val="24"/>
              </w:rPr>
            </w:pPr>
            <w:r>
              <w:t>T</w:t>
            </w:r>
            <w:r w:rsidR="0068406A">
              <w:rPr>
                <w:lang w:val="en-US"/>
              </w:rPr>
              <w:t xml:space="preserve">he amount of unfloored TREA as defined in Article 92(4) </w:t>
            </w:r>
            <w:r w:rsidR="0068406A" w:rsidRPr="001235ED">
              <w:rPr>
                <w:lang w:val="en-US"/>
              </w:rPr>
              <w:t>of Regulation (EU) No 575/2013</w:t>
            </w:r>
            <w:r w:rsidR="0068406A">
              <w:rPr>
                <w:lang w:val="en-US"/>
              </w:rPr>
              <w:t>.</w:t>
            </w:r>
          </w:p>
        </w:tc>
      </w:tr>
      <w:tr w:rsidR="002648B0" w:rsidRPr="002A677E" w14:paraId="171DE218" w14:textId="77777777" w:rsidTr="00672D2A">
        <w:tc>
          <w:tcPr>
            <w:tcW w:w="1591" w:type="dxa"/>
          </w:tcPr>
          <w:p w14:paraId="534BA4A2" w14:textId="77777777" w:rsidR="002648B0"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274" w:type="dxa"/>
          </w:tcPr>
          <w:p w14:paraId="17F7C866"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RISK WEIGHTED EXPOSURE AMOUNTS FOR CREDIT, COUNTERPARTY CREDIT AND DILUTION RISKS AND FREE DELIVERIES</w:t>
            </w:r>
          </w:p>
          <w:p w14:paraId="17CFB9F6" w14:textId="74681012" w:rsidR="005643EA"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E84C8E" w:rsidRPr="002A677E">
              <w:rPr>
                <w:rStyle w:val="FormatvorlageInstructionsTabelleText"/>
                <w:rFonts w:ascii="Times New Roman" w:hAnsi="Times New Roman"/>
                <w:sz w:val="24"/>
              </w:rPr>
              <w:t>92</w:t>
            </w:r>
            <w:r w:rsidRPr="002A677E">
              <w:rPr>
                <w:rStyle w:val="FormatvorlageInstructionsTabelleText"/>
                <w:rFonts w:ascii="Times New Roman" w:hAnsi="Times New Roman"/>
                <w:sz w:val="24"/>
              </w:rPr>
              <w:t>(3)</w:t>
            </w:r>
            <w:r w:rsidR="00FD154F">
              <w:rPr>
                <w:rStyle w:val="FormatvorlageInstructionsTabelleText"/>
                <w:rFonts w:ascii="Times New Roman" w:hAnsi="Times New Roman"/>
                <w:sz w:val="24"/>
              </w:rPr>
              <w:t xml:space="preserve"> </w:t>
            </w:r>
            <w:r w:rsidR="00566DB5" w:rsidRPr="001235ED">
              <w:rPr>
                <w:lang w:val="en-US"/>
              </w:rPr>
              <w:t>of Regulation (EU) No 575/2013</w:t>
            </w:r>
          </w:p>
        </w:tc>
      </w:tr>
      <w:tr w:rsidR="002648B0" w:rsidRPr="002A677E" w14:paraId="241FA5E5" w14:textId="77777777" w:rsidTr="00672D2A">
        <w:tc>
          <w:tcPr>
            <w:tcW w:w="1591" w:type="dxa"/>
          </w:tcPr>
          <w:p w14:paraId="70777062" w14:textId="77777777" w:rsidR="002648B0"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274" w:type="dxa"/>
          </w:tcPr>
          <w:p w14:paraId="311F4C40"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CA21CA" w:rsidRPr="002A677E">
              <w:rPr>
                <w:rStyle w:val="InstructionsTabelleberschrift"/>
                <w:rFonts w:ascii="Times New Roman" w:hAnsi="Times New Roman"/>
                <w:sz w:val="24"/>
              </w:rPr>
              <w:t>Standardised Approach</w:t>
            </w:r>
            <w:r w:rsidRPr="002A677E">
              <w:rPr>
                <w:rStyle w:val="InstructionsTabelleberschrift"/>
                <w:rFonts w:ascii="Times New Roman" w:hAnsi="Times New Roman"/>
                <w:sz w:val="24"/>
              </w:rPr>
              <w:t xml:space="preserve"> (SA)</w:t>
            </w:r>
          </w:p>
          <w:p w14:paraId="18BCF56A" w14:textId="77777777" w:rsidR="002648B0" w:rsidRPr="002A677E" w:rsidRDefault="002648B0" w:rsidP="00B055FF">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 xml:space="preserve">CR SA and SEC SA templates </w:t>
            </w:r>
            <w:r w:rsidR="007E39E6" w:rsidRPr="002A677E">
              <w:rPr>
                <w:rStyle w:val="InstructionsTabelleberschrift"/>
                <w:rFonts w:ascii="Times New Roman" w:hAnsi="Times New Roman"/>
                <w:b w:val="0"/>
                <w:sz w:val="24"/>
                <w:u w:val="none"/>
              </w:rPr>
              <w:t>at the level of total exposures</w:t>
            </w:r>
          </w:p>
        </w:tc>
      </w:tr>
      <w:tr w:rsidR="00802958" w:rsidRPr="002A677E" w14:paraId="786560DC" w14:textId="77777777" w:rsidTr="00672D2A">
        <w:tc>
          <w:tcPr>
            <w:tcW w:w="1591" w:type="dxa"/>
          </w:tcPr>
          <w:p w14:paraId="6D2C197B" w14:textId="77777777" w:rsidR="00802958"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051</w:t>
            </w:r>
          </w:p>
        </w:tc>
        <w:tc>
          <w:tcPr>
            <w:tcW w:w="7274" w:type="dxa"/>
          </w:tcPr>
          <w:p w14:paraId="4FDA74F9" w14:textId="5172718A" w:rsidR="00802958" w:rsidRPr="002A677E" w:rsidRDefault="00802958"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AC666E0" w14:textId="6BFE981B" w:rsidR="00802958" w:rsidRPr="002A677E" w:rsidRDefault="004852B9" w:rsidP="00B055FF">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consulted with EBA, in accordance with </w:t>
            </w:r>
            <w:r w:rsidRPr="002A677E">
              <w:t>Article 124</w:t>
            </w:r>
            <w:r w:rsidR="00B83DDE">
              <w:t>, p</w:t>
            </w:r>
            <w:r w:rsidR="002A67C8" w:rsidRPr="002A677E">
              <w:t xml:space="preserve">aragraphs 2 and 5 </w:t>
            </w:r>
            <w:r w:rsidR="00566DB5" w:rsidRPr="001235ED">
              <w:rPr>
                <w:lang w:val="en-US"/>
              </w:rPr>
              <w:t>of Regulation (EU) No 575/2013</w:t>
            </w:r>
            <w:r w:rsidRPr="002A677E">
              <w:t>.</w:t>
            </w:r>
          </w:p>
        </w:tc>
      </w:tr>
      <w:tr w:rsidR="002648B0" w:rsidRPr="002A677E" w14:paraId="2D666492" w14:textId="77777777" w:rsidTr="00672D2A">
        <w:tc>
          <w:tcPr>
            <w:tcW w:w="1591" w:type="dxa"/>
          </w:tcPr>
          <w:p w14:paraId="6441CEAE" w14:textId="77777777" w:rsidR="002648B0"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060</w:t>
            </w:r>
          </w:p>
        </w:tc>
        <w:tc>
          <w:tcPr>
            <w:tcW w:w="7274" w:type="dxa"/>
          </w:tcPr>
          <w:p w14:paraId="4BA2E5AB" w14:textId="77777777" w:rsidR="00C44421" w:rsidRPr="00B44FD0" w:rsidRDefault="00C44421" w:rsidP="00B055FF">
            <w:pPr>
              <w:pStyle w:val="InstructionsText"/>
              <w:rPr>
                <w:rStyle w:val="FormatvorlageInstructionsTabelleText"/>
                <w:rFonts w:ascii="Times New Roman" w:hAnsi="Times New Roman"/>
                <w:b/>
                <w:sz w:val="24"/>
                <w:u w:val="single"/>
                <w:lang w:val="fr-BE"/>
              </w:rPr>
            </w:pPr>
            <w:r w:rsidRPr="00B44FD0">
              <w:rPr>
                <w:rStyle w:val="InstructionsTabelleberschrift"/>
                <w:rFonts w:ascii="Times New Roman" w:hAnsi="Times New Roman"/>
                <w:sz w:val="24"/>
                <w:lang w:val="fr-BE"/>
              </w:rPr>
              <w:t>1.1.1.1</w:t>
            </w:r>
            <w:r w:rsidRPr="00B44FD0">
              <w:rPr>
                <w:rStyle w:val="InstructionsTabelleberschrift"/>
                <w:rFonts w:ascii="Times New Roman" w:hAnsi="Times New Roman"/>
                <w:sz w:val="24"/>
                <w:lang w:val="fr-BE"/>
              </w:rPr>
              <w:tab/>
              <w:t>SA exposure classes excluding securitisations positions</w:t>
            </w:r>
          </w:p>
          <w:p w14:paraId="43519FA5" w14:textId="211E4669" w:rsidR="002648B0" w:rsidRPr="002A677E" w:rsidRDefault="002648B0"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w:t>
            </w:r>
            <w:r w:rsidR="00E84C8E" w:rsidRPr="002A677E">
              <w:rPr>
                <w:rStyle w:val="FormatvorlageInstructionsTabelleText"/>
                <w:rFonts w:ascii="Times New Roman" w:hAnsi="Times New Roman"/>
                <w:sz w:val="24"/>
              </w:rPr>
              <w:t xml:space="preserve">112 </w:t>
            </w:r>
            <w:r w:rsidR="00566DB5" w:rsidRPr="001235ED">
              <w:rPr>
                <w:lang w:val="en-US"/>
              </w:rPr>
              <w:t>of Regulation (EU) No 575/2013</w:t>
            </w:r>
            <w:r w:rsidR="002C66A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excluding securitisation posi</w:t>
            </w:r>
            <w:r w:rsidR="007E39E6" w:rsidRPr="002A677E">
              <w:rPr>
                <w:rStyle w:val="FormatvorlageInstructionsTabelleText"/>
                <w:rFonts w:ascii="Times New Roman" w:hAnsi="Times New Roman"/>
                <w:sz w:val="24"/>
              </w:rPr>
              <w:t>tions.</w:t>
            </w:r>
          </w:p>
        </w:tc>
      </w:tr>
      <w:tr w:rsidR="002648B0" w:rsidRPr="002A677E" w14:paraId="1E666BE0" w14:textId="77777777" w:rsidTr="00672D2A">
        <w:tc>
          <w:tcPr>
            <w:tcW w:w="1591" w:type="dxa"/>
          </w:tcPr>
          <w:p w14:paraId="4C2CF088" w14:textId="77777777" w:rsidR="002648B0"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274" w:type="dxa"/>
          </w:tcPr>
          <w:p w14:paraId="731473C9" w14:textId="77777777" w:rsidR="005643EA"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Central governments or central banks</w:t>
            </w:r>
          </w:p>
          <w:p w14:paraId="72AAD2D0" w14:textId="77777777" w:rsidR="00496C53" w:rsidRPr="002A677E" w:rsidRDefault="00D212FE" w:rsidP="00B055FF">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 xml:space="preserve">See </w:t>
            </w:r>
            <w:r w:rsidR="002648B0" w:rsidRPr="002A677E">
              <w:rPr>
                <w:rStyle w:val="FormatvorlageInstructionsTabelleText"/>
                <w:rFonts w:ascii="Times New Roman" w:hAnsi="Times New Roman"/>
                <w:sz w:val="24"/>
              </w:rPr>
              <w:t>CR SA</w:t>
            </w:r>
            <w:r w:rsidRPr="002A677E">
              <w:rPr>
                <w:rStyle w:val="FormatvorlageInstructionsTabelleText"/>
                <w:rFonts w:ascii="Times New Roman" w:hAnsi="Times New Roman"/>
                <w:sz w:val="24"/>
              </w:rPr>
              <w:t xml:space="preserve"> template</w:t>
            </w:r>
          </w:p>
        </w:tc>
      </w:tr>
      <w:tr w:rsidR="002648B0" w:rsidRPr="002A677E" w14:paraId="3E399336" w14:textId="77777777" w:rsidTr="00672D2A">
        <w:tc>
          <w:tcPr>
            <w:tcW w:w="1591" w:type="dxa"/>
          </w:tcPr>
          <w:p w14:paraId="5A454305" w14:textId="77777777" w:rsidR="00783881"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274" w:type="dxa"/>
          </w:tcPr>
          <w:p w14:paraId="2E28FE12" w14:textId="77777777" w:rsidR="00783881"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Regional governments or local authorities</w:t>
            </w:r>
          </w:p>
          <w:p w14:paraId="75A7B78D"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825644C" w14:textId="77777777" w:rsidTr="00672D2A">
        <w:tc>
          <w:tcPr>
            <w:tcW w:w="1591" w:type="dxa"/>
          </w:tcPr>
          <w:p w14:paraId="41D1432D" w14:textId="77777777" w:rsidR="00783881"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274" w:type="dxa"/>
          </w:tcPr>
          <w:p w14:paraId="140AF6E8" w14:textId="77777777" w:rsidR="005643EA" w:rsidRPr="002A677E" w:rsidRDefault="002648B0" w:rsidP="00B055FF">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Public sector entities</w:t>
            </w:r>
          </w:p>
          <w:p w14:paraId="03AEE8CB"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C8A7396" w14:textId="77777777" w:rsidTr="00672D2A">
        <w:tc>
          <w:tcPr>
            <w:tcW w:w="1591" w:type="dxa"/>
          </w:tcPr>
          <w:p w14:paraId="7D85AC6B" w14:textId="77777777" w:rsidR="00783881"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100</w:t>
            </w:r>
          </w:p>
        </w:tc>
        <w:tc>
          <w:tcPr>
            <w:tcW w:w="7274" w:type="dxa"/>
          </w:tcPr>
          <w:p w14:paraId="0C348BE5" w14:textId="77777777" w:rsidR="002648B0" w:rsidRPr="002A677E" w:rsidRDefault="002648B0"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Multilateral Development Banks</w:t>
            </w:r>
          </w:p>
          <w:p w14:paraId="56E78FF4"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r w:rsidR="002648B0" w:rsidRPr="002A677E">
              <w:rPr>
                <w:rStyle w:val="FormatvorlageInstructionsTabelleText"/>
                <w:rFonts w:ascii="Times New Roman" w:hAnsi="Times New Roman"/>
                <w:sz w:val="24"/>
              </w:rPr>
              <w:t xml:space="preserve"> </w:t>
            </w:r>
          </w:p>
        </w:tc>
      </w:tr>
      <w:tr w:rsidR="002648B0" w:rsidRPr="00517EE9" w14:paraId="211F4AF9" w14:textId="77777777" w:rsidTr="00672D2A">
        <w:tc>
          <w:tcPr>
            <w:tcW w:w="1591" w:type="dxa"/>
          </w:tcPr>
          <w:p w14:paraId="36810335" w14:textId="77777777" w:rsidR="00783881"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110</w:t>
            </w:r>
          </w:p>
        </w:tc>
        <w:tc>
          <w:tcPr>
            <w:tcW w:w="7274" w:type="dxa"/>
          </w:tcPr>
          <w:p w14:paraId="0E64C732" w14:textId="77777777" w:rsidR="005643EA" w:rsidRPr="002A677E" w:rsidRDefault="002648B0" w:rsidP="00B055FF">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.1.1.1.05</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International Organisations</w:t>
            </w:r>
          </w:p>
          <w:p w14:paraId="4B3A92D1" w14:textId="77777777" w:rsidR="002648B0" w:rsidRPr="002A677E" w:rsidRDefault="00783881" w:rsidP="00B055FF">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lastRenderedPageBreak/>
              <w:t>See CR SA template</w:t>
            </w:r>
          </w:p>
        </w:tc>
      </w:tr>
      <w:tr w:rsidR="002648B0" w:rsidRPr="00517EE9" w14:paraId="07BF2525" w14:textId="77777777" w:rsidTr="00672D2A">
        <w:tc>
          <w:tcPr>
            <w:tcW w:w="1591" w:type="dxa"/>
          </w:tcPr>
          <w:p w14:paraId="488BED47" w14:textId="77777777" w:rsidR="00783881" w:rsidRPr="001235ED" w:rsidRDefault="00CF1093"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120</w:t>
            </w:r>
          </w:p>
        </w:tc>
        <w:tc>
          <w:tcPr>
            <w:tcW w:w="7274" w:type="dxa"/>
          </w:tcPr>
          <w:p w14:paraId="3B1A86D3" w14:textId="77777777" w:rsidR="005643EA" w:rsidRPr="002A677E" w:rsidRDefault="00783881" w:rsidP="00B055FF">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.1.1.1.06</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Institutions</w:t>
            </w:r>
          </w:p>
          <w:p w14:paraId="03B311D1" w14:textId="77777777" w:rsidR="002648B0" w:rsidRPr="002A677E" w:rsidRDefault="00783881" w:rsidP="00B055FF">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EC61C4" w:rsidRPr="002A677E" w14:paraId="3C3DF1A7" w14:textId="77777777" w:rsidTr="00672D2A">
        <w:tc>
          <w:tcPr>
            <w:tcW w:w="1591" w:type="dxa"/>
          </w:tcPr>
          <w:p w14:paraId="6A992517" w14:textId="2943B19D" w:rsidR="00EC61C4" w:rsidRPr="002A677E" w:rsidRDefault="00BC329F"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0125</w:t>
            </w:r>
          </w:p>
        </w:tc>
        <w:tc>
          <w:tcPr>
            <w:tcW w:w="7274" w:type="dxa"/>
          </w:tcPr>
          <w:p w14:paraId="7BDDDD3E" w14:textId="0841B43B" w:rsidR="00EC61C4" w:rsidRPr="002A677E" w:rsidRDefault="00EC61C4" w:rsidP="00DA09CD">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Pr>
                <w:rStyle w:val="InstructionsTabelleberschrift"/>
                <w:rFonts w:ascii="Times New Roman" w:hAnsi="Times New Roman"/>
                <w:sz w:val="24"/>
              </w:rPr>
              <w:t>a</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Other</w:t>
            </w:r>
          </w:p>
          <w:p w14:paraId="1030D3E7" w14:textId="097D856B" w:rsidR="00EC61C4" w:rsidRPr="002A677E" w:rsidRDefault="00EC61C4" w:rsidP="00DA09C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2068A8" w:rsidRPr="002A677E" w14:paraId="7AAFB8B8" w14:textId="77777777" w:rsidTr="00672D2A">
        <w:tc>
          <w:tcPr>
            <w:tcW w:w="1591" w:type="dxa"/>
          </w:tcPr>
          <w:p w14:paraId="2046FCC3" w14:textId="1C50B839" w:rsidR="002068A8" w:rsidRPr="002A677E" w:rsidRDefault="002068A8"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0131</w:t>
            </w:r>
          </w:p>
        </w:tc>
        <w:tc>
          <w:tcPr>
            <w:tcW w:w="7274" w:type="dxa"/>
          </w:tcPr>
          <w:p w14:paraId="5FB813B5" w14:textId="5FFE3FCC" w:rsidR="002068A8" w:rsidRPr="002A677E" w:rsidRDefault="002068A8"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1.1.1.1.07</w:t>
            </w:r>
            <w:r w:rsidR="00EC61C4">
              <w:rPr>
                <w:rStyle w:val="InstructionsTabelleberschrift"/>
                <w:rFonts w:ascii="Times New Roman" w:hAnsi="Times New Roman"/>
                <w:sz w:val="24"/>
              </w:rPr>
              <w:t>b</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Specialised Lending</w:t>
            </w:r>
          </w:p>
          <w:p w14:paraId="5E5B96A9" w14:textId="33D8FF04" w:rsidR="002068A8" w:rsidRPr="002A677E" w:rsidRDefault="002068A8"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E980E73" w14:textId="77777777" w:rsidTr="00672D2A">
        <w:tc>
          <w:tcPr>
            <w:tcW w:w="1591" w:type="dxa"/>
          </w:tcPr>
          <w:p w14:paraId="4CB1DFDE" w14:textId="77777777" w:rsidR="00783881"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274" w:type="dxa"/>
          </w:tcPr>
          <w:p w14:paraId="5EE612CD" w14:textId="77777777" w:rsidR="005643EA" w:rsidRPr="002A677E" w:rsidRDefault="002648B0" w:rsidP="00B055FF">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Retail</w:t>
            </w:r>
          </w:p>
          <w:p w14:paraId="3B6C236E"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7F11A1" w:rsidRPr="002A677E" w14:paraId="318FBF2E" w14:textId="77777777" w:rsidTr="00672D2A">
        <w:tc>
          <w:tcPr>
            <w:tcW w:w="1591" w:type="dxa"/>
          </w:tcPr>
          <w:p w14:paraId="6A6F234C" w14:textId="0B6736BB" w:rsidR="007F11A1" w:rsidRPr="001235ED" w:rsidRDefault="007F11A1"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274" w:type="dxa"/>
          </w:tcPr>
          <w:p w14:paraId="751A0AC1" w14:textId="77777777" w:rsidR="007F11A1" w:rsidRPr="002A677E" w:rsidRDefault="007F11A1"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1.1.1.1.09</w:t>
            </w:r>
            <w:r w:rsidRPr="002A677E">
              <w:rPr>
                <w:rStyle w:val="InstructionsTabelleberschrift"/>
                <w:rFonts w:ascii="Times New Roman" w:hAnsi="Times New Roman"/>
                <w:sz w:val="24"/>
              </w:rPr>
              <w:tab/>
              <w:t>Secured by mortgages on immovable property</w:t>
            </w:r>
            <w:r>
              <w:rPr>
                <w:rStyle w:val="InstructionsTabelleberschrift"/>
                <w:rFonts w:ascii="Times New Roman" w:hAnsi="Times New Roman"/>
                <w:sz w:val="24"/>
              </w:rPr>
              <w:t xml:space="preserve"> and ADC exposures</w:t>
            </w:r>
          </w:p>
          <w:p w14:paraId="4AAB8811" w14:textId="031B7EF6" w:rsidR="007F11A1" w:rsidRPr="002A677E" w:rsidRDefault="007F11A1"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703AB32C" w14:textId="77777777" w:rsidTr="00672D2A">
        <w:tc>
          <w:tcPr>
            <w:tcW w:w="1591" w:type="dxa"/>
          </w:tcPr>
          <w:p w14:paraId="035AB0A6" w14:textId="3A3055E1"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151</w:t>
            </w:r>
          </w:p>
        </w:tc>
        <w:tc>
          <w:tcPr>
            <w:tcW w:w="7274" w:type="dxa"/>
          </w:tcPr>
          <w:p w14:paraId="6B5B6B62" w14:textId="491D0B3C"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Pr="007212E8">
              <w:rPr>
                <w:rStyle w:val="InstructionsTabelleberschrift"/>
                <w:rFonts w:ascii="Times New Roman" w:hAnsi="Times New Roman"/>
                <w:sz w:val="24"/>
              </w:rPr>
              <w:t>1</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sidR="00B71128">
              <w:rPr>
                <w:rStyle w:val="InstructionsTabelleberschrift"/>
                <w:rFonts w:ascii="Times New Roman" w:hAnsi="Times New Roman"/>
                <w:sz w:val="24"/>
              </w:rPr>
              <w:t xml:space="preserve"> (secured)</w:t>
            </w:r>
          </w:p>
          <w:p w14:paraId="49377971" w14:textId="2D3375DB"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B71128" w:rsidRPr="002A677E" w14:paraId="29E06494" w14:textId="77777777" w:rsidTr="00672D2A">
        <w:tc>
          <w:tcPr>
            <w:tcW w:w="1591" w:type="dxa"/>
          </w:tcPr>
          <w:p w14:paraId="46F428F6" w14:textId="6FA8A38B" w:rsidR="00B71128" w:rsidRDefault="00B71128"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0152</w:t>
            </w:r>
          </w:p>
        </w:tc>
        <w:tc>
          <w:tcPr>
            <w:tcW w:w="7274" w:type="dxa"/>
          </w:tcPr>
          <w:p w14:paraId="165F7F19" w14:textId="497FFB4B" w:rsidR="00B71128" w:rsidRDefault="00B71128" w:rsidP="00DA09C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.2</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1FD42D73" w14:textId="689B9DDF" w:rsidR="00B71128" w:rsidRPr="002A677E" w:rsidRDefault="00B71128" w:rsidP="00DA09C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78FCB028" w14:textId="77777777" w:rsidTr="00672D2A">
        <w:tc>
          <w:tcPr>
            <w:tcW w:w="1591" w:type="dxa"/>
          </w:tcPr>
          <w:p w14:paraId="613F1387" w14:textId="1115D32B"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w:t>
            </w:r>
            <w:r w:rsidR="00B71128">
              <w:rPr>
                <w:rStyle w:val="FormatvorlageInstructionsTabelleText"/>
                <w:rFonts w:ascii="Times New Roman" w:hAnsi="Times New Roman"/>
                <w:sz w:val="24"/>
              </w:rPr>
              <w:t>3</w:t>
            </w:r>
          </w:p>
        </w:tc>
        <w:tc>
          <w:tcPr>
            <w:tcW w:w="7274" w:type="dxa"/>
          </w:tcPr>
          <w:p w14:paraId="03DDC4C5" w14:textId="0D52D8D7"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B71128">
              <w:rPr>
                <w:rStyle w:val="InstructionsTabelleberschrift"/>
                <w:rFonts w:ascii="Times New Roman" w:hAnsi="Times New Roman"/>
                <w:sz w:val="24"/>
              </w:rPr>
              <w:t>3</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4BDD0459" w14:textId="6DD275E2"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16C506FC" w14:textId="77777777" w:rsidTr="00672D2A">
        <w:tc>
          <w:tcPr>
            <w:tcW w:w="1591" w:type="dxa"/>
          </w:tcPr>
          <w:p w14:paraId="66E97566" w14:textId="3E5556C5"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B71128">
              <w:rPr>
                <w:rStyle w:val="FormatvorlageInstructionsTabelleText"/>
                <w:rFonts w:ascii="Times New Roman" w:hAnsi="Times New Roman"/>
                <w:sz w:val="24"/>
              </w:rPr>
              <w:t>4</w:t>
            </w:r>
          </w:p>
        </w:tc>
        <w:tc>
          <w:tcPr>
            <w:tcW w:w="7274" w:type="dxa"/>
          </w:tcPr>
          <w:p w14:paraId="5137189C" w14:textId="47B546D2"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B71128">
              <w:rPr>
                <w:rStyle w:val="InstructionsTabelleberschrift"/>
                <w:rFonts w:ascii="Times New Roman" w:hAnsi="Times New Roman"/>
                <w:sz w:val="24"/>
              </w:rPr>
              <w:t>4</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sidR="00B71128">
              <w:rPr>
                <w:rStyle w:val="InstructionsTabelleberschrift"/>
                <w:rFonts w:ascii="Times New Roman" w:hAnsi="Times New Roman"/>
                <w:sz w:val="24"/>
              </w:rPr>
              <w:t xml:space="preserve"> (secured)</w:t>
            </w:r>
          </w:p>
          <w:p w14:paraId="2549AED6" w14:textId="49B7ECBE"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B71128" w:rsidRPr="002A677E" w14:paraId="5423680B" w14:textId="77777777" w:rsidTr="00672D2A">
        <w:tc>
          <w:tcPr>
            <w:tcW w:w="1591" w:type="dxa"/>
          </w:tcPr>
          <w:p w14:paraId="185886B5" w14:textId="2C78F098" w:rsidR="00B71128" w:rsidRDefault="001360BA"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0155</w:t>
            </w:r>
          </w:p>
        </w:tc>
        <w:tc>
          <w:tcPr>
            <w:tcW w:w="7274" w:type="dxa"/>
          </w:tcPr>
          <w:p w14:paraId="2A63D67D" w14:textId="61156F07" w:rsidR="001360BA" w:rsidRDefault="001360BA" w:rsidP="00DA09C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.5</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1734801C" w14:textId="5328302F" w:rsidR="00B71128" w:rsidRPr="002A677E" w:rsidRDefault="001360BA" w:rsidP="00DA09C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4C755FBD" w14:textId="77777777" w:rsidTr="00672D2A">
        <w:tc>
          <w:tcPr>
            <w:tcW w:w="1591" w:type="dxa"/>
          </w:tcPr>
          <w:p w14:paraId="7B9883F8" w14:textId="6AEE92EA"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6</w:t>
            </w:r>
          </w:p>
        </w:tc>
        <w:tc>
          <w:tcPr>
            <w:tcW w:w="7274" w:type="dxa"/>
          </w:tcPr>
          <w:p w14:paraId="58DBD326" w14:textId="1F7A02FD"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6</w:t>
            </w:r>
            <w:r>
              <w:rPr>
                <w:rStyle w:val="InstructionsTabelleberschrift"/>
              </w:rPr>
              <w:t xml:space="preserve"> </w:t>
            </w: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250BB040" w14:textId="0440308D"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2DE9E564" w14:textId="77777777" w:rsidTr="00672D2A">
        <w:tc>
          <w:tcPr>
            <w:tcW w:w="1591" w:type="dxa"/>
          </w:tcPr>
          <w:p w14:paraId="5C270783" w14:textId="26D171FD"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7</w:t>
            </w:r>
          </w:p>
        </w:tc>
        <w:tc>
          <w:tcPr>
            <w:tcW w:w="7274" w:type="dxa"/>
          </w:tcPr>
          <w:p w14:paraId="04078C7D" w14:textId="4C0EB4BA"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7</w:t>
            </w:r>
            <w:r>
              <w:rPr>
                <w:rStyle w:val="InstructionsTabelleberschrift"/>
              </w:rPr>
              <w:t xml:space="preserve"> </w:t>
            </w:r>
            <w:r w:rsidRPr="003A4998">
              <w:rPr>
                <w:rStyle w:val="InstructionsTabelleberschrift"/>
                <w:rFonts w:ascii="Times New Roman" w:hAnsi="Times New Roman"/>
                <w:sz w:val="24"/>
              </w:rPr>
              <w:t>Secured by mortgages on immovable property - Other - non-IPRE</w:t>
            </w:r>
          </w:p>
          <w:p w14:paraId="60581351" w14:textId="30A55B26"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222DEBF5" w14:textId="77777777" w:rsidTr="00672D2A">
        <w:tc>
          <w:tcPr>
            <w:tcW w:w="1591" w:type="dxa"/>
          </w:tcPr>
          <w:p w14:paraId="32EA816D" w14:textId="6B3817CA"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8</w:t>
            </w:r>
          </w:p>
        </w:tc>
        <w:tc>
          <w:tcPr>
            <w:tcW w:w="7274" w:type="dxa"/>
          </w:tcPr>
          <w:p w14:paraId="57F2B261" w14:textId="22502398"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8</w:t>
            </w:r>
            <w:r>
              <w:rPr>
                <w:rStyle w:val="InstructionsTabelleberschrift"/>
              </w:rPr>
              <w:t xml:space="preserve"> </w:t>
            </w:r>
            <w:r w:rsidRPr="003A4998">
              <w:rPr>
                <w:rStyle w:val="InstructionsTabelleberschrift"/>
                <w:rFonts w:ascii="Times New Roman" w:hAnsi="Times New Roman"/>
                <w:sz w:val="24"/>
              </w:rPr>
              <w:t xml:space="preserve">Secured by mortgages on immovable property - Other </w:t>
            </w:r>
            <w:r>
              <w:rPr>
                <w:rStyle w:val="InstructionsTabelleberschrift"/>
                <w:rFonts w:ascii="Times New Roman" w:hAnsi="Times New Roman"/>
                <w:sz w:val="24"/>
              </w:rPr>
              <w:t>–</w:t>
            </w:r>
            <w:r w:rsidRPr="003A4998">
              <w:rPr>
                <w:rStyle w:val="InstructionsTabelleberschrift"/>
                <w:rFonts w:ascii="Times New Roman" w:hAnsi="Times New Roman"/>
                <w:sz w:val="24"/>
              </w:rPr>
              <w:t xml:space="preserve"> IPRE</w:t>
            </w:r>
          </w:p>
          <w:p w14:paraId="6973FFEC" w14:textId="14B20609"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1022288A" w14:textId="77777777" w:rsidTr="00672D2A">
        <w:tc>
          <w:tcPr>
            <w:tcW w:w="1591" w:type="dxa"/>
          </w:tcPr>
          <w:p w14:paraId="138247A8" w14:textId="77723750" w:rsidR="00457DCE" w:rsidRPr="002A677E" w:rsidRDefault="00457DCE"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9</w:t>
            </w:r>
          </w:p>
        </w:tc>
        <w:tc>
          <w:tcPr>
            <w:tcW w:w="7274" w:type="dxa"/>
          </w:tcPr>
          <w:p w14:paraId="3159B3DB" w14:textId="73C0E1A2" w:rsidR="00457DCE" w:rsidRDefault="00457DC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9</w:t>
            </w:r>
            <w:r>
              <w:rPr>
                <w:rStyle w:val="InstructionsTabelleberschrift"/>
              </w:rPr>
              <w:t xml:space="preserve"> </w:t>
            </w:r>
            <w:r w:rsidRPr="003A4998">
              <w:rPr>
                <w:rStyle w:val="InstructionsTabelleberschrift"/>
                <w:rFonts w:ascii="Times New Roman" w:hAnsi="Times New Roman"/>
                <w:sz w:val="24"/>
              </w:rPr>
              <w:t>Acquisition, development and construction (ADC)</w:t>
            </w:r>
          </w:p>
          <w:p w14:paraId="0803AD75" w14:textId="5955A9EE" w:rsidR="00457DCE" w:rsidRPr="002A677E" w:rsidRDefault="00457DC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See CR SA template</w:t>
            </w:r>
          </w:p>
        </w:tc>
      </w:tr>
      <w:tr w:rsidR="002648B0" w:rsidRPr="002A677E" w14:paraId="74BB68C5" w14:textId="77777777" w:rsidTr="00672D2A">
        <w:tc>
          <w:tcPr>
            <w:tcW w:w="1591" w:type="dxa"/>
          </w:tcPr>
          <w:p w14:paraId="72A61ABB" w14:textId="77777777" w:rsidR="002648B0"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160</w:t>
            </w:r>
          </w:p>
        </w:tc>
        <w:tc>
          <w:tcPr>
            <w:tcW w:w="7274" w:type="dxa"/>
          </w:tcPr>
          <w:p w14:paraId="695C5BA9" w14:textId="77777777" w:rsidR="005643EA" w:rsidRPr="002A677E" w:rsidRDefault="002648B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.1.1.1.10</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Exposures in default</w:t>
            </w:r>
          </w:p>
          <w:p w14:paraId="1735599C"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1C6FF0" w:rsidRPr="002A677E" w14:paraId="4C379270" w14:textId="77777777" w:rsidTr="00672D2A">
        <w:tc>
          <w:tcPr>
            <w:tcW w:w="1591" w:type="dxa"/>
          </w:tcPr>
          <w:p w14:paraId="098DAF24" w14:textId="499D0182" w:rsidR="001C6FF0" w:rsidRDefault="001C6FF0" w:rsidP="00B055FF">
            <w:pPr>
              <w:pStyle w:val="InstructionsText"/>
              <w:rPr>
                <w:rStyle w:val="FormatvorlageInstructionsTabelleText"/>
                <w:rFonts w:ascii="Times New Roman" w:hAnsi="Times New Roman"/>
                <w:sz w:val="24"/>
                <w:lang w:eastAsia="en-US"/>
              </w:rPr>
            </w:pPr>
          </w:p>
        </w:tc>
        <w:tc>
          <w:tcPr>
            <w:tcW w:w="7274" w:type="dxa"/>
          </w:tcPr>
          <w:p w14:paraId="1B84AEEE" w14:textId="60D5F5C8" w:rsidR="001C6FF0" w:rsidRDefault="001C6FF0" w:rsidP="00B055FF">
            <w:pPr>
              <w:pStyle w:val="InstructionsText"/>
              <w:rPr>
                <w:rStyle w:val="InstructionsTabelleberschrift"/>
                <w:rFonts w:ascii="Times New Roman" w:hAnsi="Times New Roman"/>
                <w:sz w:val="24"/>
                <w:lang w:eastAsia="en-US"/>
              </w:rPr>
            </w:pPr>
          </w:p>
        </w:tc>
      </w:tr>
      <w:tr w:rsidR="007A6522" w:rsidRPr="002A677E" w14:paraId="0C5C6729" w14:textId="77777777" w:rsidTr="00672D2A">
        <w:tc>
          <w:tcPr>
            <w:tcW w:w="1591" w:type="dxa"/>
          </w:tcPr>
          <w:p w14:paraId="4631F661" w14:textId="34F5E6BD" w:rsidR="007A6522" w:rsidRPr="002A677E" w:rsidRDefault="000F57FD"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0171</w:t>
            </w:r>
          </w:p>
        </w:tc>
        <w:tc>
          <w:tcPr>
            <w:tcW w:w="7274" w:type="dxa"/>
          </w:tcPr>
          <w:p w14:paraId="535295AA" w14:textId="77777777" w:rsidR="00684928" w:rsidRDefault="00684928"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Subordinated debt exposures</w:t>
            </w:r>
          </w:p>
          <w:p w14:paraId="05C5B278" w14:textId="224470ED" w:rsidR="007A6522" w:rsidRPr="002A677E" w:rsidRDefault="00684928"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21A387D" w14:textId="77777777" w:rsidTr="00672D2A">
        <w:tc>
          <w:tcPr>
            <w:tcW w:w="1591" w:type="dxa"/>
          </w:tcPr>
          <w:p w14:paraId="473536DB" w14:textId="77777777" w:rsidR="00783881"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274" w:type="dxa"/>
          </w:tcPr>
          <w:p w14:paraId="5F86438D" w14:textId="77777777" w:rsidR="005643EA" w:rsidRPr="002A677E" w:rsidRDefault="002648B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Covered bonds</w:t>
            </w:r>
          </w:p>
          <w:p w14:paraId="3CDA69D1"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53E872A" w14:textId="77777777" w:rsidTr="00672D2A">
        <w:tc>
          <w:tcPr>
            <w:tcW w:w="1591" w:type="dxa"/>
          </w:tcPr>
          <w:p w14:paraId="62F5EAC6" w14:textId="77777777" w:rsidR="002648B0"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190</w:t>
            </w:r>
          </w:p>
        </w:tc>
        <w:tc>
          <w:tcPr>
            <w:tcW w:w="7274" w:type="dxa"/>
          </w:tcPr>
          <w:p w14:paraId="0F3CA631" w14:textId="77777777" w:rsidR="005643EA" w:rsidRPr="002A677E" w:rsidRDefault="002648B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Claims on institutions and corporate with a short-term credit assessment</w:t>
            </w:r>
          </w:p>
          <w:p w14:paraId="24C06DBC"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F4E1932" w14:textId="77777777" w:rsidTr="00672D2A">
        <w:tc>
          <w:tcPr>
            <w:tcW w:w="1591" w:type="dxa"/>
          </w:tcPr>
          <w:p w14:paraId="4AD3FCC5" w14:textId="77777777" w:rsidR="005643EA" w:rsidRPr="002A677E" w:rsidRDefault="00B13F06" w:rsidP="00B055FF">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274" w:type="dxa"/>
          </w:tcPr>
          <w:p w14:paraId="4194F958" w14:textId="77777777" w:rsidR="005643EA" w:rsidRPr="002A677E" w:rsidRDefault="002648B0" w:rsidP="00B055FF">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Collective investments undertakings (CIU)</w:t>
            </w:r>
          </w:p>
          <w:p w14:paraId="0B2E6E67" w14:textId="77777777" w:rsidR="002648B0" w:rsidRPr="002A677E" w:rsidRDefault="00D212F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CBE2222" w14:textId="77777777" w:rsidTr="00672D2A">
        <w:tc>
          <w:tcPr>
            <w:tcW w:w="1591" w:type="dxa"/>
          </w:tcPr>
          <w:p w14:paraId="42295A59" w14:textId="77777777" w:rsidR="002648B0"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274" w:type="dxa"/>
          </w:tcPr>
          <w:p w14:paraId="477BD13D" w14:textId="77777777" w:rsidR="005643EA" w:rsidRPr="002A677E" w:rsidRDefault="002648B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.1.1.1.15</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Equity</w:t>
            </w:r>
          </w:p>
          <w:p w14:paraId="7416E0E2" w14:textId="77777777" w:rsidR="002648B0" w:rsidRPr="001235ED" w:rsidRDefault="00D212FE" w:rsidP="007106FB">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A868BEA" w14:textId="77777777" w:rsidTr="00672D2A">
        <w:tc>
          <w:tcPr>
            <w:tcW w:w="1591" w:type="dxa"/>
          </w:tcPr>
          <w:p w14:paraId="153038B6" w14:textId="77777777" w:rsidR="002648B0"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211</w:t>
            </w:r>
          </w:p>
        </w:tc>
        <w:tc>
          <w:tcPr>
            <w:tcW w:w="7274" w:type="dxa"/>
          </w:tcPr>
          <w:p w14:paraId="75FC6718" w14:textId="77777777" w:rsidR="005643EA" w:rsidRPr="002A677E" w:rsidRDefault="002648B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.1.1.1.16</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Other items</w:t>
            </w:r>
          </w:p>
          <w:p w14:paraId="6F0C00C6" w14:textId="77777777" w:rsidR="005643EA" w:rsidRPr="002A677E" w:rsidRDefault="00D212FE" w:rsidP="00B055FF">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A95150" w:rsidRPr="002A677E" w14:paraId="2288F2D2" w14:textId="77777777" w:rsidTr="00672D2A">
        <w:tc>
          <w:tcPr>
            <w:tcW w:w="1591" w:type="dxa"/>
          </w:tcPr>
          <w:p w14:paraId="25EFDC23" w14:textId="14EDE543" w:rsidR="00A95150" w:rsidRPr="001235ED" w:rsidRDefault="00A95150"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7DDD0154" w14:textId="267417B5" w:rsidR="00A95150" w:rsidRPr="002A677E" w:rsidRDefault="00A95150"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w:t>
            </w:r>
            <w:r w:rsidR="00B03CD3"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B03CD3"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B03CD3"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but risk-we</w:t>
            </w:r>
            <w:r w:rsidR="00B03CD3" w:rsidRPr="002A677E">
              <w:rPr>
                <w:rStyle w:val="FormatvorlageInstructionsTabelleText"/>
                <w:rFonts w:ascii="Times New Roman" w:hAnsi="Times New Roman"/>
                <w:sz w:val="24"/>
              </w:rPr>
              <w:t>ighted</w:t>
            </w:r>
            <w:r w:rsidRPr="002A677E">
              <w:rPr>
                <w:rStyle w:val="FormatvorlageInstructionsTabelleText"/>
                <w:rFonts w:ascii="Times New Roman" w:hAnsi="Times New Roman"/>
                <w:sz w:val="24"/>
              </w:rPr>
              <w:t xml:space="preserve"> in accordance with Article 113(5) </w:t>
            </w:r>
            <w:r w:rsidR="00566DB5" w:rsidRPr="001235ED">
              <w:rPr>
                <w:lang w:val="en-US"/>
              </w:rPr>
              <w:t>of that Regulation</w:t>
            </w:r>
            <w:r w:rsidRPr="002A677E">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274" w:type="dxa"/>
          </w:tcPr>
          <w:p w14:paraId="13C1D075" w14:textId="77777777" w:rsidR="005643EA" w:rsidRPr="002A677E" w:rsidRDefault="002648B0" w:rsidP="00B055FF">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Internal ratings based Approach (IRB) </w:t>
            </w:r>
          </w:p>
        </w:tc>
      </w:tr>
      <w:tr w:rsidR="00802958" w:rsidRPr="002A677E" w14:paraId="1FDB156B" w14:textId="77777777" w:rsidTr="00672D2A">
        <w:tc>
          <w:tcPr>
            <w:tcW w:w="1591" w:type="dxa"/>
          </w:tcPr>
          <w:p w14:paraId="3DEB13FE"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241</w:t>
            </w:r>
          </w:p>
        </w:tc>
        <w:tc>
          <w:tcPr>
            <w:tcW w:w="7274" w:type="dxa"/>
          </w:tcPr>
          <w:p w14:paraId="7E6ABE14" w14:textId="78AE4628" w:rsidR="00802958" w:rsidRPr="002A677E" w:rsidRDefault="00802958"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164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00AF80E" w14:textId="02CB175C" w:rsidR="00802958" w:rsidRPr="002A677E" w:rsidRDefault="004852B9" w:rsidP="00B055FF">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rsidR="00B83DDE">
              <w:t>, p</w:t>
            </w:r>
            <w:r w:rsidR="002A67C8" w:rsidRPr="002A677E">
              <w:t xml:space="preserve">aragraphs 5 and 7 </w:t>
            </w:r>
            <w:r w:rsidR="00566DB5" w:rsidRPr="001235ED">
              <w:rPr>
                <w:lang w:val="en-US"/>
              </w:rPr>
              <w:t>of Regulation (EU) No 575/2013</w:t>
            </w:r>
            <w:r w:rsidRPr="002A677E">
              <w:t>.</w:t>
            </w:r>
          </w:p>
        </w:tc>
      </w:tr>
      <w:tr w:rsidR="00802958" w:rsidRPr="002A677E" w14:paraId="6FA35CD8" w14:textId="77777777" w:rsidTr="00672D2A">
        <w:tc>
          <w:tcPr>
            <w:tcW w:w="1591" w:type="dxa"/>
          </w:tcPr>
          <w:p w14:paraId="32D165AA"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242</w:t>
            </w:r>
          </w:p>
        </w:tc>
        <w:tc>
          <w:tcPr>
            <w:tcW w:w="7274" w:type="dxa"/>
          </w:tcPr>
          <w:p w14:paraId="263602A7" w14:textId="444BCD1C" w:rsidR="00802958" w:rsidRPr="002A677E" w:rsidRDefault="00802958"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110769F" w14:textId="4531F562" w:rsidR="00802958" w:rsidRPr="002A677E" w:rsidRDefault="004852B9" w:rsidP="00B055FF">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006A6822" w:rsidRPr="002A677E">
              <w:t xml:space="preserve">set by the competent authorities </w:t>
            </w:r>
            <w:r w:rsidRPr="002A677E">
              <w:t xml:space="preserve">after having consulted EBA, </w:t>
            </w:r>
            <w:r w:rsidR="006A6822" w:rsidRPr="002A677E">
              <w:t>as laid down in</w:t>
            </w:r>
            <w:r w:rsidRPr="002A677E">
              <w:t xml:space="preserve"> Article 124</w:t>
            </w:r>
            <w:r w:rsidR="00B83DDE">
              <w:t>, p</w:t>
            </w:r>
            <w:r w:rsidR="002A67C8" w:rsidRPr="002A677E">
              <w:t xml:space="preserve">aragraphs 2 and 5 </w:t>
            </w:r>
            <w:r w:rsidR="00566DB5" w:rsidRPr="001235ED">
              <w:rPr>
                <w:lang w:val="en-US"/>
              </w:rPr>
              <w:t>of Regulation (EU) No 575/2013</w:t>
            </w:r>
            <w:r w:rsidR="00402284">
              <w:rPr>
                <w:lang w:val="en-US"/>
              </w:rPr>
              <w:t xml:space="preserve"> </w:t>
            </w:r>
            <w:r w:rsidRPr="002A677E">
              <w:t xml:space="preserve">and </w:t>
            </w:r>
            <w:r w:rsidR="006A6822" w:rsidRPr="002A677E">
              <w:t xml:space="preserve">which are </w:t>
            </w:r>
            <w:r w:rsidRPr="002A677E">
              <w:t xml:space="preserve">related to limits on the eligible market value of the collateral </w:t>
            </w:r>
            <w:r w:rsidR="006A6822" w:rsidRPr="002A677E">
              <w:t>as laid down in</w:t>
            </w:r>
            <w:r w:rsidRPr="002A677E">
              <w:t xml:space="preserve"> Article 125(2)</w:t>
            </w:r>
            <w:r w:rsidR="00B83DDE">
              <w:t>, p</w:t>
            </w:r>
            <w:r w:rsidR="002A67C8" w:rsidRPr="002A677E">
              <w:t xml:space="preserve">oint (d) </w:t>
            </w:r>
            <w:r w:rsidRPr="002A677E">
              <w:t>and Article 126(2)</w:t>
            </w:r>
            <w:r w:rsidR="00B83DDE">
              <w:t>, p</w:t>
            </w:r>
            <w:r w:rsidR="002A67C8" w:rsidRPr="002A677E">
              <w:t>oint (d)</w:t>
            </w:r>
            <w:r w:rsidR="00BE1277">
              <w:t>,</w:t>
            </w:r>
            <w:r w:rsidR="002A67C8" w:rsidRPr="002A677E">
              <w:t xml:space="preserve"> </w:t>
            </w:r>
            <w:r w:rsidR="00566DB5" w:rsidRPr="001235ED">
              <w:rPr>
                <w:lang w:val="en-US"/>
              </w:rPr>
              <w:t>of that Regulation</w:t>
            </w:r>
            <w:r w:rsidRPr="002A677E">
              <w:t>.</w:t>
            </w:r>
          </w:p>
        </w:tc>
      </w:tr>
      <w:tr w:rsidR="00802958" w:rsidRPr="002A677E" w14:paraId="7092FA55" w14:textId="77777777" w:rsidTr="00672D2A">
        <w:tc>
          <w:tcPr>
            <w:tcW w:w="1591" w:type="dxa"/>
          </w:tcPr>
          <w:p w14:paraId="692DB551"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250</w:t>
            </w:r>
          </w:p>
        </w:tc>
        <w:tc>
          <w:tcPr>
            <w:tcW w:w="7274" w:type="dxa"/>
          </w:tcPr>
          <w:p w14:paraId="1991CA8E" w14:textId="77777777" w:rsidR="00802958" w:rsidRPr="002A677E" w:rsidRDefault="00802958"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neither own estimates of LGD nor Conversion Factors are used</w:t>
            </w:r>
          </w:p>
          <w:p w14:paraId="0914732B" w14:textId="77777777"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802958" w:rsidRPr="002A677E" w14:paraId="7844F637" w14:textId="77777777" w:rsidTr="00672D2A">
        <w:tc>
          <w:tcPr>
            <w:tcW w:w="1591" w:type="dxa"/>
          </w:tcPr>
          <w:p w14:paraId="519A742E"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260</w:t>
            </w:r>
          </w:p>
        </w:tc>
        <w:tc>
          <w:tcPr>
            <w:tcW w:w="7274" w:type="dxa"/>
          </w:tcPr>
          <w:p w14:paraId="2D67F8BB" w14:textId="77777777" w:rsidR="00802958" w:rsidRPr="002A677E" w:rsidRDefault="00802958"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08BDE69E"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4004B0B9" w14:paraId="142536D0" w14:textId="77777777" w:rsidTr="4004B0B9">
        <w:trPr>
          <w:trHeight w:val="300"/>
        </w:trPr>
        <w:tc>
          <w:tcPr>
            <w:tcW w:w="1591" w:type="dxa"/>
          </w:tcPr>
          <w:p w14:paraId="4F9FC179" w14:textId="53348F38" w:rsidR="408C09F2" w:rsidRDefault="408C09F2" w:rsidP="00B055FF">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0261</w:t>
            </w:r>
          </w:p>
        </w:tc>
        <w:tc>
          <w:tcPr>
            <w:tcW w:w="7274" w:type="dxa"/>
          </w:tcPr>
          <w:p w14:paraId="45A84CDE" w14:textId="72B0B16C" w:rsidR="408C09F2" w:rsidRDefault="408C09F2" w:rsidP="00DA09CD">
            <w:pPr>
              <w:pStyle w:val="InstructionsText"/>
              <w:rPr>
                <w:rStyle w:val="InstructionsTabelleberschrift"/>
                <w:rFonts w:ascii="Times New Roman" w:hAnsi="Times New Roman"/>
                <w:sz w:val="24"/>
              </w:rPr>
            </w:pPr>
            <w:r w:rsidRPr="2F57BA58">
              <w:rPr>
                <w:rStyle w:val="InstructionsTabelleberschrift"/>
                <w:rFonts w:ascii="Times New Roman" w:hAnsi="Times New Roman"/>
                <w:sz w:val="24"/>
              </w:rPr>
              <w:t>1.1.2.1.01a</w:t>
            </w:r>
            <w:r>
              <w:tab/>
            </w:r>
            <w:r w:rsidRPr="2F57BA58">
              <w:rPr>
                <w:rStyle w:val="InstructionsTabelleberschrift"/>
                <w:rFonts w:ascii="Times New Roman" w:hAnsi="Times New Roman"/>
                <w:sz w:val="24"/>
              </w:rPr>
              <w:t xml:space="preserve">Regional governments or </w:t>
            </w:r>
            <w:r w:rsidRPr="0A257479">
              <w:rPr>
                <w:rStyle w:val="InstructionsTabelleberschrift"/>
                <w:rFonts w:ascii="Times New Roman" w:hAnsi="Times New Roman"/>
                <w:sz w:val="24"/>
              </w:rPr>
              <w:t>local authorities</w:t>
            </w:r>
          </w:p>
          <w:p w14:paraId="1F554430" w14:textId="2E73A524" w:rsidR="4004B0B9" w:rsidRDefault="408C09F2" w:rsidP="0A257479">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4004B0B9" w14:paraId="48D74B5C" w14:textId="77777777" w:rsidTr="4004B0B9">
        <w:trPr>
          <w:trHeight w:val="300"/>
        </w:trPr>
        <w:tc>
          <w:tcPr>
            <w:tcW w:w="1591" w:type="dxa"/>
          </w:tcPr>
          <w:p w14:paraId="2F284520" w14:textId="76CFFEC4" w:rsidR="408C09F2" w:rsidRDefault="408C09F2" w:rsidP="00B055FF">
            <w:pPr>
              <w:pStyle w:val="InstructionsText"/>
              <w:rPr>
                <w:rStyle w:val="FormatvorlageInstructionsTabelleText"/>
                <w:rFonts w:ascii="Times New Roman" w:hAnsi="Times New Roman"/>
                <w:sz w:val="24"/>
                <w:lang w:eastAsia="en-US"/>
              </w:rPr>
            </w:pPr>
            <w:r w:rsidRPr="4004B0B9">
              <w:rPr>
                <w:rStyle w:val="FormatvorlageInstructionsTabelleText"/>
                <w:rFonts w:ascii="Times New Roman" w:hAnsi="Times New Roman"/>
                <w:sz w:val="24"/>
              </w:rPr>
              <w:t>0262</w:t>
            </w:r>
          </w:p>
        </w:tc>
        <w:tc>
          <w:tcPr>
            <w:tcW w:w="7274" w:type="dxa"/>
          </w:tcPr>
          <w:p w14:paraId="1C9A35A0" w14:textId="0B42F2AB" w:rsidR="408C09F2" w:rsidRDefault="408C09F2" w:rsidP="00DA09CD">
            <w:pPr>
              <w:pStyle w:val="InstructionsText"/>
              <w:rPr>
                <w:rStyle w:val="InstructionsTabelleberschrift"/>
                <w:rFonts w:ascii="Times New Roman" w:hAnsi="Times New Roman"/>
                <w:sz w:val="24"/>
              </w:rPr>
            </w:pPr>
            <w:r w:rsidRPr="0A257479">
              <w:rPr>
                <w:rStyle w:val="InstructionsTabelleberschrift"/>
                <w:rFonts w:ascii="Times New Roman" w:hAnsi="Times New Roman"/>
                <w:sz w:val="24"/>
              </w:rPr>
              <w:t>1.1.2.1.01</w:t>
            </w:r>
            <w:r w:rsidR="002D1A59">
              <w:rPr>
                <w:rStyle w:val="InstructionsTabelleberschrift"/>
                <w:rFonts w:ascii="Times New Roman" w:hAnsi="Times New Roman"/>
                <w:sz w:val="24"/>
              </w:rPr>
              <w:t>b</w:t>
            </w:r>
            <w:r>
              <w:tab/>
            </w:r>
            <w:r w:rsidRPr="0A257479">
              <w:rPr>
                <w:rStyle w:val="InstructionsTabelleberschrift"/>
                <w:rFonts w:ascii="Times New Roman" w:hAnsi="Times New Roman"/>
                <w:sz w:val="24"/>
              </w:rPr>
              <w:t xml:space="preserve">Public </w:t>
            </w:r>
            <w:r w:rsidRPr="446BEEE7">
              <w:rPr>
                <w:rStyle w:val="InstructionsTabelleberschrift"/>
                <w:rFonts w:ascii="Times New Roman" w:hAnsi="Times New Roman"/>
                <w:sz w:val="24"/>
              </w:rPr>
              <w:t>sector entities</w:t>
            </w:r>
          </w:p>
          <w:p w14:paraId="39122BD5" w14:textId="538ECCED" w:rsidR="4004B0B9" w:rsidRDefault="408C09F2" w:rsidP="0A257479">
            <w:pPr>
              <w:rPr>
                <w:rStyle w:val="FormatvorlageInstructionsTabelleText"/>
                <w:rFonts w:ascii="Times New Roman" w:hAnsi="Times New Roman"/>
                <w:sz w:val="24"/>
              </w:rPr>
            </w:pPr>
            <w:r w:rsidRPr="0A257479">
              <w:rPr>
                <w:rStyle w:val="FormatvorlageInstructionsTabelleText"/>
                <w:rFonts w:ascii="Times New Roman" w:hAnsi="Times New Roman"/>
                <w:sz w:val="24"/>
              </w:rPr>
              <w:t>See CR IRB template</w:t>
            </w:r>
          </w:p>
        </w:tc>
      </w:tr>
      <w:tr w:rsidR="00802958" w:rsidRPr="002A677E" w14:paraId="6249E5E2" w14:textId="77777777" w:rsidTr="00672D2A">
        <w:tc>
          <w:tcPr>
            <w:tcW w:w="1591" w:type="dxa"/>
          </w:tcPr>
          <w:p w14:paraId="08A68C60"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270</w:t>
            </w:r>
          </w:p>
        </w:tc>
        <w:tc>
          <w:tcPr>
            <w:tcW w:w="7274" w:type="dxa"/>
          </w:tcPr>
          <w:p w14:paraId="78640408" w14:textId="77777777" w:rsidR="00802958" w:rsidRPr="002A677E" w:rsidRDefault="00802958"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2FFB99D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2F4BDAFA" w14:textId="77777777" w:rsidTr="00672D2A">
        <w:tc>
          <w:tcPr>
            <w:tcW w:w="1591" w:type="dxa"/>
          </w:tcPr>
          <w:p w14:paraId="6C2CCFF4" w14:textId="77777777" w:rsidR="00802958" w:rsidRPr="001235ED" w:rsidRDefault="00B13F06"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290</w:t>
            </w:r>
          </w:p>
        </w:tc>
        <w:tc>
          <w:tcPr>
            <w:tcW w:w="7274" w:type="dxa"/>
          </w:tcPr>
          <w:p w14:paraId="0E32B3BD" w14:textId="77777777" w:rsidR="00802958" w:rsidRPr="002A677E" w:rsidRDefault="00802958"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A2602F2"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446BEEE7" w14:paraId="1D1D94DE" w14:textId="77777777" w:rsidTr="446BEEE7">
        <w:trPr>
          <w:trHeight w:val="300"/>
        </w:trPr>
        <w:tc>
          <w:tcPr>
            <w:tcW w:w="1591" w:type="dxa"/>
          </w:tcPr>
          <w:p w14:paraId="6019565B" w14:textId="0E57C1E5" w:rsidR="247AA7C0" w:rsidRDefault="247AA7C0" w:rsidP="00B055FF">
            <w:pPr>
              <w:pStyle w:val="InstructionsText"/>
              <w:rPr>
                <w:rStyle w:val="FormatvorlageInstructionsTabelleText"/>
                <w:rFonts w:ascii="Times New Roman" w:hAnsi="Times New Roman"/>
                <w:sz w:val="24"/>
                <w:lang w:eastAsia="en-US"/>
              </w:rPr>
            </w:pPr>
            <w:r w:rsidRPr="446BEEE7">
              <w:rPr>
                <w:rStyle w:val="FormatvorlageInstructionsTabelleText"/>
                <w:rFonts w:ascii="Times New Roman" w:hAnsi="Times New Roman"/>
                <w:sz w:val="24"/>
              </w:rPr>
              <w:t>0295</w:t>
            </w:r>
          </w:p>
        </w:tc>
        <w:tc>
          <w:tcPr>
            <w:tcW w:w="7274" w:type="dxa"/>
          </w:tcPr>
          <w:p w14:paraId="2F29AF82" w14:textId="4D5E26E3" w:rsidR="247AA7C0" w:rsidRDefault="247AA7C0" w:rsidP="00DA09CD">
            <w:pPr>
              <w:pStyle w:val="InstructionsText"/>
              <w:rPr>
                <w:rStyle w:val="InstructionsTabelleberschrift"/>
                <w:rFonts w:ascii="Times New Roman" w:hAnsi="Times New Roman"/>
                <w:sz w:val="24"/>
              </w:rPr>
            </w:pPr>
            <w:r w:rsidRPr="38A1AC42">
              <w:rPr>
                <w:rStyle w:val="InstructionsTabelleberschrift"/>
                <w:rFonts w:ascii="Times New Roman" w:hAnsi="Times New Roman"/>
                <w:sz w:val="24"/>
              </w:rPr>
              <w:t>1.1.2.1.04a</w:t>
            </w:r>
            <w:r>
              <w:tab/>
            </w:r>
            <w:r w:rsidRPr="38A1AC42">
              <w:rPr>
                <w:rStyle w:val="InstructionsTabelleberschrift"/>
                <w:rFonts w:ascii="Times New Roman" w:hAnsi="Times New Roman"/>
                <w:sz w:val="24"/>
              </w:rPr>
              <w:t>Corporates – Purchased receivables</w:t>
            </w:r>
          </w:p>
          <w:p w14:paraId="6094DCB1" w14:textId="3AE3DE8F" w:rsidR="446BEEE7" w:rsidRDefault="247AA7C0" w:rsidP="38A1AC42">
            <w:pPr>
              <w:rPr>
                <w:rStyle w:val="FormatvorlageInstructionsTabelleText"/>
                <w:rFonts w:ascii="Times New Roman" w:hAnsi="Times New Roman"/>
                <w:sz w:val="24"/>
              </w:rPr>
            </w:pPr>
            <w:r w:rsidRPr="38A1AC42">
              <w:rPr>
                <w:rStyle w:val="FormatvorlageInstructionsTabelleText"/>
                <w:rFonts w:ascii="Times New Roman" w:hAnsi="Times New Roman"/>
                <w:sz w:val="24"/>
              </w:rPr>
              <w:t>See CR IRB template</w:t>
            </w:r>
          </w:p>
        </w:tc>
      </w:tr>
      <w:tr w:rsidR="1F539127" w14:paraId="248D048D" w14:textId="77777777" w:rsidTr="1F539127">
        <w:trPr>
          <w:trHeight w:val="300"/>
        </w:trPr>
        <w:tc>
          <w:tcPr>
            <w:tcW w:w="1591" w:type="dxa"/>
          </w:tcPr>
          <w:p w14:paraId="6B4F4C5E" w14:textId="02451176" w:rsidR="1F539127" w:rsidRDefault="1F539127" w:rsidP="00B055FF">
            <w:pPr>
              <w:pStyle w:val="InstructionsText"/>
              <w:rPr>
                <w:rStyle w:val="FormatvorlageInstructionsTabelleText"/>
                <w:rFonts w:ascii="Times New Roman" w:hAnsi="Times New Roman"/>
                <w:sz w:val="24"/>
                <w:lang w:eastAsia="en-US"/>
              </w:rPr>
            </w:pPr>
            <w:r w:rsidRPr="1F539127">
              <w:rPr>
                <w:rStyle w:val="FormatvorlageInstructionsTabelleText"/>
                <w:rFonts w:ascii="Times New Roman" w:hAnsi="Times New Roman"/>
                <w:sz w:val="24"/>
              </w:rPr>
              <w:t>0296</w:t>
            </w:r>
          </w:p>
        </w:tc>
        <w:tc>
          <w:tcPr>
            <w:tcW w:w="7274" w:type="dxa"/>
          </w:tcPr>
          <w:p w14:paraId="66FD902F" w14:textId="338ECE09" w:rsidR="1F539127" w:rsidRDefault="1F539127" w:rsidP="007A7FE8">
            <w:pPr>
              <w:rPr>
                <w:rStyle w:val="InstructionsTabelleberschrift"/>
                <w:rFonts w:ascii="Times New Roman" w:hAnsi="Times New Roman"/>
                <w:sz w:val="24"/>
                <w:lang w:eastAsia="de-DE"/>
              </w:rPr>
            </w:pPr>
            <w:r w:rsidRPr="1F539127">
              <w:rPr>
                <w:rStyle w:val="InstructionsTabelleberschrift"/>
                <w:rFonts w:ascii="Times New Roman" w:hAnsi="Times New Roman"/>
                <w:sz w:val="24"/>
              </w:rPr>
              <w:t>1.1.2.1.04b</w:t>
            </w:r>
            <w:r>
              <w:tab/>
            </w:r>
            <w:r w:rsidRPr="1F539127">
              <w:rPr>
                <w:rStyle w:val="InstructionsTabelleberschrift"/>
                <w:rFonts w:ascii="Times New Roman" w:hAnsi="Times New Roman"/>
                <w:sz w:val="24"/>
              </w:rPr>
              <w:t>Corporates – Large Corporates</w:t>
            </w:r>
          </w:p>
          <w:p w14:paraId="0D9659E5" w14:textId="5100AEA5" w:rsidR="1F539127" w:rsidRDefault="1F539127" w:rsidP="00B055FF">
            <w:pPr>
              <w:pStyle w:val="InstructionsText"/>
              <w:rPr>
                <w:rStyle w:val="InstructionsTabelleberschrift"/>
                <w:rFonts w:ascii="Times New Roman" w:hAnsi="Times New Roman"/>
                <w:sz w:val="24"/>
                <w:lang w:eastAsia="en-US"/>
              </w:rPr>
            </w:pPr>
            <w:r w:rsidRPr="1F539127">
              <w:rPr>
                <w:rStyle w:val="FormatvorlageInstructionsTabelleText"/>
                <w:rFonts w:ascii="Times New Roman" w:hAnsi="Times New Roman"/>
                <w:sz w:val="24"/>
              </w:rPr>
              <w:t>See CR IRB template</w:t>
            </w:r>
          </w:p>
        </w:tc>
      </w:tr>
      <w:tr w:rsidR="00D25D8E" w14:paraId="259FF75A" w14:textId="77777777" w:rsidTr="446BEEE7">
        <w:trPr>
          <w:trHeight w:val="300"/>
        </w:trPr>
        <w:tc>
          <w:tcPr>
            <w:tcW w:w="1591" w:type="dxa"/>
          </w:tcPr>
          <w:p w14:paraId="3D5D1F21" w14:textId="37BEDA38" w:rsidR="00D25D8E" w:rsidRPr="446BEEE7"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0280</w:t>
            </w:r>
          </w:p>
        </w:tc>
        <w:tc>
          <w:tcPr>
            <w:tcW w:w="7274" w:type="dxa"/>
          </w:tcPr>
          <w:p w14:paraId="2FC65F7A" w14:textId="77777777" w:rsidR="00D25D8E" w:rsidRPr="002A677E" w:rsidRDefault="00D25D8E" w:rsidP="00DA09CD">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1.1.2.1.03</w:t>
            </w:r>
            <w:r w:rsidRPr="002A677E">
              <w:rPr>
                <w:rStyle w:val="InstructionsTabelleberschrift"/>
                <w:rFonts w:ascii="Times New Roman" w:hAnsi="Times New Roman"/>
                <w:sz w:val="24"/>
              </w:rPr>
              <w:tab/>
              <w:t>Corporates - SME</w:t>
            </w:r>
          </w:p>
          <w:p w14:paraId="38801B31" w14:textId="68498995" w:rsidR="00D25D8E" w:rsidRPr="38A1AC42" w:rsidRDefault="00D25D8E" w:rsidP="00DA09CD">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4EB24721" w14:textId="77777777" w:rsidTr="00672D2A">
        <w:tc>
          <w:tcPr>
            <w:tcW w:w="1591" w:type="dxa"/>
          </w:tcPr>
          <w:p w14:paraId="0C1C733A"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274" w:type="dxa"/>
          </w:tcPr>
          <w:p w14:paraId="3A7D39B5"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711BB31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2A148698" w14:textId="77777777" w:rsidTr="00672D2A">
        <w:tc>
          <w:tcPr>
            <w:tcW w:w="1591" w:type="dxa"/>
          </w:tcPr>
          <w:p w14:paraId="285FABC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274" w:type="dxa"/>
          </w:tcPr>
          <w:p w14:paraId="794EF079"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IRB Approaches when own estimates of LGD and/or Conversion Factor are used</w:t>
            </w:r>
          </w:p>
          <w:p w14:paraId="646C4EB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D25D8E" w:rsidRPr="002A677E" w14:paraId="271BD282" w14:textId="77777777" w:rsidTr="00672D2A">
        <w:tc>
          <w:tcPr>
            <w:tcW w:w="1591" w:type="dxa"/>
          </w:tcPr>
          <w:p w14:paraId="707C2CF6"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274" w:type="dxa"/>
          </w:tcPr>
          <w:p w14:paraId="66D5DEF6"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35D77E7A"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5A384387" w14:textId="77777777" w:rsidTr="5542AEBF">
        <w:trPr>
          <w:trHeight w:val="300"/>
        </w:trPr>
        <w:tc>
          <w:tcPr>
            <w:tcW w:w="1591" w:type="dxa"/>
          </w:tcPr>
          <w:p w14:paraId="542D4B34" w14:textId="5E9A5FE3" w:rsidR="00D25D8E" w:rsidRDefault="00D25D8E" w:rsidP="00B055FF">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0325</w:t>
            </w:r>
          </w:p>
        </w:tc>
        <w:tc>
          <w:tcPr>
            <w:tcW w:w="7274" w:type="dxa"/>
          </w:tcPr>
          <w:p w14:paraId="28A639C7" w14:textId="49B1934F" w:rsidR="00D25D8E" w:rsidRDefault="00D25D8E" w:rsidP="00DA09C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1.1.2.2.01a</w:t>
            </w:r>
            <w:r>
              <w:tab/>
            </w:r>
            <w:r w:rsidRPr="74E6CE57">
              <w:rPr>
                <w:rStyle w:val="InstructionsTabelleberschrift"/>
                <w:rFonts w:ascii="Times New Roman" w:hAnsi="Times New Roman"/>
                <w:sz w:val="24"/>
              </w:rPr>
              <w:t>Regional governments or local authorities</w:t>
            </w:r>
          </w:p>
          <w:p w14:paraId="364D2357" w14:textId="5FE7A578" w:rsidR="00D25D8E" w:rsidRDefault="00D25D8E" w:rsidP="00DA09CD">
            <w:pPr>
              <w:pStyle w:val="InstructionsText"/>
              <w:rPr>
                <w:rStyle w:val="FormatvorlageInstructionsTabelleText"/>
                <w:rFonts w:ascii="Times New Roman" w:hAnsi="Times New Roman"/>
                <w:sz w:val="24"/>
              </w:rPr>
            </w:pPr>
            <w:r w:rsidRPr="037E7803">
              <w:rPr>
                <w:rStyle w:val="FormatvorlageInstructionsTabelleText"/>
                <w:rFonts w:ascii="Times New Roman" w:hAnsi="Times New Roman"/>
                <w:sz w:val="24"/>
              </w:rPr>
              <w:t>See CR IRB template</w:t>
            </w:r>
          </w:p>
        </w:tc>
      </w:tr>
      <w:tr w:rsidR="00D25D8E" w14:paraId="6797AE0B" w14:textId="77777777" w:rsidTr="5542AEBF">
        <w:trPr>
          <w:trHeight w:val="300"/>
        </w:trPr>
        <w:tc>
          <w:tcPr>
            <w:tcW w:w="1591" w:type="dxa"/>
          </w:tcPr>
          <w:p w14:paraId="1487CDBE" w14:textId="68995886" w:rsidR="00D25D8E" w:rsidRDefault="00D25D8E" w:rsidP="00B055FF">
            <w:pPr>
              <w:pStyle w:val="InstructionsText"/>
              <w:rPr>
                <w:rStyle w:val="FormatvorlageInstructionsTabelleText"/>
                <w:rFonts w:ascii="Times New Roman" w:hAnsi="Times New Roman"/>
                <w:sz w:val="24"/>
                <w:lang w:eastAsia="en-US"/>
              </w:rPr>
            </w:pPr>
            <w:r w:rsidRPr="5542AEBF">
              <w:rPr>
                <w:rStyle w:val="FormatvorlageInstructionsTabelleText"/>
                <w:rFonts w:ascii="Times New Roman" w:hAnsi="Times New Roman"/>
                <w:sz w:val="24"/>
              </w:rPr>
              <w:t>0326</w:t>
            </w:r>
          </w:p>
        </w:tc>
        <w:tc>
          <w:tcPr>
            <w:tcW w:w="7274" w:type="dxa"/>
          </w:tcPr>
          <w:p w14:paraId="7526E933" w14:textId="3BEB020A" w:rsidR="00D25D8E" w:rsidRDefault="00D25D8E" w:rsidP="00DA09CD">
            <w:pPr>
              <w:pStyle w:val="InstructionsText"/>
              <w:rPr>
                <w:rStyle w:val="InstructionsTabelleberschrift"/>
                <w:rFonts w:ascii="Times New Roman" w:hAnsi="Times New Roman"/>
                <w:sz w:val="24"/>
              </w:rPr>
            </w:pPr>
            <w:r w:rsidRPr="74E6CE57">
              <w:rPr>
                <w:rStyle w:val="InstructionsTabelleberschrift"/>
                <w:rFonts w:ascii="Times New Roman" w:hAnsi="Times New Roman"/>
                <w:sz w:val="24"/>
              </w:rPr>
              <w:t>1.1.2.2.01b</w:t>
            </w:r>
            <w:r>
              <w:tab/>
            </w:r>
            <w:r w:rsidRPr="74E6CE57">
              <w:rPr>
                <w:rStyle w:val="InstructionsTabelleberschrift"/>
                <w:rFonts w:ascii="Times New Roman" w:hAnsi="Times New Roman"/>
                <w:sz w:val="24"/>
              </w:rPr>
              <w:t>Public sector entities</w:t>
            </w:r>
          </w:p>
          <w:p w14:paraId="49657B61" w14:textId="7E55A731" w:rsidR="00D25D8E" w:rsidRDefault="00D25D8E" w:rsidP="00DA09CD">
            <w:pPr>
              <w:pStyle w:val="InstructionsText"/>
              <w:rPr>
                <w:rStyle w:val="FormatvorlageInstructionsTabelleText"/>
                <w:rFonts w:ascii="Times New Roman" w:hAnsi="Times New Roman"/>
                <w:sz w:val="24"/>
              </w:rPr>
            </w:pPr>
            <w:r w:rsidRPr="74E6CE57">
              <w:rPr>
                <w:rStyle w:val="FormatvorlageInstructionsTabelleText"/>
                <w:rFonts w:ascii="Times New Roman" w:hAnsi="Times New Roman"/>
                <w:sz w:val="24"/>
              </w:rPr>
              <w:t>See CR IRB template</w:t>
            </w:r>
          </w:p>
        </w:tc>
      </w:tr>
      <w:tr w:rsidR="00D25D8E" w:rsidRPr="002A677E" w14:paraId="3ADC2008" w14:textId="77777777" w:rsidTr="00672D2A">
        <w:tc>
          <w:tcPr>
            <w:tcW w:w="1591" w:type="dxa"/>
          </w:tcPr>
          <w:p w14:paraId="2439ED95"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274" w:type="dxa"/>
          </w:tcPr>
          <w:p w14:paraId="5D5C25C6"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3322030F"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7025E5A9" w14:textId="77777777" w:rsidTr="4EF61534">
        <w:trPr>
          <w:trHeight w:val="300"/>
        </w:trPr>
        <w:tc>
          <w:tcPr>
            <w:tcW w:w="1591" w:type="dxa"/>
          </w:tcPr>
          <w:p w14:paraId="167B9D6E" w14:textId="68872D9E" w:rsidR="00D25D8E" w:rsidRDefault="00D25D8E" w:rsidP="00B055FF">
            <w:pPr>
              <w:pStyle w:val="InstructionsText"/>
              <w:rPr>
                <w:rStyle w:val="FormatvorlageInstructionsTabelleText"/>
                <w:rFonts w:ascii="Times New Roman" w:hAnsi="Times New Roman"/>
                <w:sz w:val="24"/>
                <w:lang w:eastAsia="en-US"/>
              </w:rPr>
            </w:pPr>
            <w:r w:rsidRPr="4EF61534">
              <w:rPr>
                <w:rStyle w:val="FormatvorlageInstructionsTabelleText"/>
                <w:rFonts w:ascii="Times New Roman" w:hAnsi="Times New Roman"/>
                <w:sz w:val="24"/>
              </w:rPr>
              <w:t>0355</w:t>
            </w:r>
          </w:p>
        </w:tc>
        <w:tc>
          <w:tcPr>
            <w:tcW w:w="7274" w:type="dxa"/>
          </w:tcPr>
          <w:p w14:paraId="3E29B6B1" w14:textId="7FCCF8E9" w:rsidR="00D25D8E" w:rsidRDefault="00D25D8E" w:rsidP="00DA09CD">
            <w:pPr>
              <w:pStyle w:val="InstructionsText"/>
              <w:rPr>
                <w:rStyle w:val="InstructionsTabelleberschrift"/>
                <w:rFonts w:ascii="Times New Roman" w:hAnsi="Times New Roman"/>
                <w:sz w:val="24"/>
              </w:rPr>
            </w:pPr>
            <w:r w:rsidRPr="4EF61534">
              <w:rPr>
                <w:rStyle w:val="InstructionsTabelleberschrift"/>
                <w:rFonts w:ascii="Times New Roman" w:hAnsi="Times New Roman"/>
                <w:sz w:val="24"/>
              </w:rPr>
              <w:t>1.1.2.2.04a</w:t>
            </w:r>
            <w:r>
              <w:tab/>
            </w:r>
            <w:r w:rsidRPr="4EF61534">
              <w:rPr>
                <w:rStyle w:val="InstructionsTabelleberschrift"/>
                <w:rFonts w:ascii="Times New Roman" w:hAnsi="Times New Roman"/>
                <w:sz w:val="24"/>
              </w:rPr>
              <w:t>Corporates – Purchased receivables</w:t>
            </w:r>
          </w:p>
          <w:p w14:paraId="60C94FE4" w14:textId="1EE237CF" w:rsidR="00D25D8E" w:rsidRDefault="00D25D8E" w:rsidP="00D25D8E">
            <w:pPr>
              <w:rPr>
                <w:rStyle w:val="FormatvorlageInstructionsTabelleText"/>
                <w:rFonts w:ascii="Times New Roman" w:hAnsi="Times New Roman"/>
                <w:sz w:val="24"/>
              </w:rPr>
            </w:pPr>
            <w:r w:rsidRPr="4EF61534">
              <w:rPr>
                <w:rStyle w:val="FormatvorlageInstructionsTabelleText"/>
                <w:rFonts w:ascii="Times New Roman" w:hAnsi="Times New Roman"/>
                <w:sz w:val="24"/>
              </w:rPr>
              <w:lastRenderedPageBreak/>
              <w:t>See CR IRB template</w:t>
            </w:r>
          </w:p>
        </w:tc>
      </w:tr>
      <w:tr w:rsidR="7C2DAE58" w14:paraId="69E4E21D" w14:textId="77777777" w:rsidTr="150BC3B5">
        <w:trPr>
          <w:trHeight w:val="300"/>
        </w:trPr>
        <w:tc>
          <w:tcPr>
            <w:tcW w:w="1591" w:type="dxa"/>
          </w:tcPr>
          <w:p w14:paraId="0C8436D2" w14:textId="77777777" w:rsidR="150BC3B5" w:rsidRPr="150BC3B5" w:rsidRDefault="150BC3B5" w:rsidP="00B055FF">
            <w:pPr>
              <w:pStyle w:val="InstructionsText"/>
              <w:rPr>
                <w:rStyle w:val="FormatvorlageInstructionsTabelleText"/>
                <w:rFonts w:ascii="Times New Roman" w:hAnsi="Times New Roman"/>
                <w:sz w:val="24"/>
                <w:lang w:eastAsia="en-US"/>
              </w:rPr>
            </w:pPr>
            <w:r w:rsidRPr="150BC3B5">
              <w:rPr>
                <w:rStyle w:val="FormatvorlageInstructionsTabelleText"/>
                <w:rFonts w:ascii="Times New Roman" w:hAnsi="Times New Roman"/>
                <w:sz w:val="24"/>
              </w:rPr>
              <w:lastRenderedPageBreak/>
              <w:t>0340</w:t>
            </w:r>
          </w:p>
        </w:tc>
        <w:tc>
          <w:tcPr>
            <w:tcW w:w="7274" w:type="dxa"/>
          </w:tcPr>
          <w:p w14:paraId="39F07623" w14:textId="77777777" w:rsidR="150BC3B5" w:rsidRDefault="150BC3B5" w:rsidP="00DA09CD">
            <w:pPr>
              <w:pStyle w:val="InstructionsText"/>
              <w:rPr>
                <w:rStyle w:val="InstructionsTabelleberschrift"/>
                <w:rFonts w:ascii="Times New Roman" w:hAnsi="Times New Roman"/>
                <w:sz w:val="24"/>
                <w:lang w:eastAsia="en-US"/>
              </w:rPr>
            </w:pPr>
            <w:r w:rsidRPr="150BC3B5">
              <w:rPr>
                <w:rStyle w:val="InstructionsTabelleberschrift"/>
                <w:rFonts w:ascii="Times New Roman" w:hAnsi="Times New Roman"/>
                <w:sz w:val="24"/>
              </w:rPr>
              <w:t>1.1.2.2.03</w:t>
            </w:r>
            <w:r>
              <w:tab/>
            </w:r>
            <w:r w:rsidRPr="150BC3B5">
              <w:rPr>
                <w:rStyle w:val="InstructionsTabelleberschrift"/>
                <w:rFonts w:ascii="Times New Roman" w:hAnsi="Times New Roman"/>
                <w:sz w:val="24"/>
              </w:rPr>
              <w:t>Corporates - SME</w:t>
            </w:r>
          </w:p>
          <w:p w14:paraId="2B3EADD8" w14:textId="77777777" w:rsidR="150BC3B5" w:rsidRPr="150BC3B5" w:rsidRDefault="150BC3B5" w:rsidP="00DA09CD">
            <w:pPr>
              <w:pStyle w:val="InstructionsText"/>
              <w:rPr>
                <w:rStyle w:val="InstructionsTabelleberschrift"/>
                <w:rFonts w:ascii="Times New Roman" w:hAnsi="Times New Roman"/>
                <w:sz w:val="24"/>
              </w:rPr>
            </w:pPr>
            <w:r w:rsidRPr="150BC3B5">
              <w:rPr>
                <w:rStyle w:val="FormatvorlageInstructionsTabelleText"/>
                <w:rFonts w:ascii="Times New Roman" w:hAnsi="Times New Roman"/>
                <w:sz w:val="24"/>
              </w:rPr>
              <w:t>See CR IRB template</w:t>
            </w:r>
          </w:p>
        </w:tc>
      </w:tr>
      <w:tr w:rsidR="00D25D8E" w:rsidRPr="002A677E" w14:paraId="456EF20A" w14:textId="77777777" w:rsidTr="00672D2A">
        <w:tc>
          <w:tcPr>
            <w:tcW w:w="1591" w:type="dxa"/>
          </w:tcPr>
          <w:p w14:paraId="29C5949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274" w:type="dxa"/>
          </w:tcPr>
          <w:p w14:paraId="1BE356B4"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7B82010B"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5AD7693D" w14:textId="77777777" w:rsidTr="00672D2A">
        <w:tc>
          <w:tcPr>
            <w:tcW w:w="1591" w:type="dxa"/>
          </w:tcPr>
          <w:p w14:paraId="4C484AF7" w14:textId="6DE3D281" w:rsidR="00D25D8E" w:rsidRPr="001235ED" w:rsidRDefault="00D25D8E" w:rsidP="00B055FF">
            <w:pPr>
              <w:pStyle w:val="InstructionsText"/>
              <w:rPr>
                <w:rStyle w:val="FormatvorlageInstructionsTabelleText"/>
                <w:rFonts w:ascii="Times New Roman" w:hAnsi="Times New Roman"/>
                <w:sz w:val="24"/>
                <w:lang w:eastAsia="en-US"/>
              </w:rPr>
            </w:pPr>
            <w:r w:rsidRPr="1D13131D">
              <w:rPr>
                <w:rStyle w:val="FormatvorlageInstructionsTabelleText"/>
                <w:rFonts w:ascii="Times New Roman" w:hAnsi="Times New Roman"/>
                <w:sz w:val="24"/>
              </w:rPr>
              <w:t>0371</w:t>
            </w:r>
          </w:p>
        </w:tc>
        <w:tc>
          <w:tcPr>
            <w:tcW w:w="7274" w:type="dxa"/>
          </w:tcPr>
          <w:p w14:paraId="0C70BDB3" w14:textId="6975EB02"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tab/>
            </w:r>
            <w:r w:rsidRPr="002A677E">
              <w:rPr>
                <w:rStyle w:val="InstructionsTabelleberschrift"/>
                <w:rFonts w:ascii="Times New Roman" w:hAnsi="Times New Roman"/>
                <w:sz w:val="24"/>
              </w:rPr>
              <w:t xml:space="preserve">Retail – </w:t>
            </w:r>
            <w:r w:rsidRPr="089744BC">
              <w:rPr>
                <w:rStyle w:val="InstructionsTabelleberschrift"/>
                <w:rFonts w:ascii="Times New Roman" w:hAnsi="Times New Roman"/>
                <w:sz w:val="24"/>
              </w:rPr>
              <w:t>Scured</w:t>
            </w:r>
            <w:r w:rsidRPr="002A677E">
              <w:rPr>
                <w:rStyle w:val="InstructionsTabelleberschrift"/>
                <w:rFonts w:ascii="Times New Roman" w:hAnsi="Times New Roman"/>
                <w:sz w:val="24"/>
              </w:rPr>
              <w:t xml:space="preserve"> by </w:t>
            </w:r>
            <w:r w:rsidRPr="4FD33F80">
              <w:rPr>
                <w:rStyle w:val="InstructionsTabelleberschrift"/>
                <w:rFonts w:ascii="Times New Roman" w:hAnsi="Times New Roman"/>
                <w:sz w:val="24"/>
              </w:rPr>
              <w:t xml:space="preserve">residential </w:t>
            </w:r>
            <w:r w:rsidRPr="002A677E">
              <w:rPr>
                <w:rStyle w:val="InstructionsTabelleberschrift"/>
                <w:rFonts w:ascii="Times New Roman" w:hAnsi="Times New Roman"/>
                <w:sz w:val="24"/>
              </w:rPr>
              <w:t>real estate SME</w:t>
            </w:r>
          </w:p>
          <w:p w14:paraId="5C2A38F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584F99B7" w14:textId="77777777" w:rsidTr="00672D2A">
        <w:tc>
          <w:tcPr>
            <w:tcW w:w="1591" w:type="dxa"/>
          </w:tcPr>
          <w:p w14:paraId="14ED3463" w14:textId="6BC59A9E" w:rsidR="00D25D8E" w:rsidRPr="001235ED" w:rsidRDefault="00D25D8E" w:rsidP="00B055FF">
            <w:pPr>
              <w:pStyle w:val="InstructionsText"/>
              <w:rPr>
                <w:rStyle w:val="FormatvorlageInstructionsTabelleText"/>
                <w:rFonts w:ascii="Times New Roman" w:hAnsi="Times New Roman"/>
                <w:sz w:val="24"/>
                <w:lang w:eastAsia="en-US"/>
              </w:rPr>
            </w:pPr>
            <w:r w:rsidRPr="089744BC">
              <w:rPr>
                <w:rStyle w:val="FormatvorlageInstructionsTabelleText"/>
                <w:rFonts w:ascii="Times New Roman" w:hAnsi="Times New Roman"/>
                <w:sz w:val="24"/>
              </w:rPr>
              <w:t>0381</w:t>
            </w:r>
          </w:p>
        </w:tc>
        <w:tc>
          <w:tcPr>
            <w:tcW w:w="7274" w:type="dxa"/>
          </w:tcPr>
          <w:p w14:paraId="6AFF6AAA" w14:textId="16C99903"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1.1.2.2.07</w:t>
            </w:r>
            <w:r>
              <w:tab/>
            </w:r>
            <w:r w:rsidRPr="002A677E">
              <w:rPr>
                <w:rStyle w:val="InstructionsTabelleberschrift"/>
                <w:rFonts w:ascii="Times New Roman" w:hAnsi="Times New Roman"/>
                <w:sz w:val="24"/>
              </w:rPr>
              <w:t xml:space="preserve">Retail – </w:t>
            </w:r>
            <w:r w:rsidRPr="4FD33F80">
              <w:rPr>
                <w:rStyle w:val="InstructionsTabelleberschrift"/>
                <w:rFonts w:ascii="Times New Roman" w:hAnsi="Times New Roman"/>
                <w:sz w:val="24"/>
              </w:rPr>
              <w:t>Secured</w:t>
            </w:r>
            <w:r w:rsidRPr="002A677E">
              <w:rPr>
                <w:rStyle w:val="InstructionsTabelleberschrift"/>
                <w:rFonts w:ascii="Times New Roman" w:hAnsi="Times New Roman"/>
                <w:sz w:val="24"/>
              </w:rPr>
              <w:t xml:space="preserve"> by </w:t>
            </w:r>
            <w:r w:rsidRPr="4FD33F80">
              <w:rPr>
                <w:rStyle w:val="InstructionsTabelleberschrift"/>
                <w:rFonts w:ascii="Times New Roman" w:hAnsi="Times New Roman"/>
                <w:sz w:val="24"/>
              </w:rPr>
              <w:t xml:space="preserve">residential </w:t>
            </w:r>
            <w:r w:rsidRPr="002A677E">
              <w:rPr>
                <w:rStyle w:val="InstructionsTabelleberschrift"/>
                <w:rFonts w:ascii="Times New Roman" w:hAnsi="Times New Roman"/>
                <w:sz w:val="24"/>
              </w:rPr>
              <w:t>real estate non-SME</w:t>
            </w:r>
          </w:p>
          <w:p w14:paraId="63ABFE8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4C06A566" w14:textId="77777777" w:rsidTr="00672D2A">
        <w:tc>
          <w:tcPr>
            <w:tcW w:w="1591" w:type="dxa"/>
          </w:tcPr>
          <w:p w14:paraId="00C8EF2E"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274" w:type="dxa"/>
          </w:tcPr>
          <w:p w14:paraId="378C6831"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2085E74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6000AB2B" w14:textId="77777777" w:rsidTr="0702C96E">
        <w:trPr>
          <w:trHeight w:val="300"/>
        </w:trPr>
        <w:tc>
          <w:tcPr>
            <w:tcW w:w="1591" w:type="dxa"/>
          </w:tcPr>
          <w:p w14:paraId="62C15E34" w14:textId="64546B4F" w:rsidR="00D25D8E" w:rsidRDefault="00D25D8E" w:rsidP="00B055FF">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0395</w:t>
            </w:r>
          </w:p>
        </w:tc>
        <w:tc>
          <w:tcPr>
            <w:tcW w:w="7274" w:type="dxa"/>
          </w:tcPr>
          <w:p w14:paraId="638FF3CB" w14:textId="3112DEA2" w:rsidR="00D25D8E" w:rsidRDefault="00D25D8E" w:rsidP="00DA09C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1.1.2.2.08a</w:t>
            </w:r>
            <w:r>
              <w:tab/>
            </w:r>
            <w:r w:rsidRPr="0702C96E">
              <w:rPr>
                <w:rStyle w:val="InstructionsTabelleberschrift"/>
                <w:rFonts w:ascii="Times New Roman" w:hAnsi="Times New Roman"/>
                <w:sz w:val="24"/>
              </w:rPr>
              <w:t>Retail – Purchased receivables</w:t>
            </w:r>
          </w:p>
          <w:p w14:paraId="02E0E72B" w14:textId="26A8B285" w:rsidR="00D25D8E" w:rsidRDefault="00D25D8E" w:rsidP="00D25D8E">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D25D8E" w:rsidRPr="002A677E" w14:paraId="5A733136" w14:textId="77777777" w:rsidTr="00672D2A">
        <w:tc>
          <w:tcPr>
            <w:tcW w:w="1591" w:type="dxa"/>
          </w:tcPr>
          <w:p w14:paraId="360417A4"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0400</w:t>
            </w:r>
          </w:p>
        </w:tc>
        <w:tc>
          <w:tcPr>
            <w:tcW w:w="7274" w:type="dxa"/>
          </w:tcPr>
          <w:p w14:paraId="560BC365"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 SME</w:t>
            </w:r>
          </w:p>
          <w:p w14:paraId="1C53EB3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565A9338" w14:textId="77777777" w:rsidTr="0702C96E">
        <w:trPr>
          <w:trHeight w:val="300"/>
        </w:trPr>
        <w:tc>
          <w:tcPr>
            <w:tcW w:w="1591" w:type="dxa"/>
          </w:tcPr>
          <w:p w14:paraId="1A9CFB6D" w14:textId="2B88A564" w:rsidR="00D25D8E" w:rsidRDefault="00D25D8E" w:rsidP="00B055FF">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0405</w:t>
            </w:r>
          </w:p>
        </w:tc>
        <w:tc>
          <w:tcPr>
            <w:tcW w:w="7274" w:type="dxa"/>
          </w:tcPr>
          <w:p w14:paraId="449AF0CC" w14:textId="3AF94095" w:rsidR="00D25D8E" w:rsidRDefault="00D25D8E" w:rsidP="00DA09C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 xml:space="preserve">1.1.2.2.09.01 </w:t>
            </w:r>
            <w:r>
              <w:tab/>
            </w:r>
            <w:r w:rsidRPr="0702C96E">
              <w:rPr>
                <w:rStyle w:val="InstructionsTabelleberschrift"/>
                <w:rFonts w:ascii="Times New Roman" w:hAnsi="Times New Roman"/>
                <w:sz w:val="24"/>
              </w:rPr>
              <w:t xml:space="preserve">   Of which: secured by commercial real estate</w:t>
            </w:r>
          </w:p>
          <w:p w14:paraId="56D1F51A" w14:textId="11C95B8E" w:rsidR="00D25D8E" w:rsidRDefault="00D25D8E" w:rsidP="00D25D8E">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D25D8E" w:rsidRPr="002A677E" w14:paraId="52F94058" w14:textId="77777777" w:rsidTr="00672D2A">
        <w:tc>
          <w:tcPr>
            <w:tcW w:w="1591" w:type="dxa"/>
          </w:tcPr>
          <w:p w14:paraId="1033C01C"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0410</w:t>
            </w:r>
          </w:p>
        </w:tc>
        <w:tc>
          <w:tcPr>
            <w:tcW w:w="7274" w:type="dxa"/>
          </w:tcPr>
          <w:p w14:paraId="2C5D9D55"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1.1.2.2.10</w:t>
            </w:r>
            <w:r w:rsidRPr="002A677E">
              <w:rPr>
                <w:rStyle w:val="InstructionsTabelleberschrift"/>
                <w:rFonts w:ascii="Times New Roman" w:hAnsi="Times New Roman"/>
                <w:sz w:val="24"/>
              </w:rPr>
              <w:tab/>
              <w:t>Retail – Other non-SME</w:t>
            </w:r>
          </w:p>
          <w:p w14:paraId="1E69915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6A5B1ED1" w14:textId="77777777" w:rsidTr="0702C96E">
        <w:trPr>
          <w:trHeight w:val="300"/>
        </w:trPr>
        <w:tc>
          <w:tcPr>
            <w:tcW w:w="1591" w:type="dxa"/>
          </w:tcPr>
          <w:p w14:paraId="4D70080D" w14:textId="27B7D9EB" w:rsidR="00D25D8E" w:rsidRDefault="00D25D8E" w:rsidP="00B055FF">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0415</w:t>
            </w:r>
          </w:p>
        </w:tc>
        <w:tc>
          <w:tcPr>
            <w:tcW w:w="7274" w:type="dxa"/>
          </w:tcPr>
          <w:p w14:paraId="03D78109" w14:textId="26DA35F1" w:rsidR="00D25D8E" w:rsidRDefault="00D25D8E" w:rsidP="00DA09C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 xml:space="preserve">1.1.2.2.10.01 </w:t>
            </w:r>
            <w:r>
              <w:tab/>
            </w:r>
            <w:r w:rsidRPr="0702C96E">
              <w:rPr>
                <w:rStyle w:val="InstructionsTabelleberschrift"/>
                <w:rFonts w:ascii="Times New Roman" w:hAnsi="Times New Roman"/>
                <w:sz w:val="24"/>
              </w:rPr>
              <w:t xml:space="preserve">   Of which: secured by commercial real estate</w:t>
            </w:r>
          </w:p>
          <w:p w14:paraId="4E74682D" w14:textId="1CD55F40" w:rsidR="00D25D8E" w:rsidRDefault="00D25D8E" w:rsidP="00D25D8E">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D25D8E" w:rsidRPr="002A677E" w14:paraId="10CDC451" w14:textId="77777777" w:rsidTr="00672D2A">
        <w:tc>
          <w:tcPr>
            <w:tcW w:w="1591" w:type="dxa"/>
          </w:tcPr>
          <w:p w14:paraId="3F266156"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274" w:type="dxa"/>
          </w:tcPr>
          <w:p w14:paraId="3E70F343"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0E313513"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D25D8E" w14:paraId="56255B8E" w14:textId="77777777" w:rsidTr="0702C96E">
        <w:trPr>
          <w:trHeight w:val="300"/>
        </w:trPr>
        <w:tc>
          <w:tcPr>
            <w:tcW w:w="1591" w:type="dxa"/>
          </w:tcPr>
          <w:p w14:paraId="61DDDA4A" w14:textId="2DEF96AA" w:rsidR="00D25D8E" w:rsidRDefault="00D25D8E" w:rsidP="00B055FF">
            <w:pPr>
              <w:pStyle w:val="InstructionsText"/>
              <w:rPr>
                <w:rStyle w:val="FormatvorlageInstructionsTabelleText"/>
                <w:rFonts w:ascii="Times New Roman" w:hAnsi="Times New Roman"/>
                <w:sz w:val="24"/>
                <w:lang w:eastAsia="en-US"/>
              </w:rPr>
            </w:pPr>
            <w:r w:rsidRPr="0702C96E">
              <w:rPr>
                <w:rStyle w:val="FormatvorlageInstructionsTabelleText"/>
                <w:rFonts w:ascii="Times New Roman" w:hAnsi="Times New Roman"/>
                <w:sz w:val="24"/>
              </w:rPr>
              <w:t>0425</w:t>
            </w:r>
          </w:p>
        </w:tc>
        <w:tc>
          <w:tcPr>
            <w:tcW w:w="7274" w:type="dxa"/>
          </w:tcPr>
          <w:p w14:paraId="167F563A" w14:textId="2AA57654" w:rsidR="00D25D8E" w:rsidRDefault="00D25D8E" w:rsidP="00DA09CD">
            <w:pPr>
              <w:pStyle w:val="InstructionsText"/>
              <w:rPr>
                <w:rStyle w:val="InstructionsTabelleberschrift"/>
                <w:rFonts w:ascii="Times New Roman" w:hAnsi="Times New Roman"/>
                <w:sz w:val="24"/>
              </w:rPr>
            </w:pPr>
            <w:r w:rsidRPr="0702C96E">
              <w:rPr>
                <w:rStyle w:val="InstructionsTabelleberschrift"/>
                <w:rFonts w:ascii="Times New Roman" w:hAnsi="Times New Roman"/>
                <w:sz w:val="24"/>
              </w:rPr>
              <w:t>1.1.2.4 Collective investments undertakings (CIU)</w:t>
            </w:r>
          </w:p>
          <w:p w14:paraId="74722889" w14:textId="5F3B5DE9" w:rsidR="00D25D8E" w:rsidRDefault="00D25D8E" w:rsidP="00D25D8E">
            <w:pPr>
              <w:rPr>
                <w:rStyle w:val="FormatvorlageInstructionsTabelleText"/>
                <w:rFonts w:ascii="Times New Roman" w:hAnsi="Times New Roman"/>
                <w:sz w:val="24"/>
              </w:rPr>
            </w:pPr>
            <w:r w:rsidRPr="0702C96E">
              <w:rPr>
                <w:rStyle w:val="FormatvorlageInstructionsTabelleText"/>
                <w:rFonts w:ascii="Times New Roman" w:hAnsi="Times New Roman"/>
                <w:sz w:val="24"/>
              </w:rPr>
              <w:t>See CR IRB template</w:t>
            </w:r>
          </w:p>
        </w:tc>
      </w:tr>
      <w:tr w:rsidR="00D25D8E" w:rsidRPr="002A677E" w14:paraId="78953650" w14:textId="77777777" w:rsidTr="00672D2A">
        <w:tc>
          <w:tcPr>
            <w:tcW w:w="1591" w:type="dxa"/>
          </w:tcPr>
          <w:p w14:paraId="40F1038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274" w:type="dxa"/>
          </w:tcPr>
          <w:p w14:paraId="79225E43"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36871DF6" w14:textId="4D93D31A"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in accordance with Article 156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D25D8E" w:rsidRPr="002A677E" w14:paraId="1F098548" w14:textId="77777777" w:rsidTr="00672D2A">
        <w:tc>
          <w:tcPr>
            <w:tcW w:w="1591" w:type="dxa"/>
          </w:tcPr>
          <w:p w14:paraId="36C495C8" w14:textId="35E1B3F2"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0455</w:t>
            </w:r>
          </w:p>
        </w:tc>
        <w:tc>
          <w:tcPr>
            <w:tcW w:w="7274" w:type="dxa"/>
          </w:tcPr>
          <w:p w14:paraId="032E1BBE" w14:textId="521F78C0"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2EB2DE5E" w14:textId="4EBE54AB" w:rsidR="00D25D8E" w:rsidRPr="002A677E" w:rsidRDefault="00D25D8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Pr="001235ED">
              <w:rPr>
                <w:lang w:val="en-US"/>
              </w:rPr>
              <w:t>of that Regulation</w:t>
            </w:r>
            <w:r w:rsidRPr="002A677E">
              <w:rPr>
                <w:rStyle w:val="FormatvorlageInstructionsTabelleText"/>
                <w:rFonts w:ascii="Times New Roman" w:hAnsi="Times New Roman"/>
                <w:sz w:val="24"/>
              </w:rPr>
              <w:t>.</w:t>
            </w:r>
          </w:p>
        </w:tc>
      </w:tr>
      <w:tr w:rsidR="00D25D8E" w:rsidRPr="002A677E" w14:paraId="29C0D40B" w14:textId="77777777" w:rsidTr="00672D2A">
        <w:tc>
          <w:tcPr>
            <w:tcW w:w="1591" w:type="dxa"/>
          </w:tcPr>
          <w:p w14:paraId="0F519400"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0460</w:t>
            </w:r>
          </w:p>
        </w:tc>
        <w:tc>
          <w:tcPr>
            <w:tcW w:w="7274" w:type="dxa"/>
          </w:tcPr>
          <w:p w14:paraId="47A77E12"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7F9C499C" w14:textId="52B3FC8E"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 308 and 309 of Regulation (EU) No 575/2013</w:t>
            </w:r>
          </w:p>
        </w:tc>
      </w:tr>
      <w:tr w:rsidR="00D25D8E" w:rsidRPr="002A677E" w14:paraId="591130F4" w14:textId="77777777" w:rsidTr="00672D2A">
        <w:tc>
          <w:tcPr>
            <w:tcW w:w="1591" w:type="dxa"/>
          </w:tcPr>
          <w:p w14:paraId="659372E6"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274" w:type="dxa"/>
          </w:tcPr>
          <w:p w14:paraId="64ABD7A4" w14:textId="028D2BF6"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b/>
              <w:t>Securitisation positions</w:t>
            </w:r>
          </w:p>
          <w:p w14:paraId="2F7C929C" w14:textId="77777777" w:rsidR="00D25D8E" w:rsidRPr="002A677E" w:rsidRDefault="00D25D8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D25D8E" w:rsidRPr="002A677E" w14:paraId="21E25F57" w14:textId="77777777" w:rsidTr="00672D2A">
        <w:tc>
          <w:tcPr>
            <w:tcW w:w="1591" w:type="dxa"/>
          </w:tcPr>
          <w:p w14:paraId="038FE905"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274" w:type="dxa"/>
          </w:tcPr>
          <w:p w14:paraId="42EB1944" w14:textId="77777777" w:rsidR="00D25D8E" w:rsidRPr="002A677E" w:rsidRDefault="00D25D8E" w:rsidP="00B055FF">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5035253C" w14:textId="42AC0848" w:rsidR="00D25D8E" w:rsidRPr="001235ED" w:rsidRDefault="00D25D8E" w:rsidP="00D25D8E">
            <w:pPr>
              <w:rPr>
                <w:rStyle w:val="FormatvorlageInstructionsTabelleText"/>
                <w:rFonts w:ascii="Times New Roman" w:hAnsi="Times New Roman"/>
                <w:sz w:val="24"/>
              </w:rPr>
            </w:pPr>
            <w:r w:rsidRPr="002A677E" w:rsidDel="00151BD7">
              <w:rPr>
                <w:rStyle w:val="FormatvorlageInstructionsTabelleText"/>
                <w:rFonts w:ascii="Times New Roman" w:hAnsi="Times New Roman"/>
                <w:sz w:val="24"/>
              </w:rPr>
              <w:t>Article 92(3)</w:t>
            </w:r>
            <w:r w:rsidRPr="004F5CE0" w:rsidDel="004F5CE0">
              <w:rPr>
                <w:rStyle w:val="FormatvorlageInstructionsTabelleText"/>
                <w:rFonts w:ascii="Times New Roman" w:hAnsi="Times New Roman"/>
                <w:sz w:val="24"/>
              </w:rPr>
              <w:t xml:space="preserve">, 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xml:space="preserve">, </w:t>
            </w:r>
            <w:r w:rsidRPr="00151BD7">
              <w:rPr>
                <w:rStyle w:val="FormatvorlageInstructionsTabelleText"/>
                <w:rFonts w:ascii="Times New Roman" w:hAnsi="Times New Roman"/>
                <w:sz w:val="24"/>
              </w:rPr>
              <w:t>point (</w:t>
            </w:r>
            <w:r w:rsidR="004F5CE0" w:rsidRPr="00151BD7">
              <w:rPr>
                <w:rStyle w:val="FormatvorlageInstructionsTabelleText"/>
                <w:rFonts w:ascii="Times New Roman" w:hAnsi="Times New Roman"/>
                <w:sz w:val="24"/>
              </w:rPr>
              <w:t>c</w:t>
            </w:r>
            <w:r w:rsidR="004F5CE0" w:rsidRPr="000059B8">
              <w:rPr>
                <w:rStyle w:val="FormatvorlageInstructionsTabelleText"/>
                <w:rFonts w:ascii="Times New Roman" w:hAnsi="Times New Roman"/>
                <w:sz w:val="24"/>
              </w:rPr>
              <w:t>a</w:t>
            </w:r>
            <w:r w:rsidRPr="00151BD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tc>
      </w:tr>
      <w:tr w:rsidR="00D25D8E" w:rsidRPr="002A677E" w14:paraId="5B8A1994" w14:textId="77777777" w:rsidTr="00672D2A">
        <w:tc>
          <w:tcPr>
            <w:tcW w:w="1591" w:type="dxa"/>
          </w:tcPr>
          <w:p w14:paraId="04705FB4"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274" w:type="dxa"/>
          </w:tcPr>
          <w:p w14:paraId="661440B9"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3203EC3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D25D8E" w:rsidRPr="002A677E" w14:paraId="7E42F7AD" w14:textId="77777777" w:rsidTr="00672D2A">
        <w:tc>
          <w:tcPr>
            <w:tcW w:w="1591" w:type="dxa"/>
          </w:tcPr>
          <w:p w14:paraId="5C04188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274" w:type="dxa"/>
          </w:tcPr>
          <w:p w14:paraId="242EFEF7"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39F81B7A"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D25D8E" w:rsidRPr="002A677E" w14:paraId="64924B29" w14:textId="77777777" w:rsidTr="00672D2A">
        <w:tc>
          <w:tcPr>
            <w:tcW w:w="1591" w:type="dxa"/>
          </w:tcPr>
          <w:p w14:paraId="6A249850"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274" w:type="dxa"/>
          </w:tcPr>
          <w:p w14:paraId="18F427A1" w14:textId="5CC681A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w:t>
            </w:r>
            <w:r w:rsidR="00124F78">
              <w:rPr>
                <w:rStyle w:val="InstructionsTabelleberschrift"/>
                <w:rFonts w:ascii="Times New Roman" w:hAnsi="Times New Roman"/>
                <w:sz w:val="24"/>
              </w:rPr>
              <w:t>THE</w:t>
            </w:r>
            <w:r w:rsidRPr="002A677E">
              <w:rPr>
                <w:rStyle w:val="InstructionsTabelleberschrift"/>
                <w:rFonts w:ascii="Times New Roman" w:hAnsi="Times New Roman"/>
                <w:sz w:val="24"/>
              </w:rPr>
              <w:t xml:space="preserve"> </w:t>
            </w:r>
            <w:r w:rsidR="00D40429">
              <w:rPr>
                <w:rStyle w:val="InstructionsTabelleberschrift"/>
                <w:rFonts w:ascii="Times New Roman" w:hAnsi="Times New Roman"/>
                <w:sz w:val="24"/>
              </w:rPr>
              <w:t>BUSINESS SUBJECT TO MARKET RISK</w:t>
            </w:r>
          </w:p>
          <w:p w14:paraId="69A11AE9" w14:textId="23414ED6"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w:t>
            </w:r>
            <w:r w:rsidR="00D40429">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(b)(i)</w:t>
            </w:r>
            <w:r w:rsidR="00C00E1F">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C00E1F">
              <w:rPr>
                <w:rStyle w:val="FormatvorlageInstructionsTabelleText"/>
                <w:rFonts w:ascii="Times New Roman" w:hAnsi="Times New Roman"/>
                <w:sz w:val="24"/>
              </w:rPr>
              <w:t>(5), point</w:t>
            </w:r>
            <w:r w:rsidR="0063314F">
              <w:rPr>
                <w:rStyle w:val="FormatvorlageInstructionsTabelleText"/>
                <w:rFonts w:ascii="Times New Roman" w:hAnsi="Times New Roman"/>
                <w:sz w:val="24"/>
              </w:rPr>
              <w:t xml:space="preserve"> (b),</w:t>
            </w:r>
            <w:r w:rsidRPr="002A677E">
              <w:rPr>
                <w:rStyle w:val="FormatvorlageInstructionsTabelleText"/>
                <w:rFonts w:ascii="Times New Roman" w:hAnsi="Times New Roman"/>
                <w:sz w:val="24"/>
              </w:rPr>
              <w:t xml:space="preserve"> </w:t>
            </w:r>
            <w:r w:rsidR="0063314F">
              <w:rPr>
                <w:rStyle w:val="FormatvorlageInstructionsTabelleText"/>
                <w:rFonts w:ascii="Times New Roman" w:hAnsi="Times New Roman"/>
                <w:sz w:val="24"/>
              </w:rPr>
              <w:t>(7</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tc>
      </w:tr>
      <w:tr w:rsidR="00D25D8E" w:rsidRPr="002A677E" w14:paraId="4E13A3FC" w14:textId="77777777" w:rsidTr="00672D2A">
        <w:tc>
          <w:tcPr>
            <w:tcW w:w="1591" w:type="dxa"/>
          </w:tcPr>
          <w:p w14:paraId="5B5A6106"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274" w:type="dxa"/>
          </w:tcPr>
          <w:p w14:paraId="35490A0F" w14:textId="379DF791" w:rsidR="00D25D8E" w:rsidRPr="002A677E" w:rsidRDefault="00D25D8E"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w:t>
            </w:r>
            <w:r w:rsidR="00552C53" w:rsidRPr="00552C53">
              <w:rPr>
                <w:rStyle w:val="InstructionsTabelleberschrift"/>
                <w:rFonts w:ascii="Times New Roman" w:hAnsi="Times New Roman"/>
                <w:sz w:val="24"/>
              </w:rPr>
              <w:t>business subject to market risk calculated by entities exclusively applying the simplified standardised approach (SSA)</w:t>
            </w:r>
          </w:p>
        </w:tc>
      </w:tr>
      <w:tr w:rsidR="00D25D8E" w:rsidRPr="002A677E" w14:paraId="3FA5586E" w14:textId="77777777" w:rsidTr="00672D2A">
        <w:tc>
          <w:tcPr>
            <w:tcW w:w="1591" w:type="dxa"/>
          </w:tcPr>
          <w:p w14:paraId="6286DFC6"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274" w:type="dxa"/>
          </w:tcPr>
          <w:p w14:paraId="6B4397FA" w14:textId="67B5CCBE" w:rsidR="00D25D8E" w:rsidRPr="008F3052"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1B2A44FD" w14:textId="77777777"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D25D8E" w:rsidRPr="002A677E" w14:paraId="2EF9AA36" w14:textId="77777777" w:rsidTr="00672D2A">
        <w:tc>
          <w:tcPr>
            <w:tcW w:w="1591" w:type="dxa"/>
          </w:tcPr>
          <w:p w14:paraId="453E487B"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0550</w:t>
            </w:r>
          </w:p>
        </w:tc>
        <w:tc>
          <w:tcPr>
            <w:tcW w:w="7274" w:type="dxa"/>
          </w:tcPr>
          <w:p w14:paraId="016F6C55"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2A9B9D98"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D25D8E" w:rsidRPr="002A677E" w14:paraId="14C6BEE1" w14:textId="77777777" w:rsidTr="00672D2A">
        <w:tc>
          <w:tcPr>
            <w:tcW w:w="1591" w:type="dxa"/>
          </w:tcPr>
          <w:p w14:paraId="3B039E5D"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0555</w:t>
            </w:r>
          </w:p>
        </w:tc>
        <w:tc>
          <w:tcPr>
            <w:tcW w:w="7274" w:type="dxa"/>
          </w:tcPr>
          <w:p w14:paraId="14DF3595"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5217648D" w14:textId="29134E9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348(1),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 and Article 364(2)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p w14:paraId="667963BD" w14:textId="676E7B9D"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in accordance with Article 348(1) </w:t>
            </w:r>
            <w:r w:rsidRPr="001235ED">
              <w:rPr>
                <w:rFonts w:ascii="Times New Roman" w:hAnsi="Times New Roman"/>
                <w:sz w:val="24"/>
                <w:lang w:val="en-US"/>
              </w:rPr>
              <w:t>of Regulation (EU) No 575/2013</w:t>
            </w:r>
            <w:r>
              <w:rPr>
                <w:lang w:val="en-US"/>
              </w:rPr>
              <w:t xml:space="preserve"> </w:t>
            </w:r>
            <w:r w:rsidRPr="002A677E">
              <w:rPr>
                <w:rStyle w:val="FormatvorlageInstructionsTabelleText"/>
                <w:rFonts w:ascii="Times New Roman" w:hAnsi="Times New Roman"/>
                <w:sz w:val="24"/>
              </w:rPr>
              <w:t>either immediately or as a consequence of the cap laid down in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that Regulation .</w:t>
            </w:r>
            <w:r w:rsidRPr="001235ED">
              <w:rPr>
                <w:rFonts w:ascii="Times New Roman" w:hAnsi="Times New Roman"/>
                <w:sz w:val="24"/>
                <w:lang w:val="en-US"/>
              </w:rPr>
              <w:t xml:space="preserve">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59F446CA" w14:textId="1D1B168C"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first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of the net position of the CIU exposure in question, multiplied by 12,5. </w:t>
            </w:r>
          </w:p>
          <w:p w14:paraId="0B4C9A43" w14:textId="1CAB9D90" w:rsidR="00D25D8E" w:rsidRPr="002A677E"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second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the lower of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of the net position of the relevant CIU exposure and the difference between 40</w:t>
            </w:r>
            <w:r>
              <w:t> </w:t>
            </w:r>
            <w:r w:rsidRPr="002A677E">
              <w:rPr>
                <w:rStyle w:val="FormatvorlageInstructionsTabelleText"/>
                <w:rFonts w:ascii="Times New Roman" w:hAnsi="Times New Roman"/>
                <w:sz w:val="24"/>
              </w:rPr>
              <w:t xml:space="preserve">% of this net position and the own </w:t>
            </w:r>
            <w:r w:rsidRPr="002A677E">
              <w:rPr>
                <w:rStyle w:val="FormatvorlageInstructionsTabelleText"/>
                <w:rFonts w:ascii="Times New Roman" w:hAnsi="Times New Roman"/>
                <w:sz w:val="24"/>
              </w:rPr>
              <w:lastRenderedPageBreak/>
              <w:t>funds requirements that arise from the foreign exchange risk associated with this CIU exposure, multiplied by 12,5 respectively.</w:t>
            </w:r>
          </w:p>
        </w:tc>
      </w:tr>
      <w:tr w:rsidR="00D25D8E" w:rsidRPr="002A677E" w14:paraId="3630087F" w14:textId="77777777" w:rsidTr="00672D2A">
        <w:tc>
          <w:tcPr>
            <w:tcW w:w="1591" w:type="dxa"/>
          </w:tcPr>
          <w:p w14:paraId="27957C9B"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0556</w:t>
            </w:r>
          </w:p>
        </w:tc>
        <w:tc>
          <w:tcPr>
            <w:tcW w:w="7274" w:type="dxa"/>
          </w:tcPr>
          <w:p w14:paraId="2CDA08FF"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4397EB70" w14:textId="77777777" w:rsidR="00D25D8E" w:rsidRPr="001235ED"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D25D8E" w:rsidRPr="002A677E" w14:paraId="32F6DBF9" w14:textId="77777777" w:rsidTr="00672D2A">
        <w:tc>
          <w:tcPr>
            <w:tcW w:w="1591" w:type="dxa"/>
          </w:tcPr>
          <w:p w14:paraId="6BC2BDA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0557</w:t>
            </w:r>
          </w:p>
        </w:tc>
        <w:tc>
          <w:tcPr>
            <w:tcW w:w="7274" w:type="dxa"/>
          </w:tcPr>
          <w:p w14:paraId="28F3E2B4"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2F4CDE3F" w14:textId="77777777" w:rsidR="00D25D8E" w:rsidRPr="001235ED"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D25D8E" w:rsidRPr="002A677E" w14:paraId="4F00A356" w14:textId="77777777" w:rsidTr="00672D2A">
        <w:tc>
          <w:tcPr>
            <w:tcW w:w="1591" w:type="dxa"/>
          </w:tcPr>
          <w:p w14:paraId="4361A511"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274" w:type="dxa"/>
          </w:tcPr>
          <w:p w14:paraId="14064D34"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0CC771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D25D8E" w:rsidRPr="002A677E" w14:paraId="309A7367" w14:textId="77777777" w:rsidTr="00672D2A">
        <w:tc>
          <w:tcPr>
            <w:tcW w:w="1591" w:type="dxa"/>
          </w:tcPr>
          <w:p w14:paraId="6687041D"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0570</w:t>
            </w:r>
          </w:p>
        </w:tc>
        <w:tc>
          <w:tcPr>
            <w:tcW w:w="7274" w:type="dxa"/>
          </w:tcPr>
          <w:p w14:paraId="64B5BFA0"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B8536F7"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D25D8E" w:rsidRPr="002A677E" w14:paraId="0EEF3BAD" w14:textId="77777777" w:rsidTr="00672D2A">
        <w:tc>
          <w:tcPr>
            <w:tcW w:w="1591" w:type="dxa"/>
          </w:tcPr>
          <w:p w14:paraId="304A0FCF" w14:textId="77777777"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0580</w:t>
            </w:r>
          </w:p>
        </w:tc>
        <w:tc>
          <w:tcPr>
            <w:tcW w:w="7274" w:type="dxa"/>
          </w:tcPr>
          <w:p w14:paraId="244D466D"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092E67C3" w14:textId="77777777" w:rsidR="00D25D8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bl>
            <w:tblPr>
              <w:tblStyle w:val="TableGrid"/>
              <w:tblW w:w="0" w:type="auto"/>
              <w:tblLook w:val="04A0" w:firstRow="1" w:lastRow="0" w:firstColumn="1" w:lastColumn="0" w:noHBand="0" w:noVBand="1"/>
            </w:tblPr>
            <w:tblGrid>
              <w:gridCol w:w="7048"/>
            </w:tblGrid>
            <w:tr w:rsidR="00562031" w14:paraId="5F25D127" w14:textId="77777777" w:rsidTr="00562031">
              <w:tc>
                <w:tcPr>
                  <w:tcW w:w="7048" w:type="dxa"/>
                </w:tcPr>
                <w:p w14:paraId="0B6C0F71" w14:textId="77777777" w:rsidR="00B51C3F" w:rsidRPr="0051092B" w:rsidRDefault="00B51C3F" w:rsidP="00B51C3F">
                  <w:pPr>
                    <w:pStyle w:val="body"/>
                    <w:rPr>
                      <w:b/>
                      <w:bCs/>
                      <w:lang w:val="en-GB"/>
                    </w:rPr>
                  </w:pPr>
                  <w:r w:rsidRPr="0051092B">
                    <w:rPr>
                      <w:b/>
                      <w:bCs/>
                      <w:lang w:val="en-GB"/>
                    </w:rPr>
                    <w:t>Explanatory text for consultation purposes</w:t>
                  </w:r>
                </w:p>
                <w:p w14:paraId="008DE8BA" w14:textId="1FD4F45E" w:rsidR="00562031" w:rsidRDefault="00B51C3F" w:rsidP="00B51C3F">
                  <w:pPr>
                    <w:rPr>
                      <w:rStyle w:val="FormatvorlageInstructionsTabelleText"/>
                      <w:rFonts w:ascii="Times New Roman" w:hAnsi="Times New Roman"/>
                      <w:sz w:val="24"/>
                    </w:rPr>
                  </w:pPr>
                  <w:r>
                    <w:rPr>
                      <w:lang w:val="en-GB"/>
                    </w:rPr>
                    <w:t>This row is going to be deleted, once the current internal models approach cannot be used anymore to calculate own funds requirements for market risks.</w:t>
                  </w:r>
                </w:p>
              </w:tc>
            </w:tr>
          </w:tbl>
          <w:p w14:paraId="43938F5A" w14:textId="77777777" w:rsidR="00D25D8E" w:rsidRPr="001235ED" w:rsidRDefault="00D25D8E" w:rsidP="00D25D8E">
            <w:pPr>
              <w:rPr>
                <w:rStyle w:val="FormatvorlageInstructionsTabelleText"/>
                <w:rFonts w:ascii="Times New Roman" w:hAnsi="Times New Roman"/>
                <w:sz w:val="24"/>
              </w:rPr>
            </w:pPr>
          </w:p>
        </w:tc>
      </w:tr>
      <w:tr w:rsidR="008F52DB" w:rsidRPr="002A677E" w14:paraId="6AB8DE16" w14:textId="77777777" w:rsidTr="00672D2A">
        <w:tc>
          <w:tcPr>
            <w:tcW w:w="1591" w:type="dxa"/>
          </w:tcPr>
          <w:p w14:paraId="312608DC" w14:textId="39F80281" w:rsidR="008F52DB" w:rsidRPr="002A677E" w:rsidRDefault="008F52DB"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0581</w:t>
            </w:r>
          </w:p>
        </w:tc>
        <w:tc>
          <w:tcPr>
            <w:tcW w:w="7274" w:type="dxa"/>
          </w:tcPr>
          <w:p w14:paraId="08F579AA" w14:textId="77777777" w:rsidR="008F52DB" w:rsidRDefault="008F52DB" w:rsidP="00DA09C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1.3.3 </w:t>
            </w:r>
            <w:r w:rsidR="004F03AE" w:rsidRPr="004F03AE">
              <w:rPr>
                <w:rStyle w:val="InstructionsTabelleberschrift"/>
                <w:rFonts w:ascii="Times New Roman" w:hAnsi="Times New Roman"/>
                <w:sz w:val="24"/>
              </w:rPr>
              <w:t>Risk exposure amount for on- and off-balance sheet subject to market risk of entities applying exclusively the Alternative standardised approach (ASA)</w:t>
            </w:r>
          </w:p>
          <w:p w14:paraId="1B2EBA96" w14:textId="634EB635" w:rsidR="004F03AE" w:rsidRPr="004F03AE" w:rsidRDefault="004F03AE" w:rsidP="000059B8">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Pr>
                <w:rStyle w:val="FormatvorlageInstructionsTabelleText"/>
                <w:rFonts w:ascii="Times New Roman" w:hAnsi="Times New Roman"/>
                <w:sz w:val="24"/>
              </w:rPr>
              <w:t>MKR ASA SUM</w:t>
            </w:r>
            <w:r w:rsidRPr="002A677E">
              <w:rPr>
                <w:rStyle w:val="FormatvorlageInstructionsTabelleText"/>
                <w:rFonts w:ascii="Times New Roman" w:hAnsi="Times New Roman"/>
                <w:sz w:val="24"/>
              </w:rPr>
              <w:t xml:space="preserve"> template</w:t>
            </w:r>
          </w:p>
        </w:tc>
      </w:tr>
      <w:tr w:rsidR="008F52DB" w:rsidRPr="002A677E" w14:paraId="4CEECE88" w14:textId="77777777" w:rsidTr="00672D2A">
        <w:tc>
          <w:tcPr>
            <w:tcW w:w="1591" w:type="dxa"/>
          </w:tcPr>
          <w:p w14:paraId="081B947E" w14:textId="3509B0E5" w:rsidR="008F52DB" w:rsidRPr="002A677E" w:rsidRDefault="008F52DB"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0585</w:t>
            </w:r>
          </w:p>
        </w:tc>
        <w:tc>
          <w:tcPr>
            <w:tcW w:w="7274" w:type="dxa"/>
          </w:tcPr>
          <w:p w14:paraId="52BFE754" w14:textId="77777777" w:rsidR="008F52DB" w:rsidRDefault="004F03AE" w:rsidP="00DA09C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1.3.4 </w:t>
            </w:r>
            <w:r w:rsidRPr="004F03AE">
              <w:rPr>
                <w:rStyle w:val="InstructionsTabelleberschrift"/>
                <w:rFonts w:ascii="Times New Roman" w:hAnsi="Times New Roman"/>
                <w:sz w:val="24"/>
              </w:rPr>
              <w:t>Risk exposure amount for on- and off-balance sheet subject to market risk of entities applying only the Alternative Internal Models Approach (AIMA) or a combination of AIMA and ASA</w:t>
            </w:r>
          </w:p>
          <w:p w14:paraId="251C622B" w14:textId="2375A2E9" w:rsidR="004F03AE" w:rsidRPr="004F03AE" w:rsidRDefault="004F03AE" w:rsidP="000059B8">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MKR </w:t>
            </w:r>
            <w:r>
              <w:rPr>
                <w:rStyle w:val="FormatvorlageInstructionsTabelleText"/>
                <w:rFonts w:ascii="Times New Roman" w:hAnsi="Times New Roman"/>
                <w:sz w:val="24"/>
              </w:rPr>
              <w:t xml:space="preserve">AIMA SUM </w:t>
            </w:r>
            <w:r w:rsidRPr="002A677E">
              <w:rPr>
                <w:rStyle w:val="FormatvorlageInstructionsTabelleText"/>
                <w:rFonts w:ascii="Times New Roman" w:hAnsi="Times New Roman"/>
                <w:sz w:val="24"/>
              </w:rPr>
              <w:t>template</w:t>
            </w:r>
          </w:p>
        </w:tc>
      </w:tr>
      <w:tr w:rsidR="008F52DB" w:rsidRPr="002A677E" w14:paraId="27E41DCC" w14:textId="77777777" w:rsidTr="00672D2A">
        <w:tc>
          <w:tcPr>
            <w:tcW w:w="1591" w:type="dxa"/>
          </w:tcPr>
          <w:p w14:paraId="7EE0654A" w14:textId="2B52FE8E" w:rsidR="008F52DB" w:rsidRPr="002A677E" w:rsidRDefault="008F52DB"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0589</w:t>
            </w:r>
          </w:p>
        </w:tc>
        <w:tc>
          <w:tcPr>
            <w:tcW w:w="7274" w:type="dxa"/>
          </w:tcPr>
          <w:p w14:paraId="53A993A5" w14:textId="77777777" w:rsidR="008F52DB" w:rsidRDefault="004F03AE" w:rsidP="00DA09C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 </w:t>
            </w:r>
            <w:r w:rsidRPr="004F03AE">
              <w:rPr>
                <w:rStyle w:val="InstructionsTabelleberschrift"/>
                <w:rFonts w:ascii="Times New Roman" w:hAnsi="Times New Roman"/>
                <w:sz w:val="24"/>
              </w:rPr>
              <w:t>RISK EXPOSURE AMOUNT FOR RECLASSIFICATIONS BETWEEN NON-TRADING BOOK AND TRADING BOOK</w:t>
            </w:r>
          </w:p>
          <w:p w14:paraId="019ABA27" w14:textId="2E29B900" w:rsidR="004F03AE" w:rsidRPr="004F03AE" w:rsidRDefault="004F03AE" w:rsidP="000059B8">
            <w:pPr>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See </w:t>
            </w:r>
            <w:r w:rsidR="00D91EA8">
              <w:rPr>
                <w:rStyle w:val="FormatvorlageInstructionsTabelleText"/>
                <w:rFonts w:ascii="Times New Roman" w:hAnsi="Times New Roman"/>
                <w:sz w:val="24"/>
              </w:rPr>
              <w:t>MOV template</w:t>
            </w:r>
          </w:p>
        </w:tc>
      </w:tr>
      <w:tr w:rsidR="00D25D8E" w:rsidRPr="002A677E" w14:paraId="5D1B4B25" w14:textId="77777777" w:rsidTr="00672D2A">
        <w:tc>
          <w:tcPr>
            <w:tcW w:w="1591" w:type="dxa"/>
          </w:tcPr>
          <w:p w14:paraId="0AD1165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274" w:type="dxa"/>
          </w:tcPr>
          <w:p w14:paraId="1253E8AC"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3811BDC4" w14:textId="244F8DCB"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sidDel="00151BD7">
              <w:rPr>
                <w:rStyle w:val="FormatvorlageInstructionsTabelleText"/>
                <w:rFonts w:ascii="Times New Roman" w:hAnsi="Times New Roman"/>
                <w:sz w:val="24"/>
              </w:rPr>
              <w:t xml:space="preserve">Article 92(3)and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w:t>
            </w:r>
            <w:r w:rsidR="004C0FD5">
              <w:rPr>
                <w:rStyle w:val="FormatvorlageInstructionsTabelleText"/>
                <w:rFonts w:ascii="Times New Roman" w:hAnsi="Times New Roman"/>
                <w:sz w:val="24"/>
              </w:rPr>
              <w:t>e</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BA9D349" w14:textId="07B9274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For investment firms under Articles 95(2) and 96(2) and Article98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this element shall be zero.</w:t>
            </w:r>
          </w:p>
        </w:tc>
      </w:tr>
      <w:tr w:rsidR="00D25D8E" w:rsidRPr="002A677E" w14:paraId="736DB07D" w14:textId="77777777" w:rsidTr="00672D2A">
        <w:tc>
          <w:tcPr>
            <w:tcW w:w="1591" w:type="dxa"/>
          </w:tcPr>
          <w:p w14:paraId="7B1EAA0C" w14:textId="77777777"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lastRenderedPageBreak/>
              <w:t>0600</w:t>
            </w:r>
          </w:p>
        </w:tc>
        <w:tc>
          <w:tcPr>
            <w:tcW w:w="7274" w:type="dxa"/>
          </w:tcPr>
          <w:p w14:paraId="626E85DE" w14:textId="77777777"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OpR Basic Indicator approach (BIA)</w:t>
            </w:r>
          </w:p>
          <w:p w14:paraId="45128B10"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5E898F30" w14:textId="77777777" w:rsidTr="00672D2A">
        <w:tc>
          <w:tcPr>
            <w:tcW w:w="1591" w:type="dxa"/>
          </w:tcPr>
          <w:p w14:paraId="521896C8"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0610</w:t>
            </w:r>
          </w:p>
        </w:tc>
        <w:tc>
          <w:tcPr>
            <w:tcW w:w="7274" w:type="dxa"/>
          </w:tcPr>
          <w:p w14:paraId="145D5BBD"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OpR Standardised (TSA) / Alternative Standardised (ASA) approaches</w:t>
            </w:r>
          </w:p>
          <w:p w14:paraId="5C95166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1E7AABD2" w14:textId="77777777" w:rsidTr="00672D2A">
        <w:tc>
          <w:tcPr>
            <w:tcW w:w="1591" w:type="dxa"/>
          </w:tcPr>
          <w:p w14:paraId="5E47047E"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0620</w:t>
            </w:r>
          </w:p>
        </w:tc>
        <w:tc>
          <w:tcPr>
            <w:tcW w:w="7274" w:type="dxa"/>
          </w:tcPr>
          <w:p w14:paraId="658450BB"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OpR Advanced measurement approaches (AMA)</w:t>
            </w:r>
          </w:p>
          <w:p w14:paraId="2019F28C"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37DB7247" w14:textId="77777777" w:rsidTr="00672D2A">
        <w:tc>
          <w:tcPr>
            <w:tcW w:w="1591" w:type="dxa"/>
          </w:tcPr>
          <w:p w14:paraId="631E4B4A"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0630</w:t>
            </w:r>
          </w:p>
        </w:tc>
        <w:tc>
          <w:tcPr>
            <w:tcW w:w="7274" w:type="dxa"/>
          </w:tcPr>
          <w:p w14:paraId="1C3B31F9"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25F8DA00" w14:textId="64BA5E9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 and 96(2), Article 97 and Article 98(1)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1235ED">
              <w:rPr>
                <w:rFonts w:ascii="Times New Roman" w:hAnsi="Times New Roman"/>
                <w:sz w:val="24"/>
                <w:lang w:val="en-US"/>
              </w:rPr>
              <w:t xml:space="preserve"> of Regulation (EU) No 575/2013</w:t>
            </w:r>
          </w:p>
          <w:p w14:paraId="56D002D9" w14:textId="54290943"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050A184D" w14:textId="00AD1F65"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96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6F52F0CD" w14:textId="370D2F92"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as follows:</w:t>
            </w:r>
          </w:p>
          <w:p w14:paraId="5BECD677" w14:textId="26E1CC49"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point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Article 95(2) </w:t>
            </w:r>
            <w:r w:rsidRPr="001235ED">
              <w:rPr>
                <w:lang w:val="en-US"/>
              </w:rPr>
              <w:t>of that Regulation</w:t>
            </w:r>
            <w:r w:rsidRPr="002A677E">
              <w:rPr>
                <w:rStyle w:val="FormatvorlageInstructionsTabelleText"/>
                <w:rFonts w:ascii="Times New Roman" w:hAnsi="Times New Roman"/>
                <w:sz w:val="24"/>
              </w:rPr>
              <w:t>, the amount to be reported is zero.</w:t>
            </w:r>
          </w:p>
          <w:p w14:paraId="27EC85F3" w14:textId="6A43C811" w:rsidR="00D25D8E" w:rsidRPr="002A677E" w:rsidRDefault="00D25D8E" w:rsidP="00B055FF">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D25D8E" w:rsidRPr="002A677E" w14:paraId="4BCB8248" w14:textId="77777777" w:rsidTr="00672D2A">
        <w:tc>
          <w:tcPr>
            <w:tcW w:w="1591" w:type="dxa"/>
          </w:tcPr>
          <w:p w14:paraId="78BBCDB4"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0640</w:t>
            </w:r>
          </w:p>
        </w:tc>
        <w:tc>
          <w:tcPr>
            <w:tcW w:w="7274" w:type="dxa"/>
          </w:tcPr>
          <w:p w14:paraId="57CF7045" w14:textId="77777777" w:rsidR="00D25D8E" w:rsidRPr="002A677E" w:rsidRDefault="00D25D8E"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4C12E6E6" w14:textId="1AFF761F" w:rsidR="00D25D8E" w:rsidRPr="002A677E" w:rsidRDefault="00D25D8E"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w:t>
            </w:r>
            <w:r w:rsidR="003D0CA3">
              <w:rPr>
                <w:rStyle w:val="InstructionsTabelleberschrift"/>
                <w:rFonts w:ascii="Times New Roman" w:hAnsi="Times New Roman"/>
                <w:b w:val="0"/>
                <w:sz w:val="24"/>
                <w:u w:val="none"/>
              </w:rPr>
              <w:t>4</w:t>
            </w:r>
            <w:r w:rsidRPr="002A67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(d)</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p w14:paraId="0C30EB9C" w14:textId="77777777" w:rsidR="00D25D8E" w:rsidRPr="002A677E" w:rsidRDefault="00D25D8E" w:rsidP="00B055FF">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050B55" w:rsidRPr="002A677E" w14:paraId="74DE7B7B" w14:textId="77777777" w:rsidTr="00672D2A">
        <w:tc>
          <w:tcPr>
            <w:tcW w:w="1591" w:type="dxa"/>
          </w:tcPr>
          <w:p w14:paraId="3F823BF9" w14:textId="4737BB13" w:rsidR="00050B55" w:rsidRPr="002A677E" w:rsidRDefault="00050B55"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0655</w:t>
            </w:r>
          </w:p>
        </w:tc>
        <w:tc>
          <w:tcPr>
            <w:tcW w:w="7274" w:type="dxa"/>
          </w:tcPr>
          <w:p w14:paraId="4010A470" w14:textId="77777777" w:rsidR="00050B55" w:rsidRPr="00050B55" w:rsidRDefault="00050B5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4</w:t>
            </w:r>
            <w:r w:rsidRPr="00050B55">
              <w:rPr>
                <w:rStyle w:val="InstructionsTabelleberschrift"/>
                <w:rFonts w:ascii="Times New Roman" w:hAnsi="Times New Roman"/>
                <w:sz w:val="24"/>
              </w:rPr>
              <w:t xml:space="preserve"> Standardised approach (SA)</w:t>
            </w:r>
          </w:p>
          <w:p w14:paraId="02438F56" w14:textId="5981430A" w:rsidR="00050B55" w:rsidRPr="002A677E" w:rsidRDefault="00050B55" w:rsidP="00B055FF">
            <w:pPr>
              <w:pStyle w:val="InstructionsText"/>
              <w:rPr>
                <w:rStyle w:val="InstructionsTabelleberschrift"/>
                <w:rFonts w:ascii="Times New Roman" w:hAnsi="Times New Roman"/>
                <w:sz w:val="24"/>
              </w:rPr>
            </w:pPr>
            <w:r>
              <w:t xml:space="preserve">Article 383 </w:t>
            </w:r>
            <w:r w:rsidRPr="001235ED">
              <w:rPr>
                <w:lang w:val="en-US"/>
              </w:rPr>
              <w:t>of Regulation (EU) No 575/2013</w:t>
            </w:r>
          </w:p>
        </w:tc>
      </w:tr>
      <w:tr w:rsidR="00EB66E9" w:rsidRPr="002A677E" w14:paraId="646FF0BE" w14:textId="77777777" w:rsidTr="00672D2A">
        <w:tc>
          <w:tcPr>
            <w:tcW w:w="1591" w:type="dxa"/>
          </w:tcPr>
          <w:p w14:paraId="549C0DBB" w14:textId="5E5F7023" w:rsidR="00EB66E9" w:rsidRPr="002A677E" w:rsidRDefault="00EB66E9"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0665</w:t>
            </w:r>
          </w:p>
        </w:tc>
        <w:tc>
          <w:tcPr>
            <w:tcW w:w="7274" w:type="dxa"/>
          </w:tcPr>
          <w:p w14:paraId="0E5DDD9D" w14:textId="404FBCF2" w:rsidR="00EB66E9" w:rsidRPr="00EB66E9" w:rsidRDefault="00EB66E9"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5</w:t>
            </w:r>
            <w:r w:rsidRPr="00EB66E9">
              <w:rPr>
                <w:rStyle w:val="InstructionsTabelleberschrift"/>
                <w:rFonts w:ascii="Times New Roman" w:hAnsi="Times New Roman"/>
                <w:sz w:val="24"/>
              </w:rPr>
              <w:t xml:space="preserve"> </w:t>
            </w:r>
            <w:r w:rsidR="008B36A6">
              <w:rPr>
                <w:rStyle w:val="InstructionsTabelleberschrift"/>
                <w:rFonts w:ascii="Times New Roman" w:hAnsi="Times New Roman"/>
                <w:sz w:val="24"/>
              </w:rPr>
              <w:t xml:space="preserve">Full </w:t>
            </w:r>
            <w:r w:rsidRPr="00EB66E9">
              <w:rPr>
                <w:rStyle w:val="InstructionsTabelleberschrift"/>
                <w:rFonts w:ascii="Times New Roman" w:hAnsi="Times New Roman"/>
                <w:sz w:val="24"/>
              </w:rPr>
              <w:t>Basic approach (</w:t>
            </w:r>
            <w:r w:rsidR="008B36A6">
              <w:rPr>
                <w:rStyle w:val="InstructionsTabelleberschrift"/>
                <w:rFonts w:ascii="Times New Roman" w:hAnsi="Times New Roman"/>
                <w:sz w:val="24"/>
              </w:rPr>
              <w:t>F-</w:t>
            </w:r>
            <w:r w:rsidRPr="00EB66E9">
              <w:rPr>
                <w:rStyle w:val="InstructionsTabelleberschrift"/>
                <w:rFonts w:ascii="Times New Roman" w:hAnsi="Times New Roman"/>
                <w:sz w:val="24"/>
              </w:rPr>
              <w:t>BA)</w:t>
            </w:r>
          </w:p>
          <w:p w14:paraId="01C7AE22" w14:textId="7E3249C3" w:rsidR="00EB66E9" w:rsidRPr="002A677E" w:rsidRDefault="00EB66E9" w:rsidP="00B055FF">
            <w:pPr>
              <w:pStyle w:val="InstructionsText"/>
              <w:rPr>
                <w:rStyle w:val="InstructionsTabelleberschrift"/>
                <w:rFonts w:ascii="Times New Roman" w:hAnsi="Times New Roman"/>
                <w:sz w:val="24"/>
              </w:rPr>
            </w:pPr>
            <w:r w:rsidRPr="00596128">
              <w:rPr>
                <w:lang w:val="en-US"/>
              </w:rPr>
              <w:t>Article 384(3) of</w:t>
            </w:r>
            <w:r>
              <w:rPr>
                <w:rStyle w:val="InstructionsTabelleberschrift"/>
                <w:bCs w:val="0"/>
              </w:rPr>
              <w:t xml:space="preserve"> </w:t>
            </w:r>
            <w:r w:rsidRPr="001235ED">
              <w:rPr>
                <w:lang w:val="en-US"/>
              </w:rPr>
              <w:t>Regulation (EU) No 575/2013</w:t>
            </w:r>
            <w:r>
              <w:rPr>
                <w:rStyle w:val="InstructionsTabelleberschrift"/>
                <w:bCs w:val="0"/>
              </w:rPr>
              <w:t xml:space="preserve"> </w:t>
            </w:r>
          </w:p>
        </w:tc>
      </w:tr>
      <w:tr w:rsidR="008B36A6" w:rsidRPr="002A677E" w14:paraId="6700F27C" w14:textId="77777777" w:rsidTr="00672D2A">
        <w:tc>
          <w:tcPr>
            <w:tcW w:w="1591" w:type="dxa"/>
          </w:tcPr>
          <w:p w14:paraId="00AFFA31" w14:textId="71B5B8B1" w:rsidR="008B36A6" w:rsidRDefault="008B36A6"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0666</w:t>
            </w:r>
          </w:p>
        </w:tc>
        <w:tc>
          <w:tcPr>
            <w:tcW w:w="7274" w:type="dxa"/>
          </w:tcPr>
          <w:p w14:paraId="1447BB8B" w14:textId="1B9B1EFC" w:rsidR="008B36A6" w:rsidRPr="00EB66E9" w:rsidRDefault="008B36A6" w:rsidP="00DA09CD">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Pr>
                <w:rStyle w:val="InstructionsTabelleberschrift"/>
                <w:rFonts w:ascii="Times New Roman" w:hAnsi="Times New Roman"/>
                <w:sz w:val="24"/>
              </w:rPr>
              <w:t>6</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Reduced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R-</w:t>
            </w:r>
            <w:r w:rsidRPr="00EB66E9">
              <w:rPr>
                <w:rStyle w:val="InstructionsTabelleberschrift"/>
                <w:rFonts w:ascii="Times New Roman" w:hAnsi="Times New Roman"/>
                <w:sz w:val="24"/>
              </w:rPr>
              <w:t>BA)</w:t>
            </w:r>
          </w:p>
          <w:p w14:paraId="7A1DDF00" w14:textId="7BF20C52" w:rsidR="008B36A6" w:rsidRPr="002A677E" w:rsidRDefault="008B36A6" w:rsidP="00DA09CD">
            <w:pPr>
              <w:pStyle w:val="InstructionsText"/>
              <w:rPr>
                <w:rStyle w:val="InstructionsTabelleberschrift"/>
                <w:rFonts w:ascii="Times New Roman" w:hAnsi="Times New Roman"/>
                <w:sz w:val="24"/>
              </w:rPr>
            </w:pPr>
            <w:r w:rsidRPr="00596128">
              <w:rPr>
                <w:lang w:val="en-US"/>
              </w:rPr>
              <w:t>Article 384(2) of</w:t>
            </w:r>
            <w:r>
              <w:rPr>
                <w:rStyle w:val="InstructionsTabelleberschrift"/>
                <w:bCs w:val="0"/>
              </w:rPr>
              <w:t xml:space="preserve"> </w:t>
            </w:r>
            <w:r w:rsidRPr="001235ED">
              <w:rPr>
                <w:lang w:val="en-US"/>
              </w:rPr>
              <w:t>Regulation (EU) No 575/2013</w:t>
            </w:r>
          </w:p>
        </w:tc>
      </w:tr>
      <w:tr w:rsidR="005E2F11" w:rsidRPr="002A677E" w14:paraId="28FDCE93" w14:textId="77777777" w:rsidTr="00672D2A">
        <w:tc>
          <w:tcPr>
            <w:tcW w:w="1591" w:type="dxa"/>
          </w:tcPr>
          <w:p w14:paraId="7CDD08E4" w14:textId="53F82A6D" w:rsidR="005E2F11" w:rsidRPr="002A677E" w:rsidRDefault="005E2F11"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0675</w:t>
            </w:r>
          </w:p>
        </w:tc>
        <w:tc>
          <w:tcPr>
            <w:tcW w:w="7274" w:type="dxa"/>
          </w:tcPr>
          <w:p w14:paraId="7280836B" w14:textId="791785DD" w:rsidR="005E2F11" w:rsidRPr="005E2F11" w:rsidRDefault="005E2F11"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1.6.</w:t>
            </w:r>
            <w:r w:rsidR="008B36A6">
              <w:rPr>
                <w:rStyle w:val="InstructionsTabelleberschrift"/>
                <w:rFonts w:ascii="Times New Roman" w:hAnsi="Times New Roman"/>
                <w:sz w:val="24"/>
              </w:rPr>
              <w:t xml:space="preserve">7 </w:t>
            </w:r>
            <w:r w:rsidRPr="005E2F11">
              <w:rPr>
                <w:rStyle w:val="InstructionsTabelleberschrift"/>
                <w:rFonts w:ascii="Times New Roman" w:hAnsi="Times New Roman"/>
                <w:sz w:val="24"/>
              </w:rPr>
              <w:t>Simplified approach</w:t>
            </w:r>
          </w:p>
          <w:p w14:paraId="46AAFECD" w14:textId="473E8852" w:rsidR="005E2F11" w:rsidRPr="002A677E" w:rsidRDefault="005E2F11" w:rsidP="00B055FF">
            <w:pPr>
              <w:pStyle w:val="InstructionsText"/>
              <w:rPr>
                <w:rStyle w:val="InstructionsTabelleberschrift"/>
                <w:rFonts w:ascii="Times New Roman" w:hAnsi="Times New Roman"/>
                <w:sz w:val="24"/>
              </w:rPr>
            </w:pPr>
            <w:r>
              <w:t xml:space="preserve">Article 385 </w:t>
            </w:r>
            <w:r w:rsidRPr="001235ED">
              <w:rPr>
                <w:lang w:val="en-US"/>
              </w:rPr>
              <w:t>of Regulation (EU) No 575/2013</w:t>
            </w:r>
          </w:p>
        </w:tc>
      </w:tr>
      <w:tr w:rsidR="005E2F11" w:rsidRPr="002A677E" w14:paraId="4DA9FD3B" w14:textId="77777777" w:rsidTr="00672D2A">
        <w:tc>
          <w:tcPr>
            <w:tcW w:w="1591" w:type="dxa"/>
          </w:tcPr>
          <w:p w14:paraId="51503ACD" w14:textId="450093B8" w:rsidR="005E2F11" w:rsidRPr="002A677E" w:rsidRDefault="005E2F11" w:rsidP="00B055FF">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0676</w:t>
            </w:r>
          </w:p>
        </w:tc>
        <w:tc>
          <w:tcPr>
            <w:tcW w:w="7274" w:type="dxa"/>
          </w:tcPr>
          <w:p w14:paraId="422FE331" w14:textId="167768E6" w:rsidR="005E2F11" w:rsidRDefault="005E2F11" w:rsidP="00B055FF">
            <w:pPr>
              <w:pStyle w:val="InstructionsText"/>
              <w:rPr>
                <w:rStyle w:val="InstructionsTabelleberschrift"/>
              </w:rPr>
            </w:pPr>
            <w:r w:rsidRPr="002A677E">
              <w:rPr>
                <w:rStyle w:val="InstructionsTabelleberschrift"/>
                <w:rFonts w:ascii="Times New Roman" w:hAnsi="Times New Roman"/>
                <w:sz w:val="24"/>
              </w:rPr>
              <w:t>1.6.</w:t>
            </w:r>
            <w:r w:rsidR="008B36A6">
              <w:rPr>
                <w:rStyle w:val="InstructionsTabelleberschrift"/>
                <w:rFonts w:ascii="Times New Roman" w:hAnsi="Times New Roman"/>
                <w:sz w:val="24"/>
              </w:rPr>
              <w:t>8</w:t>
            </w:r>
            <w:r>
              <w:rPr>
                <w:rStyle w:val="InstructionsTabelleberschrift"/>
                <w:rFonts w:ascii="Times New Roman" w:hAnsi="Times New Roman"/>
                <w:sz w:val="24"/>
              </w:rPr>
              <w:t xml:space="preserve"> </w:t>
            </w:r>
            <w:r w:rsidRPr="005E2F11">
              <w:rPr>
                <w:rStyle w:val="InstructionsTabelleberschrift"/>
                <w:rFonts w:ascii="Times New Roman" w:hAnsi="Times New Roman"/>
                <w:sz w:val="24"/>
              </w:rPr>
              <w:t>Simplified treatment for derivative positions in CIUs</w:t>
            </w:r>
          </w:p>
          <w:p w14:paraId="0DECBA0B" w14:textId="422BB77A" w:rsidR="005E2F11" w:rsidRPr="002A677E" w:rsidRDefault="005E2F11" w:rsidP="00B055FF">
            <w:pPr>
              <w:pStyle w:val="InstructionsText"/>
              <w:rPr>
                <w:rStyle w:val="InstructionsTabelleberschrift"/>
                <w:rFonts w:ascii="Times New Roman" w:hAnsi="Times New Roman"/>
                <w:sz w:val="24"/>
              </w:rPr>
            </w:pPr>
            <w:r>
              <w:lastRenderedPageBreak/>
              <w:t>A</w:t>
            </w:r>
            <w:r w:rsidRPr="00814F9D">
              <w:t>rticles 132a(3)</w:t>
            </w:r>
            <w:r>
              <w:t xml:space="preserve">, </w:t>
            </w:r>
            <w:r w:rsidRPr="00814F9D">
              <w:t xml:space="preserve"> 152(3)</w:t>
            </w:r>
            <w:r>
              <w:t xml:space="preserve"> and</w:t>
            </w:r>
            <w:r w:rsidRPr="00814F9D">
              <w:t xml:space="preserve"> 325j(1)</w:t>
            </w:r>
            <w:r w:rsidRPr="00814F9D" w:rsidDel="00024DEA">
              <w:t xml:space="preserve"> </w:t>
            </w:r>
            <w:r w:rsidRPr="001235ED">
              <w:rPr>
                <w:lang w:val="en-US"/>
              </w:rPr>
              <w:t>of Regulation (EU) No 575/2013</w:t>
            </w:r>
          </w:p>
        </w:tc>
      </w:tr>
      <w:tr w:rsidR="00D25D8E" w:rsidRPr="002A677E" w14:paraId="453A4987" w14:textId="77777777" w:rsidTr="00672D2A">
        <w:tc>
          <w:tcPr>
            <w:tcW w:w="1591" w:type="dxa"/>
          </w:tcPr>
          <w:p w14:paraId="5F0EB715"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0680</w:t>
            </w:r>
          </w:p>
        </w:tc>
        <w:tc>
          <w:tcPr>
            <w:tcW w:w="7274" w:type="dxa"/>
          </w:tcPr>
          <w:p w14:paraId="52929178" w14:textId="77777777" w:rsidR="00D25D8E" w:rsidRPr="002A677E" w:rsidRDefault="00D25D8E" w:rsidP="00B055FF">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5BE39790" w14:textId="7DFFEB89" w:rsidR="00D25D8E" w:rsidRPr="002A677E" w:rsidRDefault="00D25D8E" w:rsidP="00B055FF">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w:t>
            </w:r>
            <w:r w:rsidR="00E842FB">
              <w:rPr>
                <w:rStyle w:val="FormatvorlageInstructionsTabelleText"/>
                <w:rFonts w:ascii="Times New Roman" w:hAnsi="Times New Roman"/>
                <w:sz w:val="24"/>
              </w:rPr>
              <w:t>4</w:t>
            </w:r>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(b)(ii) and Articles 395 to 401 </w:t>
            </w:r>
            <w:r w:rsidRPr="001235ED">
              <w:rPr>
                <w:lang w:val="en-US"/>
              </w:rPr>
              <w:t>of Regulation (EU) No 575/2013</w:t>
            </w:r>
          </w:p>
        </w:tc>
      </w:tr>
      <w:tr w:rsidR="00D25D8E" w:rsidRPr="002A677E" w14:paraId="46CB2AF1" w14:textId="77777777" w:rsidTr="00672D2A">
        <w:tc>
          <w:tcPr>
            <w:tcW w:w="1591" w:type="dxa"/>
          </w:tcPr>
          <w:p w14:paraId="68238E31"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274" w:type="dxa"/>
          </w:tcPr>
          <w:p w14:paraId="3712D8F3" w14:textId="77777777"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6919B260" w14:textId="14B8FA61" w:rsidR="00D25D8E" w:rsidRPr="002A677E" w:rsidRDefault="00D25D8E"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19DCED63" w14:textId="77777777" w:rsidR="00D25D8E" w:rsidRPr="002A677E" w:rsidRDefault="00D25D8E"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4B8BA0A4" w14:textId="6CA412AB" w:rsidR="00D25D8E" w:rsidRPr="002A677E" w:rsidRDefault="00D25D8E"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Stricter prudential requirements imposed by the Commission, in accordance with Articles 458 and 459 </w:t>
            </w:r>
            <w:r w:rsidRPr="001235ED">
              <w:rPr>
                <w:lang w:val="en-US"/>
              </w:rPr>
              <w:t>of Regulation (EU) No 575/2013</w:t>
            </w:r>
            <w:r w:rsidRPr="002A677E">
              <w:rPr>
                <w:rStyle w:val="InstructionsTabelleberschrift"/>
                <w:rFonts w:ascii="Times New Roman" w:hAnsi="Times New Roman"/>
                <w:b w:val="0"/>
                <w:sz w:val="24"/>
                <w:u w:val="none"/>
              </w:rPr>
              <w:t xml:space="preserve">. </w:t>
            </w:r>
          </w:p>
          <w:p w14:paraId="469E9DD4" w14:textId="6D6D1EA2" w:rsidR="00D25D8E" w:rsidRPr="002A677E" w:rsidRDefault="00D25D8E" w:rsidP="00B055FF">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Pr="001235ED">
              <w:rPr>
                <w:lang w:val="en-US"/>
              </w:rPr>
              <w:t>of Regulation (EU) No 575/2013</w:t>
            </w:r>
            <w:r w:rsidRPr="002A677E">
              <w:rPr>
                <w:rStyle w:val="InstructionsTabelleberschrift"/>
                <w:rFonts w:ascii="Times New Roman" w:hAnsi="Times New Roman"/>
                <w:b w:val="0"/>
                <w:sz w:val="24"/>
                <w:u w:val="none"/>
              </w:rPr>
              <w:t>.</w:t>
            </w:r>
          </w:p>
          <w:p w14:paraId="4E199738" w14:textId="77777777" w:rsidR="00D25D8E" w:rsidRPr="002A677E" w:rsidRDefault="00D25D8E" w:rsidP="00B055FF">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t xml:space="preserve">This item does not have a link to a details template. </w:t>
            </w:r>
          </w:p>
        </w:tc>
      </w:tr>
      <w:tr w:rsidR="00D25D8E" w:rsidRPr="002A677E" w14:paraId="6B92E943" w14:textId="77777777" w:rsidTr="00672D2A">
        <w:tc>
          <w:tcPr>
            <w:tcW w:w="1591" w:type="dxa"/>
          </w:tcPr>
          <w:p w14:paraId="7B3B3318"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0710</w:t>
            </w:r>
          </w:p>
        </w:tc>
        <w:tc>
          <w:tcPr>
            <w:tcW w:w="7274" w:type="dxa"/>
          </w:tcPr>
          <w:p w14:paraId="29240DDD" w14:textId="0E3D1814"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Article 458 of Regulation (EU) No 575/2013</w:t>
            </w:r>
          </w:p>
          <w:p w14:paraId="6734B1B9" w14:textId="58D1680B" w:rsidR="00D25D8E" w:rsidRPr="002A677E" w:rsidRDefault="00D25D8E" w:rsidP="00B055FF">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Pr="001235ED">
              <w:rPr>
                <w:lang w:val="en-US"/>
              </w:rPr>
              <w:t>of Regulation (EU) No 575/2013</w:t>
            </w:r>
          </w:p>
        </w:tc>
      </w:tr>
      <w:tr w:rsidR="00D25D8E" w:rsidRPr="002A677E" w14:paraId="5072D0A4" w14:textId="77777777" w:rsidTr="00672D2A">
        <w:tc>
          <w:tcPr>
            <w:tcW w:w="1591" w:type="dxa"/>
          </w:tcPr>
          <w:p w14:paraId="7E0B8E1F"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274" w:type="dxa"/>
          </w:tcPr>
          <w:p w14:paraId="1C5832ED" w14:textId="77777777" w:rsidR="00D25D8E" w:rsidRPr="002A677E" w:rsidRDefault="00D25D8E" w:rsidP="00B055FF">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7EA664B8" w14:textId="74915159" w:rsidR="00D25D8E" w:rsidRPr="002A677E" w:rsidRDefault="00D25D8E" w:rsidP="00B055FF">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52BD382A" w14:textId="77777777" w:rsidTr="00672D2A">
        <w:tc>
          <w:tcPr>
            <w:tcW w:w="1591" w:type="dxa"/>
          </w:tcPr>
          <w:p w14:paraId="5FBB0FB3"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274" w:type="dxa"/>
          </w:tcPr>
          <w:p w14:paraId="265623FD" w14:textId="77777777" w:rsidR="00D25D8E" w:rsidRPr="002A677E" w:rsidRDefault="00D25D8E" w:rsidP="00B055FF">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51AF7235" w14:textId="05EABDFE" w:rsidR="00D25D8E" w:rsidRPr="002A677E" w:rsidRDefault="00D25D8E" w:rsidP="00B055FF">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4BEBCD6C" w14:textId="77777777" w:rsidTr="00672D2A">
        <w:tc>
          <w:tcPr>
            <w:tcW w:w="1591" w:type="dxa"/>
          </w:tcPr>
          <w:p w14:paraId="40208617"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274" w:type="dxa"/>
          </w:tcPr>
          <w:p w14:paraId="3AC4EA3C" w14:textId="77777777" w:rsidR="00D25D8E" w:rsidRPr="002A677E" w:rsidRDefault="00D25D8E" w:rsidP="00B055FF">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2F5ADD62" w14:textId="19877A17" w:rsidR="00D25D8E" w:rsidRPr="002A677E" w:rsidRDefault="00D25D8E" w:rsidP="00B055FF">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600E363A" w14:textId="77777777" w:rsidTr="00672D2A">
        <w:tc>
          <w:tcPr>
            <w:tcW w:w="1591" w:type="dxa"/>
          </w:tcPr>
          <w:p w14:paraId="30347364"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274" w:type="dxa"/>
          </w:tcPr>
          <w:p w14:paraId="673B7DEC" w14:textId="7D637C66"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Article 459 of Regulation (EU) No 575/2013</w:t>
            </w:r>
          </w:p>
          <w:p w14:paraId="705AA238" w14:textId="6CA85029" w:rsidR="00D25D8E" w:rsidRPr="002A677E" w:rsidRDefault="00D25D8E" w:rsidP="00B055FF">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Pr="001235ED">
              <w:rPr>
                <w:lang w:val="en-US"/>
              </w:rPr>
              <w:t>of Regulation (EU) No 575/2013</w:t>
            </w:r>
          </w:p>
        </w:tc>
      </w:tr>
      <w:tr w:rsidR="00D25D8E" w:rsidRPr="002A677E" w14:paraId="6B4BA9FF" w14:textId="77777777" w:rsidTr="00672D2A">
        <w:tc>
          <w:tcPr>
            <w:tcW w:w="1591" w:type="dxa"/>
            <w:shd w:val="clear" w:color="auto" w:fill="auto"/>
          </w:tcPr>
          <w:p w14:paraId="1C4340E4" w14:textId="77777777" w:rsidR="00D25D8E" w:rsidRPr="001235ED" w:rsidRDefault="00D25D8E" w:rsidP="00B055FF">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274" w:type="dxa"/>
          </w:tcPr>
          <w:p w14:paraId="5B1D1AEE" w14:textId="10181F85" w:rsidR="00D25D8E" w:rsidRPr="002A677E" w:rsidRDefault="00D25D8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Of which: Additional risk exposure amount due to Article 3 of Regulation (EU) No 575/2013</w:t>
            </w:r>
          </w:p>
          <w:p w14:paraId="069F0DD5" w14:textId="087DF714" w:rsidR="00D25D8E" w:rsidRPr="002A677E" w:rsidRDefault="00D25D8E" w:rsidP="00B055FF">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Pr="001235ED">
              <w:rPr>
                <w:lang w:val="en-US"/>
              </w:rPr>
              <w:t>of Regulation (EU) No 575/2013</w:t>
            </w:r>
          </w:p>
          <w:p w14:paraId="1EE2510A" w14:textId="0E120819" w:rsidR="00D25D8E" w:rsidRPr="002A677E" w:rsidRDefault="00D25D8E"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t> </w:t>
            </w:r>
            <w:r w:rsidRPr="002A677E">
              <w:rPr>
                <w:rStyle w:val="InstructionsTabelleberschrift"/>
                <w:rFonts w:ascii="Times New Roman" w:hAnsi="Times New Roman"/>
                <w:b w:val="0"/>
                <w:sz w:val="24"/>
                <w:u w:val="none"/>
              </w:rPr>
              <w:t>% and the institutions applies a risk weight of 50</w:t>
            </w:r>
            <w:r>
              <w:t> </w:t>
            </w:r>
            <w:r w:rsidRPr="002A677E">
              <w:rPr>
                <w:rStyle w:val="InstructionsTabelleberschrift"/>
                <w:rFonts w:ascii="Times New Roman" w:hAnsi="Times New Roman"/>
                <w:b w:val="0"/>
                <w:sz w:val="24"/>
                <w:u w:val="none"/>
              </w:rPr>
              <w:t xml:space="preserve">% based on Article 3 </w:t>
            </w:r>
            <w:r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49" w:name="_Toc473560877"/>
      <w:bookmarkStart w:id="50" w:name="_Toc151714365"/>
      <w:bookmarkStart w:id="51" w:name="_Toc308175826"/>
      <w:bookmarkStart w:id="52" w:name="_Toc360188329"/>
      <w:r w:rsidRPr="002A677E">
        <w:rPr>
          <w:rFonts w:ascii="Times New Roman" w:hAnsi="Times New Roman" w:cs="Times New Roman"/>
          <w:sz w:val="24"/>
          <w:u w:val="none"/>
          <w:lang w:val="en-GB"/>
        </w:rPr>
        <w:lastRenderedPageBreak/>
        <w:t>1.4</w:t>
      </w:r>
      <w:r w:rsidRPr="002A677E">
        <w:rPr>
          <w:rFonts w:ascii="Times New Roman" w:hAnsi="Times New Roman" w:cs="Times New Roman"/>
          <w:sz w:val="24"/>
          <w:u w:val="none"/>
          <w:lang w:val="en-GB"/>
        </w:rPr>
        <w:tab/>
      </w:r>
      <w:r w:rsidR="00513822" w:rsidRPr="002A677E">
        <w:rPr>
          <w:rFonts w:ascii="Times New Roman" w:hAnsi="Times New Roman" w:cs="Times New Roman"/>
          <w:sz w:val="24"/>
          <w:u w:val="none"/>
          <w:lang w:val="en-GB"/>
        </w:rPr>
        <w:t>C 03.00 - CAPITAL RATIOS AND CAPITAL LEVELS (CA3)</w:t>
      </w:r>
      <w:bookmarkEnd w:id="49"/>
      <w:bookmarkEnd w:id="50"/>
      <w:r w:rsidR="002648B0" w:rsidRPr="002A677E">
        <w:rPr>
          <w:rFonts w:ascii="Times New Roman" w:hAnsi="Times New Roman" w:cs="Times New Roman"/>
          <w:sz w:val="24"/>
          <w:u w:val="none"/>
          <w:lang w:val="en-GB"/>
        </w:rPr>
        <w:t xml:space="preserve"> </w:t>
      </w:r>
      <w:bookmarkEnd w:id="51"/>
      <w:bookmarkEnd w:id="52"/>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3" w:name="_Toc308175827"/>
      <w:bookmarkStart w:id="54" w:name="_Toc310414972"/>
      <w:bookmarkStart w:id="55" w:name="_Toc360188330"/>
      <w:bookmarkStart w:id="56" w:name="_Toc473560878"/>
      <w:bookmarkStart w:id="57" w:name="_Toc151714366"/>
      <w:r w:rsidRPr="002A677E">
        <w:rPr>
          <w:rFonts w:ascii="Times New Roman" w:hAnsi="Times New Roman" w:cs="Times New Roman"/>
          <w:sz w:val="24"/>
          <w:u w:val="none"/>
          <w:lang w:val="en-GB"/>
        </w:rPr>
        <w:t>1.4.1.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53"/>
      <w:bookmarkEnd w:id="54"/>
      <w:r w:rsidR="002B5403" w:rsidRPr="002A677E">
        <w:rPr>
          <w:rFonts w:ascii="Times New Roman" w:hAnsi="Times New Roman" w:cs="Times New Roman"/>
          <w:sz w:val="24"/>
          <w:lang w:val="en-GB"/>
        </w:rPr>
        <w:t>positions</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B055FF">
            <w:pPr>
              <w:pStyle w:val="InstructionsText"/>
            </w:pPr>
            <w:r w:rsidRPr="002A677E">
              <w:t>Rows</w:t>
            </w:r>
          </w:p>
        </w:tc>
      </w:tr>
      <w:tr w:rsidR="002648B0" w:rsidRPr="002A677E" w14:paraId="4565C251" w14:textId="77777777" w:rsidTr="003E47C5">
        <w:tc>
          <w:tcPr>
            <w:tcW w:w="1163" w:type="dxa"/>
          </w:tcPr>
          <w:p w14:paraId="064EDF10" w14:textId="77777777" w:rsidR="002648B0" w:rsidRPr="002A677E" w:rsidRDefault="00B13F06" w:rsidP="00B055FF">
            <w:pPr>
              <w:pStyle w:val="InstructionsText"/>
            </w:pPr>
            <w:r w:rsidRPr="002A677E">
              <w:t>0</w:t>
            </w:r>
            <w:r w:rsidR="002648B0" w:rsidRPr="002A677E">
              <w:t>010</w:t>
            </w:r>
          </w:p>
        </w:tc>
        <w:tc>
          <w:tcPr>
            <w:tcW w:w="7620" w:type="dxa"/>
          </w:tcPr>
          <w:p w14:paraId="1AD00DFB" w14:textId="77777777" w:rsidR="005643EA" w:rsidRPr="002A677E" w:rsidRDefault="002648B0" w:rsidP="00B055FF">
            <w:pPr>
              <w:pStyle w:val="InstructionsText"/>
            </w:pPr>
            <w:r w:rsidRPr="002A677E">
              <w:rPr>
                <w:rStyle w:val="InstructionsTabelleberschrift"/>
                <w:rFonts w:ascii="Times New Roman" w:hAnsi="Times New Roman"/>
                <w:sz w:val="24"/>
              </w:rPr>
              <w:t>1</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CET1 Capital ratio</w:t>
            </w:r>
          </w:p>
          <w:p w14:paraId="3AB50D42" w14:textId="7C933A43" w:rsidR="005643EA" w:rsidRPr="002A677E" w:rsidRDefault="002648B0" w:rsidP="00B055FF">
            <w:pPr>
              <w:pStyle w:val="InstructionsText"/>
            </w:pPr>
            <w:r w:rsidRPr="002A677E">
              <w:t xml:space="preserve">Article </w:t>
            </w:r>
            <w:r w:rsidR="00AE3D79" w:rsidRPr="002A677E">
              <w:t>92</w:t>
            </w:r>
            <w:r w:rsidRPr="002A677E">
              <w:t>(2)</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4ECA63DC" w14:textId="77777777" w:rsidR="005643EA" w:rsidRPr="002A677E" w:rsidRDefault="002648B0" w:rsidP="00B055FF">
            <w:pPr>
              <w:pStyle w:val="InstructionsText"/>
            </w:pPr>
            <w:r w:rsidRPr="002A677E">
              <w:t>The CET1 capital ratio is the CET1 capital of the institution expressed as a percentage of the total risk exposure amount.</w:t>
            </w:r>
          </w:p>
        </w:tc>
      </w:tr>
      <w:tr w:rsidR="002648B0" w:rsidRPr="002A677E" w14:paraId="440E3109" w14:textId="77777777" w:rsidTr="003E47C5">
        <w:tc>
          <w:tcPr>
            <w:tcW w:w="1163" w:type="dxa"/>
          </w:tcPr>
          <w:p w14:paraId="6BDC7DA2" w14:textId="77777777" w:rsidR="002648B0" w:rsidRPr="002A677E" w:rsidRDefault="00B13F06" w:rsidP="00B055FF">
            <w:pPr>
              <w:pStyle w:val="InstructionsText"/>
            </w:pPr>
            <w:r w:rsidRPr="002A677E">
              <w:t>0</w:t>
            </w:r>
            <w:r w:rsidR="002648B0" w:rsidRPr="002A677E">
              <w:t>020</w:t>
            </w:r>
          </w:p>
        </w:tc>
        <w:tc>
          <w:tcPr>
            <w:tcW w:w="7620" w:type="dxa"/>
          </w:tcPr>
          <w:p w14:paraId="04CC9263"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CET1 capital</w:t>
            </w:r>
          </w:p>
          <w:p w14:paraId="37188E0C" w14:textId="2B40969C" w:rsidR="005643EA" w:rsidRPr="002A677E" w:rsidRDefault="002648B0" w:rsidP="00B055FF">
            <w:pPr>
              <w:pStyle w:val="InstructionsText"/>
            </w:pPr>
            <w:r w:rsidRPr="002A677E">
              <w:t>This item shows, in absolute figures, the amount of CET1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(a)</w:t>
            </w:r>
            <w:r w:rsidR="00CF5957">
              <w:t>,</w:t>
            </w:r>
            <w:r w:rsidR="008B3A5F" w:rsidRPr="002A677E">
              <w:t xml:space="preserve"> </w:t>
            </w:r>
            <w:r w:rsidR="00566DB5" w:rsidRPr="001235ED">
              <w:rPr>
                <w:lang w:val="en-US"/>
              </w:rPr>
              <w:t xml:space="preserve">of Regulation (EU) No 575/2013 </w:t>
            </w:r>
            <w:r w:rsidRPr="002A677E">
              <w:t>(4,5</w:t>
            </w:r>
            <w:r w:rsidR="00B856D5">
              <w:t xml:space="preserve"> </w:t>
            </w:r>
            <w:r w:rsidRPr="002A677E">
              <w:t>%), i.e. without taking into account the capital buffers and transitional provisions on the ratio.</w:t>
            </w:r>
          </w:p>
        </w:tc>
      </w:tr>
      <w:tr w:rsidR="002648B0" w:rsidRPr="002A677E" w14:paraId="0CE43EA1" w14:textId="77777777" w:rsidTr="003E47C5">
        <w:tc>
          <w:tcPr>
            <w:tcW w:w="1163" w:type="dxa"/>
          </w:tcPr>
          <w:p w14:paraId="6F7BF577" w14:textId="77777777" w:rsidR="002648B0" w:rsidRPr="002A677E" w:rsidRDefault="00B13F06" w:rsidP="00B055FF">
            <w:pPr>
              <w:pStyle w:val="InstructionsText"/>
            </w:pPr>
            <w:r w:rsidRPr="002A677E">
              <w:t>0</w:t>
            </w:r>
            <w:r w:rsidR="002648B0" w:rsidRPr="002A677E">
              <w:t>030</w:t>
            </w:r>
          </w:p>
        </w:tc>
        <w:tc>
          <w:tcPr>
            <w:tcW w:w="7620" w:type="dxa"/>
          </w:tcPr>
          <w:p w14:paraId="0184D636" w14:textId="77777777" w:rsidR="005643EA" w:rsidRPr="002A677E" w:rsidRDefault="002648B0" w:rsidP="00B055FF">
            <w:pPr>
              <w:pStyle w:val="InstructionsText"/>
            </w:pPr>
            <w:r w:rsidRPr="002A677E">
              <w:rPr>
                <w:rStyle w:val="InstructionsTabelleberschrift"/>
                <w:rFonts w:ascii="Times New Roman" w:hAnsi="Times New Roman"/>
                <w:sz w:val="24"/>
              </w:rPr>
              <w:t>3</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T1 Capital ratio</w:t>
            </w:r>
          </w:p>
          <w:p w14:paraId="601A9262" w14:textId="2A814BF8" w:rsidR="005643EA" w:rsidRPr="002A677E" w:rsidRDefault="002648B0" w:rsidP="00B055FF">
            <w:pPr>
              <w:pStyle w:val="InstructionsText"/>
            </w:pPr>
            <w:r w:rsidRPr="002A677E">
              <w:t xml:space="preserve">Article </w:t>
            </w:r>
            <w:r w:rsidR="00AE3D79" w:rsidRPr="002A677E">
              <w:t>92</w:t>
            </w:r>
            <w:r w:rsidRPr="002A677E">
              <w:t>(2)</w:t>
            </w:r>
            <w:r w:rsidR="00B83DDE">
              <w:t>, p</w:t>
            </w:r>
            <w:r w:rsidR="008B3A5F" w:rsidRPr="002A677E">
              <w:t>oint (b)</w:t>
            </w:r>
            <w:r w:rsidR="00BE1277">
              <w:t>,</w:t>
            </w:r>
            <w:r w:rsidR="008B3A5F" w:rsidRPr="002A677E">
              <w:t xml:space="preserve"> </w:t>
            </w:r>
            <w:r w:rsidR="00566DB5" w:rsidRPr="001235ED">
              <w:rPr>
                <w:lang w:val="en-US"/>
              </w:rPr>
              <w:t>of Regulation (EU) No 575/2013</w:t>
            </w:r>
          </w:p>
          <w:p w14:paraId="766E9F5A" w14:textId="77777777" w:rsidR="005643EA" w:rsidRPr="002A677E" w:rsidRDefault="002648B0" w:rsidP="00B055FF">
            <w:pPr>
              <w:pStyle w:val="InstructionsText"/>
            </w:pPr>
            <w:r w:rsidRPr="002A677E">
              <w:t>The T1 capital ratio is the T1 capital of the institution expressed as a percentage of the total risk exposure amount.</w:t>
            </w:r>
          </w:p>
        </w:tc>
      </w:tr>
      <w:tr w:rsidR="002648B0" w:rsidRPr="002A677E" w14:paraId="120C569B" w14:textId="77777777" w:rsidTr="003E47C5">
        <w:tc>
          <w:tcPr>
            <w:tcW w:w="1163" w:type="dxa"/>
          </w:tcPr>
          <w:p w14:paraId="2B434E94" w14:textId="77777777" w:rsidR="002648B0" w:rsidRPr="002A677E" w:rsidRDefault="00B13F06" w:rsidP="00B055FF">
            <w:pPr>
              <w:pStyle w:val="InstructionsText"/>
            </w:pPr>
            <w:r w:rsidRPr="002A677E">
              <w:t>0</w:t>
            </w:r>
            <w:r w:rsidR="002648B0" w:rsidRPr="002A677E">
              <w:t>040</w:t>
            </w:r>
          </w:p>
        </w:tc>
        <w:tc>
          <w:tcPr>
            <w:tcW w:w="7620" w:type="dxa"/>
          </w:tcPr>
          <w:p w14:paraId="502A3E0F" w14:textId="77777777" w:rsidR="005643EA" w:rsidRPr="002A677E" w:rsidRDefault="002648B0" w:rsidP="00B055FF">
            <w:pPr>
              <w:pStyle w:val="InstructionsText"/>
            </w:pPr>
            <w:r w:rsidRPr="002A677E">
              <w:rPr>
                <w:rStyle w:val="InstructionsTabelleberschrift"/>
                <w:rFonts w:ascii="Times New Roman" w:hAnsi="Times New Roman"/>
                <w:sz w:val="24"/>
              </w:rPr>
              <w:t>4</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T1 capital</w:t>
            </w:r>
          </w:p>
          <w:p w14:paraId="7F9BAB6C" w14:textId="62F8DD46" w:rsidR="005643EA" w:rsidRPr="002A677E" w:rsidRDefault="002648B0" w:rsidP="00B055FF">
            <w:pPr>
              <w:pStyle w:val="InstructionsText"/>
            </w:pPr>
            <w:r w:rsidRPr="002A677E">
              <w:t>This item shows, in absolute figures, the amount of 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(b)</w:t>
            </w:r>
            <w:r w:rsidR="00BE1277">
              <w:t>,</w:t>
            </w:r>
            <w:r w:rsidR="008B3A5F" w:rsidRPr="002A677E">
              <w:t xml:space="preserve"> </w:t>
            </w:r>
            <w:r w:rsidR="00566DB5" w:rsidRPr="001235ED">
              <w:rPr>
                <w:lang w:val="en-US"/>
              </w:rPr>
              <w:t xml:space="preserve">of Regulation (EU) No 575/2013 </w:t>
            </w:r>
            <w:r w:rsidRPr="002A677E">
              <w:t>(6</w:t>
            </w:r>
            <w:r w:rsidR="00B856D5">
              <w:t xml:space="preserve"> </w:t>
            </w:r>
            <w:r w:rsidRPr="002A677E">
              <w:t>%), i.e. without taking into account the capital buffers and transitional provisions on the ratio.</w:t>
            </w:r>
          </w:p>
        </w:tc>
      </w:tr>
      <w:tr w:rsidR="002648B0" w:rsidRPr="002A677E" w14:paraId="0C922347" w14:textId="77777777" w:rsidTr="003E47C5">
        <w:tc>
          <w:tcPr>
            <w:tcW w:w="1163" w:type="dxa"/>
          </w:tcPr>
          <w:p w14:paraId="7E634242" w14:textId="77777777" w:rsidR="002648B0" w:rsidRPr="002A677E" w:rsidRDefault="00B13F06" w:rsidP="00B055FF">
            <w:pPr>
              <w:pStyle w:val="InstructionsText"/>
            </w:pPr>
            <w:r w:rsidRPr="002A677E">
              <w:t>0</w:t>
            </w:r>
            <w:r w:rsidR="002648B0" w:rsidRPr="002A677E">
              <w:t>050</w:t>
            </w:r>
          </w:p>
        </w:tc>
        <w:tc>
          <w:tcPr>
            <w:tcW w:w="7620" w:type="dxa"/>
          </w:tcPr>
          <w:p w14:paraId="40F1E8E5" w14:textId="77777777" w:rsidR="005643EA" w:rsidRPr="002A677E" w:rsidRDefault="002648B0" w:rsidP="00B055FF">
            <w:pPr>
              <w:pStyle w:val="InstructionsText"/>
            </w:pPr>
            <w:r w:rsidRPr="002A677E">
              <w:rPr>
                <w:rStyle w:val="InstructionsTabelleberschrift"/>
                <w:rFonts w:ascii="Times New Roman" w:hAnsi="Times New Roman"/>
                <w:sz w:val="24"/>
              </w:rPr>
              <w:t>5</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capital ratio</w:t>
            </w:r>
          </w:p>
          <w:p w14:paraId="1B806A0B" w14:textId="10B1CB02" w:rsidR="005643EA" w:rsidRPr="002A677E" w:rsidRDefault="002648B0" w:rsidP="00B055FF">
            <w:pPr>
              <w:pStyle w:val="InstructionsText"/>
            </w:pPr>
            <w:r w:rsidRPr="002A677E">
              <w:t xml:space="preserve">Article </w:t>
            </w:r>
            <w:r w:rsidR="00AE3D79" w:rsidRPr="002A677E">
              <w:t>92</w:t>
            </w:r>
            <w:r w:rsidRPr="002A677E">
              <w:t>(2)</w:t>
            </w:r>
            <w:r w:rsidR="00B83DDE">
              <w:t>, p</w:t>
            </w:r>
            <w:r w:rsidR="008B3A5F" w:rsidRPr="002A677E">
              <w:t>oint (c)</w:t>
            </w:r>
            <w:r w:rsidR="00BE1277">
              <w:t>,</w:t>
            </w:r>
            <w:r w:rsidR="008B3A5F" w:rsidRPr="002A677E">
              <w:t xml:space="preserve"> </w:t>
            </w:r>
            <w:r w:rsidR="00566DB5" w:rsidRPr="001235ED">
              <w:rPr>
                <w:lang w:val="en-US"/>
              </w:rPr>
              <w:t>of Regulation (EU) No 575/2013</w:t>
            </w:r>
          </w:p>
          <w:p w14:paraId="2870DB19" w14:textId="77777777" w:rsidR="005643EA" w:rsidRPr="002A677E" w:rsidRDefault="002648B0" w:rsidP="00B055FF">
            <w:pPr>
              <w:pStyle w:val="InstructionsText"/>
            </w:pPr>
            <w:r w:rsidRPr="002A677E">
              <w:t>The total capital ratio is the own funds of the institution expressed as a percentage of the total risk exposure amount.</w:t>
            </w:r>
          </w:p>
        </w:tc>
      </w:tr>
      <w:tr w:rsidR="002648B0" w:rsidRPr="002A677E" w14:paraId="2A42B17E" w14:textId="77777777" w:rsidTr="003E47C5">
        <w:tc>
          <w:tcPr>
            <w:tcW w:w="1163" w:type="dxa"/>
          </w:tcPr>
          <w:p w14:paraId="5D60226C" w14:textId="77777777" w:rsidR="002648B0" w:rsidRPr="002A677E" w:rsidRDefault="00B13F06" w:rsidP="00B055FF">
            <w:pPr>
              <w:pStyle w:val="InstructionsText"/>
            </w:pPr>
            <w:r w:rsidRPr="002A677E">
              <w:t>0</w:t>
            </w:r>
            <w:r w:rsidR="002648B0" w:rsidRPr="002A677E">
              <w:t>060</w:t>
            </w:r>
          </w:p>
        </w:tc>
        <w:tc>
          <w:tcPr>
            <w:tcW w:w="7620" w:type="dxa"/>
          </w:tcPr>
          <w:p w14:paraId="4C157BF3" w14:textId="77777777" w:rsidR="005643EA" w:rsidRPr="002A677E" w:rsidRDefault="002648B0" w:rsidP="00B055FF">
            <w:pPr>
              <w:pStyle w:val="InstructionsText"/>
            </w:pPr>
            <w:r w:rsidRPr="002A677E">
              <w:rPr>
                <w:rStyle w:val="InstructionsTabelleberschrift"/>
                <w:rFonts w:ascii="Times New Roman" w:hAnsi="Times New Roman"/>
                <w:sz w:val="24"/>
              </w:rPr>
              <w:t>6</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total capital</w:t>
            </w:r>
          </w:p>
          <w:p w14:paraId="6F40F6A3" w14:textId="5CD02696" w:rsidR="005643EA" w:rsidRPr="002A677E" w:rsidRDefault="002648B0" w:rsidP="00B055FF">
            <w:pPr>
              <w:pStyle w:val="InstructionsText"/>
            </w:pPr>
            <w:r w:rsidRPr="002A677E">
              <w:t>This item shows, in absolute figures, the amount of own funds surplus or deficit relating to the requirement set in Article</w:t>
            </w:r>
            <w:r w:rsidR="00730040" w:rsidRPr="002A677E">
              <w:t xml:space="preserve"> </w:t>
            </w:r>
            <w:r w:rsidR="00AE3D79" w:rsidRPr="002A677E">
              <w:t>92</w:t>
            </w:r>
            <w:r w:rsidRPr="002A677E">
              <w:t>(1)</w:t>
            </w:r>
            <w:r w:rsidR="00B83DDE">
              <w:t>, p</w:t>
            </w:r>
            <w:r w:rsidR="008B3A5F" w:rsidRPr="002A677E">
              <w:t>oint (c)</w:t>
            </w:r>
            <w:r w:rsidR="00BE1277">
              <w:t>,</w:t>
            </w:r>
            <w:r w:rsidR="008B3A5F" w:rsidRPr="002A677E">
              <w:t xml:space="preserve"> </w:t>
            </w:r>
            <w:r w:rsidR="00566DB5" w:rsidRPr="001235ED">
              <w:rPr>
                <w:lang w:val="en-US"/>
              </w:rPr>
              <w:t>of Regulation (EU) No 575/2013</w:t>
            </w:r>
            <w:r w:rsidR="00402284">
              <w:rPr>
                <w:lang w:val="en-US"/>
              </w:rPr>
              <w:t xml:space="preserve"> </w:t>
            </w:r>
            <w:r w:rsidRPr="002A677E">
              <w:t>(8</w:t>
            </w:r>
            <w:r w:rsidR="00B856D5">
              <w:t xml:space="preserve"> </w:t>
            </w:r>
            <w:r w:rsidRPr="002A677E">
              <w:t>%), i.e. without taking into account the capital buffers and transitional provisions on the ratio.</w:t>
            </w:r>
          </w:p>
        </w:tc>
      </w:tr>
      <w:tr w:rsidR="001051BD" w:rsidRPr="002A677E" w14:paraId="34E4EBC3" w14:textId="77777777" w:rsidTr="003E47C5">
        <w:tc>
          <w:tcPr>
            <w:tcW w:w="1163" w:type="dxa"/>
          </w:tcPr>
          <w:p w14:paraId="2551FA2E" w14:textId="00DA13A2" w:rsidR="001051BD" w:rsidRPr="002A677E" w:rsidRDefault="001051BD" w:rsidP="00B055FF">
            <w:pPr>
              <w:pStyle w:val="InstructionsText"/>
            </w:pPr>
            <w:r>
              <w:t>007</w:t>
            </w:r>
            <w:r w:rsidR="009322D9">
              <w:t>0</w:t>
            </w:r>
          </w:p>
        </w:tc>
        <w:tc>
          <w:tcPr>
            <w:tcW w:w="7620" w:type="dxa"/>
          </w:tcPr>
          <w:p w14:paraId="6CD1D9D8" w14:textId="550DD7B7" w:rsidR="001051BD" w:rsidRDefault="001051BD"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7          </w:t>
            </w:r>
            <w:r w:rsidRPr="002C0381">
              <w:rPr>
                <w:rStyle w:val="InstructionsTabelleberschrift"/>
                <w:rFonts w:ascii="Times New Roman" w:hAnsi="Times New Roman"/>
                <w:sz w:val="24"/>
              </w:rPr>
              <w:t xml:space="preserve">CET1 Capital ratio considering unfloored </w:t>
            </w:r>
            <w:r>
              <w:rPr>
                <w:rStyle w:val="InstructionsTabelleberschrift"/>
                <w:rFonts w:ascii="Times New Roman" w:hAnsi="Times New Roman"/>
                <w:sz w:val="24"/>
              </w:rPr>
              <w:t>TR</w:t>
            </w:r>
            <w:r w:rsidRPr="002C0381">
              <w:rPr>
                <w:rStyle w:val="InstructionsTabelleberschrift"/>
                <w:rFonts w:ascii="Times New Roman" w:hAnsi="Times New Roman"/>
                <w:sz w:val="24"/>
              </w:rPr>
              <w:t>EA</w:t>
            </w:r>
          </w:p>
          <w:p w14:paraId="54F778DF" w14:textId="4204CA97" w:rsidR="001051BD" w:rsidRPr="002A677E" w:rsidRDefault="001051BD" w:rsidP="00B055FF">
            <w:pPr>
              <w:pStyle w:val="InstructionsText"/>
              <w:rPr>
                <w:rStyle w:val="InstructionsTabelleberschrift"/>
                <w:rFonts w:ascii="Times New Roman" w:hAnsi="Times New Roman"/>
                <w:sz w:val="24"/>
              </w:rPr>
            </w:pPr>
            <w:r w:rsidRPr="002A677E">
              <w:t>The CET1 capital ratio</w:t>
            </w:r>
            <w:r>
              <w:t xml:space="preserve"> as defined in </w:t>
            </w:r>
            <w:r w:rsidRPr="002A677E">
              <w:t>Article 92(2)</w:t>
            </w:r>
            <w:r>
              <w:t>, p</w:t>
            </w:r>
            <w:r w:rsidRPr="002A677E">
              <w:t>oint (a)</w:t>
            </w:r>
            <w:r>
              <w:t>,</w:t>
            </w:r>
            <w:r w:rsidRPr="002A677E">
              <w:t xml:space="preserve"> </w:t>
            </w:r>
            <w:r w:rsidRPr="001235ED">
              <w:rPr>
                <w:lang w:val="en-US"/>
              </w:rPr>
              <w:t>of Regulation (EU) No 575/2013</w:t>
            </w:r>
            <w:r>
              <w:rPr>
                <w:lang w:val="en-US"/>
              </w:rP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1051BD" w:rsidRPr="002A677E" w14:paraId="2516855C" w14:textId="77777777" w:rsidTr="003E47C5">
        <w:tc>
          <w:tcPr>
            <w:tcW w:w="1163" w:type="dxa"/>
          </w:tcPr>
          <w:p w14:paraId="7B303435" w14:textId="17AC873E" w:rsidR="001051BD" w:rsidRPr="002A677E" w:rsidRDefault="001051BD" w:rsidP="00B055FF">
            <w:pPr>
              <w:pStyle w:val="InstructionsText"/>
            </w:pPr>
            <w:r>
              <w:t>008</w:t>
            </w:r>
            <w:r w:rsidR="009322D9">
              <w:t>0</w:t>
            </w:r>
          </w:p>
        </w:tc>
        <w:tc>
          <w:tcPr>
            <w:tcW w:w="7620" w:type="dxa"/>
          </w:tcPr>
          <w:p w14:paraId="25927FD1" w14:textId="3E29FE12" w:rsidR="001051BD" w:rsidRDefault="001051BD"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8          </w:t>
            </w:r>
            <w:r w:rsidRPr="00DF0412">
              <w:rPr>
                <w:rStyle w:val="InstructionsTabelleberschrift"/>
                <w:rFonts w:ascii="Times New Roman" w:hAnsi="Times New Roman"/>
                <w:sz w:val="24"/>
              </w:rPr>
              <w:t xml:space="preserve">T1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034FBD1C" w14:textId="5DFBD882" w:rsidR="001051BD" w:rsidRPr="002A677E" w:rsidRDefault="001051BD" w:rsidP="00B055FF">
            <w:pPr>
              <w:pStyle w:val="InstructionsText"/>
              <w:rPr>
                <w:rStyle w:val="InstructionsTabelleberschrift"/>
                <w:rFonts w:ascii="Times New Roman" w:hAnsi="Times New Roman"/>
                <w:sz w:val="24"/>
              </w:rPr>
            </w:pPr>
            <w:r w:rsidRPr="002A677E">
              <w:t>The T1 capital ratio</w:t>
            </w:r>
            <w:r>
              <w:t xml:space="preserve"> as defined in</w:t>
            </w:r>
            <w:r w:rsidRPr="002A677E">
              <w:t xml:space="preserve"> Article 92(2)</w:t>
            </w:r>
            <w:r>
              <w:t>, p</w:t>
            </w:r>
            <w:r w:rsidRPr="002A677E">
              <w:t>oint (b)</w:t>
            </w:r>
            <w:r>
              <w:t>,</w:t>
            </w:r>
            <w:r w:rsidRPr="002A677E">
              <w:t xml:space="preserve"> </w:t>
            </w:r>
            <w:r w:rsidRPr="001235ED">
              <w:rPr>
                <w:lang w:val="en-US"/>
              </w:rPr>
              <w:t>of Regulation (EU) No 575/2013</w:t>
            </w:r>
            <w:r>
              <w:rPr>
                <w:lang w:val="en-US"/>
              </w:rPr>
              <w:t xml:space="preserve">, </w:t>
            </w:r>
            <w:r w:rsidRPr="002A677E">
              <w:t xml:space="preserve">expressed as a percentage of the total risk exposure </w:t>
            </w:r>
            <w:r w:rsidRPr="002A677E">
              <w:lastRenderedPageBreak/>
              <w:t>amount</w:t>
            </w:r>
            <w:r>
              <w:t xml:space="preserve"> calculated in accordance with Article 92(4) </w:t>
            </w:r>
            <w:r w:rsidRPr="001235ED">
              <w:rPr>
                <w:lang w:val="en-US"/>
              </w:rPr>
              <w:t>of Regulation (EU) No 575/2013</w:t>
            </w:r>
            <w:r>
              <w:t>.</w:t>
            </w:r>
          </w:p>
        </w:tc>
      </w:tr>
      <w:tr w:rsidR="001051BD" w:rsidRPr="002A677E" w14:paraId="41CFB2AF" w14:textId="77777777" w:rsidTr="003E47C5">
        <w:tc>
          <w:tcPr>
            <w:tcW w:w="1163" w:type="dxa"/>
          </w:tcPr>
          <w:p w14:paraId="745D53FE" w14:textId="50CD0926" w:rsidR="001051BD" w:rsidRPr="002A677E" w:rsidRDefault="001051BD" w:rsidP="00B055FF">
            <w:pPr>
              <w:pStyle w:val="InstructionsText"/>
            </w:pPr>
            <w:r>
              <w:lastRenderedPageBreak/>
              <w:t>009</w:t>
            </w:r>
            <w:r w:rsidR="009322D9">
              <w:t>0</w:t>
            </w:r>
          </w:p>
        </w:tc>
        <w:tc>
          <w:tcPr>
            <w:tcW w:w="7620" w:type="dxa"/>
          </w:tcPr>
          <w:p w14:paraId="44DA805F" w14:textId="6C04D85F" w:rsidR="001051BD" w:rsidRDefault="001051BD"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9          </w:t>
            </w:r>
            <w:r w:rsidRPr="00DF0412">
              <w:rPr>
                <w:rStyle w:val="InstructionsTabelleberschrift"/>
                <w:rFonts w:ascii="Times New Roman" w:hAnsi="Times New Roman"/>
                <w:sz w:val="24"/>
              </w:rPr>
              <w:t xml:space="preserve">Total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p>
          <w:p w14:paraId="3B6C38E6" w14:textId="0D7B832C" w:rsidR="001051BD" w:rsidRPr="002A677E" w:rsidRDefault="001051BD" w:rsidP="00B055FF">
            <w:pPr>
              <w:pStyle w:val="InstructionsText"/>
              <w:rPr>
                <w:rStyle w:val="InstructionsTabelleberschrift"/>
                <w:rFonts w:ascii="Times New Roman" w:hAnsi="Times New Roman"/>
                <w:sz w:val="24"/>
              </w:rPr>
            </w:pPr>
            <w:r w:rsidRPr="002A677E">
              <w:t>The total capital ratio</w:t>
            </w:r>
            <w:r>
              <w:t xml:space="preserve"> as defined in</w:t>
            </w:r>
            <w:r w:rsidRPr="002A677E">
              <w:t xml:space="preserve"> Article 92(2)</w:t>
            </w:r>
            <w:r>
              <w:t>, p</w:t>
            </w:r>
            <w:r w:rsidRPr="002A677E">
              <w:t>oint (c)</w:t>
            </w:r>
            <w:r>
              <w:t>,</w:t>
            </w:r>
            <w:r w:rsidRPr="002A677E">
              <w:t xml:space="preserve"> </w:t>
            </w:r>
            <w:r w:rsidRPr="001235ED">
              <w:rPr>
                <w:lang w:val="en-US"/>
              </w:rPr>
              <w:t>of Regulation (EU) No 575/2013</w:t>
            </w:r>
            <w: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p>
        </w:tc>
      </w:tr>
      <w:tr w:rsidR="001A4B4F" w:rsidRPr="002A677E" w14:paraId="6EFBB212" w14:textId="77777777" w:rsidTr="003E47C5">
        <w:tc>
          <w:tcPr>
            <w:tcW w:w="1163" w:type="dxa"/>
          </w:tcPr>
          <w:p w14:paraId="5BA0065D" w14:textId="509E26E1" w:rsidR="001A4B4F" w:rsidRPr="002A677E" w:rsidRDefault="001A4B4F" w:rsidP="00B055FF">
            <w:pPr>
              <w:pStyle w:val="InstructionsText"/>
            </w:pPr>
            <w:r w:rsidRPr="002A677E">
              <w:t>0130</w:t>
            </w:r>
          </w:p>
        </w:tc>
        <w:tc>
          <w:tcPr>
            <w:tcW w:w="7620" w:type="dxa"/>
          </w:tcPr>
          <w:p w14:paraId="5059D992" w14:textId="77777777" w:rsidR="001A4B4F" w:rsidRPr="001E3E85" w:rsidRDefault="001A4B4F" w:rsidP="00B055FF">
            <w:pPr>
              <w:pStyle w:val="InstructionsText"/>
              <w:rPr>
                <w:rStyle w:val="InstructionsTabelleberschrift"/>
                <w:rFonts w:ascii="Times New Roman" w:hAnsi="Times New Roman"/>
                <w:bCs w:val="0"/>
                <w:sz w:val="24"/>
                <w:lang w:eastAsia="en-US"/>
              </w:rPr>
            </w:pPr>
            <w:r w:rsidRPr="00CE0557">
              <w:rPr>
                <w:rStyle w:val="InstructionsTabelleberschrift"/>
                <w:rFonts w:ascii="Times New Roman" w:hAnsi="Times New Roman"/>
                <w:sz w:val="24"/>
              </w:rPr>
              <w:t>13</w:t>
            </w:r>
            <w:r w:rsidRPr="00CE0557">
              <w:rPr>
                <w:rStyle w:val="InstructionsTabelleberschrift"/>
                <w:rFonts w:ascii="Times New Roman" w:hAnsi="Times New Roman"/>
                <w:sz w:val="24"/>
              </w:rPr>
              <w:tab/>
              <w:t>Total SREP capital requirement (TSCR) ratio</w:t>
            </w:r>
          </w:p>
          <w:p w14:paraId="7167B990" w14:textId="77777777" w:rsidR="001A4B4F" w:rsidRPr="002A677E" w:rsidRDefault="001A4B4F" w:rsidP="00B055FF">
            <w:pPr>
              <w:pStyle w:val="InstructionsText"/>
            </w:pPr>
            <w:r w:rsidRPr="002A677E">
              <w:t>The sum of (i) and (ii) as follows:</w:t>
            </w:r>
          </w:p>
          <w:p w14:paraId="3346BB21" w14:textId="77777777" w:rsidR="001A4B4F" w:rsidRPr="002A677E" w:rsidRDefault="001A4B4F" w:rsidP="00B055FF">
            <w:pPr>
              <w:pStyle w:val="InstructionsText"/>
            </w:pPr>
            <w:r w:rsidRPr="002A677E">
              <w:t>the total capital ratio (8</w:t>
            </w:r>
            <w:r>
              <w:t xml:space="preserve"> </w:t>
            </w:r>
            <w:r w:rsidRPr="002A677E">
              <w:t>%) as specified in Article 92(1)</w:t>
            </w:r>
            <w:r>
              <w:t>, p</w:t>
            </w:r>
            <w:r w:rsidRPr="002A677E">
              <w:t>oint (c)</w:t>
            </w:r>
            <w:r>
              <w:t>,</w:t>
            </w:r>
            <w:r w:rsidRPr="002A677E">
              <w:t xml:space="preserve"> </w:t>
            </w:r>
            <w:r w:rsidRPr="001E3E85">
              <w:rPr>
                <w:lang w:val="en-US"/>
              </w:rPr>
              <w:t>of Regulation (EU) No 575/2013</w:t>
            </w:r>
            <w:r w:rsidRPr="002A677E">
              <w:t xml:space="preserve">; </w:t>
            </w:r>
          </w:p>
          <w:p w14:paraId="3B85B788" w14:textId="77777777" w:rsidR="001A4B4F" w:rsidRPr="002A677E" w:rsidRDefault="001A4B4F" w:rsidP="00B055FF">
            <w:pPr>
              <w:pStyle w:val="InstructionsText"/>
            </w:pPr>
            <w:r w:rsidRPr="002A677E">
              <w:t>the additional own funds requirements (Pillar 2 Requirements – P2R) as referred to in Article 104 (1)</w:t>
            </w:r>
            <w:r>
              <w:t>, p</w:t>
            </w:r>
            <w:r w:rsidRPr="002A677E">
              <w:t>oint (a)</w:t>
            </w:r>
            <w:r>
              <w:t>,</w:t>
            </w:r>
            <w:r w:rsidRPr="002A677E">
              <w:t xml:space="preserve"> of Directive 2013/36/EU</w:t>
            </w:r>
            <w:r>
              <w:t>, p</w:t>
            </w:r>
            <w:r w:rsidRPr="002A677E">
              <w:t xml:space="preserve">resented as ratio. They shall be determined in accordance with the criteria specified in the </w:t>
            </w:r>
            <w:r w:rsidRPr="001E3E85">
              <w:rPr>
                <w:i/>
              </w:rPr>
              <w:t xml:space="preserve">EBA Guidelines on common procedures and methodologies for the supervisory review and evaluation process and supervisory stress testing </w:t>
            </w:r>
            <w:r w:rsidRPr="002A677E">
              <w:t>(EBA SREP GL).</w:t>
            </w:r>
          </w:p>
          <w:p w14:paraId="13DEAE61" w14:textId="77777777" w:rsidR="001A4B4F" w:rsidRPr="002A677E" w:rsidRDefault="001A4B4F" w:rsidP="00B055FF">
            <w:pPr>
              <w:pStyle w:val="InstructionsText"/>
            </w:pPr>
            <w:r w:rsidRPr="002A677E">
              <w:t>This item shall reflect the total SREP capital requirement (TSCR) ratio as communicated to the institution by the competent authority. The TSCR is defined in Section 7.4 and 7.5 of the EBA SREP GL.</w:t>
            </w:r>
          </w:p>
          <w:p w14:paraId="60D48E23" w14:textId="77777777" w:rsidR="001A4B4F" w:rsidRDefault="001A4B4F" w:rsidP="00B055FF">
            <w:pPr>
              <w:pStyle w:val="InstructionsText"/>
            </w:pPr>
            <w:r w:rsidRPr="001235ED">
              <w:t>Where</w:t>
            </w:r>
            <w:r w:rsidRPr="002A677E">
              <w:t xml:space="preserve"> no additional own funds requirements were communicated by the competent authority, only point (i) shall be reported. </w:t>
            </w:r>
          </w:p>
          <w:p w14:paraId="555DB8D1" w14:textId="77777777" w:rsidR="001A4B4F" w:rsidRDefault="001A4B4F" w:rsidP="00B055FF">
            <w:pPr>
              <w:pStyle w:val="InstructionsText"/>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p w14:paraId="2B22BEBA" w14:textId="5E467741" w:rsidR="001A4B4F" w:rsidRPr="002A677E" w:rsidRDefault="001A4B4F" w:rsidP="00B055FF">
            <w:pPr>
              <w:pStyle w:val="InstructionsText"/>
              <w:rPr>
                <w:rStyle w:val="InstructionsTabelleberschrift"/>
                <w:rFonts w:ascii="Times New Roman" w:hAnsi="Times New Roman"/>
                <w:b w:val="0"/>
                <w:bCs w:val="0"/>
                <w:sz w:val="24"/>
                <w:u w:val="none"/>
              </w:rPr>
            </w:pPr>
          </w:p>
        </w:tc>
      </w:tr>
      <w:tr w:rsidR="00D565E5" w:rsidRPr="002A677E" w14:paraId="79420BB4" w14:textId="77777777" w:rsidTr="003E47C5">
        <w:tc>
          <w:tcPr>
            <w:tcW w:w="1163" w:type="dxa"/>
          </w:tcPr>
          <w:p w14:paraId="48EB47D6" w14:textId="323CC869" w:rsidR="00D565E5" w:rsidRPr="002A677E" w:rsidRDefault="00D565E5" w:rsidP="00B055FF">
            <w:pPr>
              <w:pStyle w:val="InstructionsText"/>
            </w:pPr>
            <w:r w:rsidRPr="002A677E">
              <w:t>0140</w:t>
            </w:r>
          </w:p>
        </w:tc>
        <w:tc>
          <w:tcPr>
            <w:tcW w:w="7620" w:type="dxa"/>
          </w:tcPr>
          <w:p w14:paraId="3CC8D612" w14:textId="77777777" w:rsidR="00D565E5" w:rsidRPr="002A677E" w:rsidRDefault="00D565E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7FC952D7" w14:textId="77777777" w:rsidR="00D565E5" w:rsidRPr="002A677E" w:rsidRDefault="00D565E5" w:rsidP="00B055FF">
            <w:pPr>
              <w:pStyle w:val="InstructionsText"/>
            </w:pPr>
            <w:r w:rsidRPr="002A677E">
              <w:t>The sum of (i) and (ii) as follows:</w:t>
            </w:r>
          </w:p>
          <w:p w14:paraId="697C0E4B" w14:textId="77777777" w:rsidR="00D565E5" w:rsidRPr="002A677E" w:rsidRDefault="00D565E5" w:rsidP="00B055FF">
            <w:pPr>
              <w:pStyle w:val="InstructionsText"/>
              <w:numPr>
                <w:ilvl w:val="0"/>
                <w:numId w:val="21"/>
              </w:numPr>
            </w:pPr>
            <w:r w:rsidRPr="002A677E">
              <w:t>the CET1 capital ratio (4.5</w:t>
            </w:r>
            <w:r>
              <w:t xml:space="preserve"> </w:t>
            </w:r>
            <w:r w:rsidRPr="002A677E">
              <w:t>%) as per Article 92(1)</w:t>
            </w:r>
            <w:r>
              <w:t>, p</w:t>
            </w:r>
            <w:r w:rsidRPr="002A677E">
              <w:t>oint (a)</w:t>
            </w:r>
            <w:r>
              <w:t>,</w:t>
            </w:r>
            <w:r w:rsidRPr="002A677E">
              <w:t xml:space="preserve"> </w:t>
            </w:r>
            <w:r w:rsidRPr="001235ED">
              <w:rPr>
                <w:lang w:val="en-US"/>
              </w:rPr>
              <w:t>of Regulation (EU) No 575/2013</w:t>
            </w:r>
            <w:r w:rsidRPr="002A677E">
              <w:t>;</w:t>
            </w:r>
          </w:p>
          <w:p w14:paraId="573D4DC1" w14:textId="77777777" w:rsidR="00D565E5" w:rsidRPr="002A677E" w:rsidRDefault="00D565E5" w:rsidP="00B055FF">
            <w:pPr>
              <w:pStyle w:val="InstructionsText"/>
              <w:numPr>
                <w:ilvl w:val="0"/>
                <w:numId w:val="21"/>
              </w:numPr>
              <w:rPr>
                <w:b/>
                <w:bCs/>
                <w:u w:val="single"/>
              </w:rPr>
            </w:pPr>
            <w:r w:rsidRPr="002A677E">
              <w:t>the part of the P2R ratio, referred to in point (ii) of row 0130, which is required by the competent authority to be held in the form of CET1 capital.</w:t>
            </w:r>
          </w:p>
          <w:p w14:paraId="65DCBE47" w14:textId="77777777" w:rsidR="00D565E5" w:rsidRDefault="00D565E5" w:rsidP="00B055FF">
            <w:pPr>
              <w:pStyle w:val="InstructionsText"/>
              <w:rPr>
                <w:rStyle w:val="InstructionsTabelleberschrift"/>
                <w:rFonts w:ascii="Times New Roman" w:hAnsi="Times New Roman"/>
                <w:b w:val="0"/>
                <w:sz w:val="24"/>
              </w:rPr>
            </w:pPr>
            <w:r w:rsidRPr="001235ED">
              <w:t>Where</w:t>
            </w:r>
            <w:r w:rsidRPr="002A677E">
              <w:t xml:space="preserve"> no additional own funds requirements, to be held in the form of CET1 capital, were communicated by the competent authority, only point (i) shall be reported.</w:t>
            </w:r>
            <w:r w:rsidRPr="002A677E">
              <w:rPr>
                <w:rStyle w:val="InstructionsTabelleberschrift"/>
                <w:rFonts w:ascii="Times New Roman" w:hAnsi="Times New Roman"/>
                <w:b w:val="0"/>
                <w:sz w:val="24"/>
              </w:rPr>
              <w:t xml:space="preserve"> </w:t>
            </w:r>
          </w:p>
          <w:p w14:paraId="170D6E02" w14:textId="607C897A" w:rsidR="00D565E5" w:rsidRPr="002A677E" w:rsidRDefault="00D565E5" w:rsidP="00B055FF">
            <w:pPr>
              <w:pStyle w:val="InstructionsText"/>
              <w:rPr>
                <w:rStyle w:val="InstructionsTabelleberschrift"/>
                <w:rFonts w:ascii="Times New Roman" w:hAnsi="Times New Roman"/>
                <w:sz w:val="24"/>
              </w:rPr>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622CC2" w:rsidRPr="002A677E" w14:paraId="0AED62E2" w14:textId="77777777" w:rsidTr="003E47C5">
        <w:tc>
          <w:tcPr>
            <w:tcW w:w="1163" w:type="dxa"/>
          </w:tcPr>
          <w:p w14:paraId="75C7F571" w14:textId="0C6AF3F2" w:rsidR="00622CC2" w:rsidRPr="002A677E" w:rsidRDefault="00622CC2" w:rsidP="00B055FF">
            <w:pPr>
              <w:pStyle w:val="InstructionsText"/>
            </w:pPr>
            <w:r w:rsidRPr="002A677E">
              <w:t>0150</w:t>
            </w:r>
          </w:p>
        </w:tc>
        <w:tc>
          <w:tcPr>
            <w:tcW w:w="7620" w:type="dxa"/>
          </w:tcPr>
          <w:p w14:paraId="43E688E1" w14:textId="77777777" w:rsidR="00622CC2" w:rsidRPr="002A677E" w:rsidRDefault="00622CC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7E1DEFFC" w14:textId="77777777" w:rsidR="00622CC2" w:rsidRPr="002A677E" w:rsidRDefault="00622CC2" w:rsidP="00B055FF">
            <w:pPr>
              <w:pStyle w:val="InstructionsText"/>
            </w:pPr>
            <w:r w:rsidRPr="002A677E">
              <w:t>The sum of (i) and (ii) as follows:</w:t>
            </w:r>
          </w:p>
          <w:p w14:paraId="5D8C84FD" w14:textId="77777777" w:rsidR="00622CC2" w:rsidRPr="002A677E" w:rsidRDefault="00622CC2" w:rsidP="00B055FF">
            <w:pPr>
              <w:pStyle w:val="InstructionsText"/>
              <w:numPr>
                <w:ilvl w:val="0"/>
                <w:numId w:val="22"/>
              </w:numPr>
            </w:pPr>
            <w:r w:rsidRPr="002A677E">
              <w:lastRenderedPageBreak/>
              <w:t>the Tier 1 capital ratio (6</w:t>
            </w:r>
            <w:r>
              <w:t xml:space="preserve"> </w:t>
            </w:r>
            <w:r w:rsidRPr="002A677E">
              <w:t>%) as per Article 92(1)</w:t>
            </w:r>
            <w:r>
              <w:t>, p</w:t>
            </w:r>
            <w:r w:rsidRPr="002A677E">
              <w:t>oint (b)</w:t>
            </w:r>
            <w:r>
              <w:t>,</w:t>
            </w:r>
            <w:r w:rsidRPr="002A677E">
              <w:t xml:space="preserve"> </w:t>
            </w:r>
            <w:r w:rsidRPr="001235ED">
              <w:rPr>
                <w:lang w:val="en-US"/>
              </w:rPr>
              <w:t>of Regulation (EU) No 575/2013</w:t>
            </w:r>
            <w:r w:rsidRPr="002A677E">
              <w:t>;</w:t>
            </w:r>
          </w:p>
          <w:p w14:paraId="72D6D438" w14:textId="77777777" w:rsidR="00622CC2" w:rsidRPr="002A677E" w:rsidRDefault="00622CC2" w:rsidP="00B055FF">
            <w:pPr>
              <w:pStyle w:val="InstructionsText"/>
              <w:numPr>
                <w:ilvl w:val="0"/>
                <w:numId w:val="22"/>
              </w:numPr>
              <w:rPr>
                <w:bCs/>
                <w:u w:val="single"/>
              </w:rPr>
            </w:pPr>
            <w:r w:rsidRPr="002A677E">
              <w:t>the part of P2R ratio, referred to in point (ii) of row 0130, which is required by the competent authority to be held in the form of Tier 1 capital.</w:t>
            </w:r>
          </w:p>
          <w:p w14:paraId="36986147" w14:textId="77777777" w:rsidR="00622CC2" w:rsidRDefault="00622CC2" w:rsidP="00B055FF">
            <w:pPr>
              <w:pStyle w:val="InstructionsText"/>
            </w:pPr>
            <w:r w:rsidRPr="001235ED">
              <w:t>Where</w:t>
            </w:r>
            <w:r w:rsidRPr="002A677E">
              <w:t xml:space="preserve"> no additional own funds requirements, to be held in the form of Tier 1 capital, were communicated by the competent authority, then only point (i) shall be reported.</w:t>
            </w:r>
          </w:p>
          <w:p w14:paraId="7A82E739" w14:textId="0ED8C13B" w:rsidR="00622CC2" w:rsidRPr="002A677E" w:rsidRDefault="00622CC2" w:rsidP="00B055FF">
            <w:pPr>
              <w:pStyle w:val="InstructionsText"/>
              <w:rPr>
                <w:rStyle w:val="InstructionsTabelleberschrift"/>
                <w:rFonts w:ascii="Times New Roman" w:hAnsi="Times New Roman"/>
                <w:b w:val="0"/>
                <w:sz w:val="24"/>
              </w:rPr>
            </w:pP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p>
        </w:tc>
      </w:tr>
      <w:tr w:rsidR="00622CC2" w:rsidRPr="002A677E" w14:paraId="3146C8E3" w14:textId="77777777" w:rsidTr="003E47C5">
        <w:tc>
          <w:tcPr>
            <w:tcW w:w="1163" w:type="dxa"/>
          </w:tcPr>
          <w:p w14:paraId="4BE5E361" w14:textId="62B3B9CE" w:rsidR="00622CC2" w:rsidRPr="002A677E" w:rsidRDefault="00622CC2" w:rsidP="00B055FF">
            <w:pPr>
              <w:pStyle w:val="InstructionsText"/>
            </w:pPr>
            <w:r>
              <w:lastRenderedPageBreak/>
              <w:t>015</w:t>
            </w:r>
            <w:r w:rsidR="00F245A6">
              <w:t>1</w:t>
            </w:r>
          </w:p>
        </w:tc>
        <w:tc>
          <w:tcPr>
            <w:tcW w:w="7620" w:type="dxa"/>
          </w:tcPr>
          <w:p w14:paraId="50DB1672" w14:textId="63CAA31C" w:rsidR="00622CC2" w:rsidRDefault="00622CC2"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BF2F00">
              <w:rPr>
                <w:rStyle w:val="InstructionsTabelleberschrift"/>
                <w:rFonts w:ascii="Times New Roman" w:hAnsi="Times New Roman"/>
                <w:sz w:val="24"/>
              </w:rPr>
              <w:t xml:space="preserve">Total SREP capital requirement (TSCR) ratio </w:t>
            </w:r>
            <w:r>
              <w:rPr>
                <w:rStyle w:val="InstructionsTabelleberschrift"/>
                <w:rFonts w:ascii="Times New Roman" w:hAnsi="Times New Roman"/>
                <w:sz w:val="24"/>
              </w:rPr>
              <w:t>without</w:t>
            </w:r>
            <w:r w:rsidRPr="00BF2F00">
              <w:rPr>
                <w:rStyle w:val="InstructionsTabelleberschrift"/>
                <w:rFonts w:ascii="Times New Roman" w:hAnsi="Times New Roman"/>
                <w:sz w:val="24"/>
              </w:rPr>
              <w:t xml:space="preserve"> cap of Article 104a(6), point (a), of Directive 2013/36/EU</w:t>
            </w:r>
          </w:p>
          <w:p w14:paraId="7FF9029B" w14:textId="6FE0512B" w:rsidR="00622CC2" w:rsidRDefault="00622CC2" w:rsidP="00DA09CD">
            <w:pPr>
              <w:pStyle w:val="InstructionsText"/>
            </w:pPr>
            <w:r>
              <w:t xml:space="preserve">Article 104a(6), point (a), of </w:t>
            </w:r>
            <w:r w:rsidRPr="002A677E">
              <w:t>Directive 2013/36/EU</w:t>
            </w:r>
            <w:r>
              <w:t>.</w:t>
            </w:r>
          </w:p>
          <w:p w14:paraId="4D50D6A1" w14:textId="5769D134" w:rsidR="00622CC2" w:rsidRPr="002A677E" w:rsidRDefault="00622CC2" w:rsidP="00B055FF">
            <w:pPr>
              <w:pStyle w:val="InstructionsText"/>
              <w:rPr>
                <w:rStyle w:val="InstructionsTabelleberschrift"/>
                <w:rFonts w:ascii="Times New Roman" w:hAnsi="Times New Roman"/>
                <w:sz w:val="24"/>
              </w:rPr>
            </w:pPr>
            <w:r>
              <w:t>For institution</w:t>
            </w:r>
            <w:r w:rsidR="002411EA">
              <w:t>s</w:t>
            </w:r>
            <w:r>
              <w:t xml:space="preserve"> bound by the output floor, TSCR ratio without the temporary cap set out in Article 104a(6), point (b), of </w:t>
            </w:r>
            <w:r w:rsidRPr="002A677E">
              <w:t>Directive 2013/36/EU</w:t>
            </w:r>
            <w:r>
              <w:t>.</w:t>
            </w:r>
          </w:p>
        </w:tc>
      </w:tr>
      <w:tr w:rsidR="00622CC2" w:rsidRPr="002A677E" w14:paraId="1CEFF3F0" w14:textId="77777777" w:rsidTr="003E47C5">
        <w:tc>
          <w:tcPr>
            <w:tcW w:w="1163" w:type="dxa"/>
          </w:tcPr>
          <w:p w14:paraId="78890CB1" w14:textId="73D66CBE" w:rsidR="00622CC2" w:rsidRPr="002A677E" w:rsidRDefault="00622CC2" w:rsidP="00B055FF">
            <w:pPr>
              <w:pStyle w:val="InstructionsText"/>
            </w:pPr>
            <w:r>
              <w:t>015</w:t>
            </w:r>
            <w:r w:rsidR="00F245A6">
              <w:t>2</w:t>
            </w:r>
          </w:p>
        </w:tc>
        <w:tc>
          <w:tcPr>
            <w:tcW w:w="7620" w:type="dxa"/>
          </w:tcPr>
          <w:p w14:paraId="13EFCF88" w14:textId="77777777" w:rsidR="00622CC2" w:rsidRDefault="00622CC2"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CET1 capital</w:t>
            </w:r>
          </w:p>
          <w:p w14:paraId="71F955D1" w14:textId="0B96E353" w:rsidR="00622CC2" w:rsidRDefault="00622CC2" w:rsidP="00DA09CD">
            <w:pPr>
              <w:pStyle w:val="InstructionsText"/>
            </w:pPr>
            <w:r>
              <w:t xml:space="preserve">Article 104a(6), point (a), of </w:t>
            </w:r>
            <w:r w:rsidRPr="002A677E">
              <w:t>Directive 2013/36/EU</w:t>
            </w:r>
            <w:r>
              <w:t>.</w:t>
            </w:r>
          </w:p>
          <w:p w14:paraId="3CB8E9D9" w14:textId="3594A073" w:rsidR="00622CC2" w:rsidRPr="002A677E" w:rsidRDefault="00622CC2" w:rsidP="00B055FF">
            <w:pPr>
              <w:pStyle w:val="InstructionsText"/>
              <w:rPr>
                <w:rStyle w:val="InstructionsTabelleberschrift"/>
                <w:rFonts w:ascii="Times New Roman" w:hAnsi="Times New Roman"/>
                <w:sz w:val="24"/>
              </w:rPr>
            </w:pPr>
            <w:r>
              <w:t>For institution</w:t>
            </w:r>
            <w:r w:rsidR="00F36F83">
              <w:t>s</w:t>
            </w:r>
            <w:r>
              <w:t xml:space="preserve"> bound by the output floor, TSCR ratio without the temporary cap set out in Article 104a(6), point (b), of </w:t>
            </w:r>
            <w:r w:rsidRPr="002A677E">
              <w:t>Directive 2013/36/EU</w:t>
            </w:r>
            <w:r>
              <w:t>.</w:t>
            </w:r>
          </w:p>
        </w:tc>
      </w:tr>
      <w:tr w:rsidR="00622CC2" w:rsidRPr="002A677E" w14:paraId="7069AB48" w14:textId="77777777" w:rsidTr="003E47C5">
        <w:tc>
          <w:tcPr>
            <w:tcW w:w="1163" w:type="dxa"/>
          </w:tcPr>
          <w:p w14:paraId="67679991" w14:textId="04169B61" w:rsidR="00622CC2" w:rsidRPr="002A677E" w:rsidRDefault="00622CC2" w:rsidP="00B055FF">
            <w:pPr>
              <w:pStyle w:val="InstructionsText"/>
            </w:pPr>
            <w:r>
              <w:t>015</w:t>
            </w:r>
            <w:r w:rsidR="00F245A6">
              <w:t>3</w:t>
            </w:r>
          </w:p>
        </w:tc>
        <w:tc>
          <w:tcPr>
            <w:tcW w:w="7620" w:type="dxa"/>
          </w:tcPr>
          <w:p w14:paraId="0CEC78BB" w14:textId="77777777" w:rsidR="00622CC2" w:rsidRDefault="00622CC2"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Tier 1 capital</w:t>
            </w:r>
          </w:p>
          <w:p w14:paraId="49D615D4" w14:textId="2E46A3C7" w:rsidR="00622CC2" w:rsidRDefault="00622CC2" w:rsidP="00DA09CD">
            <w:pPr>
              <w:pStyle w:val="InstructionsText"/>
            </w:pPr>
            <w:r>
              <w:t xml:space="preserve">Article 104a(6), point (a), of </w:t>
            </w:r>
            <w:r w:rsidRPr="002A677E">
              <w:t>Directive 2013/36/EU</w:t>
            </w:r>
            <w:r>
              <w:t>.</w:t>
            </w:r>
          </w:p>
          <w:p w14:paraId="0C7B4744" w14:textId="73564ADA" w:rsidR="00622CC2" w:rsidRPr="002A677E" w:rsidRDefault="00622CC2" w:rsidP="00B055FF">
            <w:pPr>
              <w:pStyle w:val="InstructionsText"/>
              <w:rPr>
                <w:rStyle w:val="InstructionsTabelleberschrift"/>
                <w:rFonts w:ascii="Times New Roman" w:hAnsi="Times New Roman"/>
                <w:sz w:val="24"/>
              </w:rPr>
            </w:pPr>
            <w:r>
              <w:t>For institution</w:t>
            </w:r>
            <w:r w:rsidR="002411EA">
              <w:t>s</w:t>
            </w:r>
            <w:r>
              <w:t xml:space="preserve"> bound by the output floor, TSCR ratio without the temporary cap set out in Article 104a(6), point (b), of </w:t>
            </w:r>
            <w:r w:rsidRPr="002A677E">
              <w:t>Directive 2013/36/EU</w:t>
            </w:r>
            <w:r>
              <w:t>.</w:t>
            </w:r>
          </w:p>
        </w:tc>
      </w:tr>
      <w:tr w:rsidR="009C083D" w:rsidRPr="002A677E" w14:paraId="7CC3303B" w14:textId="77777777" w:rsidTr="003E47C5">
        <w:tc>
          <w:tcPr>
            <w:tcW w:w="1163" w:type="dxa"/>
          </w:tcPr>
          <w:p w14:paraId="4FF71E3D" w14:textId="77777777" w:rsidR="009C083D" w:rsidRPr="002A677E" w:rsidRDefault="00B13F06" w:rsidP="00B055FF">
            <w:pPr>
              <w:pStyle w:val="InstructionsText"/>
            </w:pPr>
            <w:r w:rsidRPr="002A677E">
              <w:t>0</w:t>
            </w:r>
            <w:r w:rsidR="009C083D" w:rsidRPr="002A677E">
              <w:t>160</w:t>
            </w:r>
          </w:p>
        </w:tc>
        <w:tc>
          <w:tcPr>
            <w:tcW w:w="7620" w:type="dxa"/>
          </w:tcPr>
          <w:p w14:paraId="564FF575"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Overall capital requirement </w:t>
            </w:r>
            <w:r w:rsidR="007615A8" w:rsidRPr="002A677E">
              <w:rPr>
                <w:rStyle w:val="InstructionsTabelleberschrift"/>
                <w:rFonts w:ascii="Times New Roman" w:hAnsi="Times New Roman"/>
                <w:sz w:val="24"/>
              </w:rPr>
              <w:t>(OCR) ratio</w:t>
            </w:r>
          </w:p>
          <w:p w14:paraId="5488678A" w14:textId="77777777" w:rsidR="009C083D" w:rsidRPr="002A677E" w:rsidRDefault="009C083D" w:rsidP="00B055FF">
            <w:pPr>
              <w:pStyle w:val="InstructionsText"/>
            </w:pPr>
            <w:r w:rsidRPr="002A677E">
              <w:t>The sum of (i) and (ii) as follows:</w:t>
            </w:r>
          </w:p>
          <w:p w14:paraId="0FF8F167" w14:textId="77777777" w:rsidR="009C083D" w:rsidRPr="002A677E" w:rsidRDefault="009C083D" w:rsidP="00B055FF">
            <w:pPr>
              <w:pStyle w:val="InstructionsText"/>
              <w:numPr>
                <w:ilvl w:val="0"/>
                <w:numId w:val="23"/>
              </w:numPr>
            </w:pPr>
            <w:r w:rsidRPr="002A677E">
              <w:t xml:space="preserve">the TSCR ratio referred to in row </w:t>
            </w:r>
            <w:r w:rsidR="00B13F06" w:rsidRPr="002A677E">
              <w:t>0</w:t>
            </w:r>
            <w:r w:rsidRPr="002A677E">
              <w:t>130;</w:t>
            </w:r>
          </w:p>
          <w:p w14:paraId="5C51AED8" w14:textId="4B427B55" w:rsidR="009C083D" w:rsidRPr="002A677E" w:rsidRDefault="009C083D" w:rsidP="00B055FF">
            <w:pPr>
              <w:pStyle w:val="InstructionsText"/>
              <w:numPr>
                <w:ilvl w:val="0"/>
                <w:numId w:val="23"/>
              </w:num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4AD77AD" w14:textId="77777777" w:rsidR="005B54BB" w:rsidRPr="002A677E" w:rsidRDefault="009C083D" w:rsidP="00B055FF">
            <w:pPr>
              <w:pStyle w:val="InstructionsText"/>
            </w:pPr>
            <w:r w:rsidRPr="002A677E">
              <w:t xml:space="preserve">This item shall reflect the Overall capital requirement (OCR) ratio as defined in Section </w:t>
            </w:r>
            <w:r w:rsidR="00477C45" w:rsidRPr="002A677E">
              <w:t>7.5</w:t>
            </w:r>
            <w:r w:rsidRPr="002A677E">
              <w:t xml:space="preserve"> of the EBA SREP GL.</w:t>
            </w:r>
          </w:p>
          <w:p w14:paraId="4DD4EE34" w14:textId="77777777" w:rsidR="00645573" w:rsidRPr="002A677E" w:rsidRDefault="00FF2818" w:rsidP="00B055FF">
            <w:pPr>
              <w:pStyle w:val="InstructionsText"/>
              <w:rPr>
                <w:rStyle w:val="InstructionsTabelleberschrift"/>
                <w:rFonts w:ascii="Times New Roman" w:hAnsi="Times New Roman"/>
                <w:sz w:val="24"/>
              </w:rPr>
            </w:pPr>
            <w:r w:rsidRPr="001235ED">
              <w:t>Where</w:t>
            </w:r>
            <w:r w:rsidR="007260DA" w:rsidRPr="002A677E">
              <w:t xml:space="preserve"> </w:t>
            </w:r>
            <w:r w:rsidR="00ED78AD" w:rsidRPr="002A677E">
              <w:t>no buffer requirement is applicable</w:t>
            </w:r>
            <w:r w:rsidR="007260DA" w:rsidRPr="002A677E">
              <w:t>, only point (i) shall be reported.</w:t>
            </w:r>
          </w:p>
        </w:tc>
      </w:tr>
      <w:tr w:rsidR="009C083D" w:rsidRPr="002A677E" w14:paraId="0AAA33A9" w14:textId="77777777" w:rsidTr="003E47C5">
        <w:tc>
          <w:tcPr>
            <w:tcW w:w="1163" w:type="dxa"/>
          </w:tcPr>
          <w:p w14:paraId="671E447D" w14:textId="77777777" w:rsidR="009C083D" w:rsidRPr="002A677E" w:rsidRDefault="00B13F06" w:rsidP="00B055FF">
            <w:pPr>
              <w:pStyle w:val="InstructionsText"/>
            </w:pPr>
            <w:r w:rsidRPr="002A677E">
              <w:t>0</w:t>
            </w:r>
            <w:r w:rsidR="009C083D" w:rsidRPr="002A677E">
              <w:t>170</w:t>
            </w:r>
          </w:p>
        </w:tc>
        <w:tc>
          <w:tcPr>
            <w:tcW w:w="7620" w:type="dxa"/>
          </w:tcPr>
          <w:p w14:paraId="0F364F66"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190A351" w14:textId="77777777" w:rsidR="009C083D" w:rsidRPr="002A677E" w:rsidRDefault="009C083D" w:rsidP="00B055FF">
            <w:pPr>
              <w:pStyle w:val="InstructionsText"/>
            </w:pPr>
            <w:r w:rsidRPr="002A677E">
              <w:t>The sum of (i) and (ii) as follows:</w:t>
            </w:r>
          </w:p>
          <w:p w14:paraId="14D63B29" w14:textId="77777777" w:rsidR="009C083D" w:rsidRPr="002A677E" w:rsidRDefault="009C083D" w:rsidP="00B055FF">
            <w:pPr>
              <w:pStyle w:val="InstructionsText"/>
              <w:numPr>
                <w:ilvl w:val="0"/>
                <w:numId w:val="24"/>
              </w:numPr>
            </w:pPr>
            <w:r w:rsidRPr="002A677E">
              <w:t xml:space="preserve">the TSCR ratio to be made up of CET1 capital referred to in row </w:t>
            </w:r>
            <w:r w:rsidR="00B13F06" w:rsidRPr="002A677E">
              <w:t>0</w:t>
            </w:r>
            <w:r w:rsidRPr="002A677E">
              <w:t>140;</w:t>
            </w:r>
          </w:p>
          <w:p w14:paraId="79A85A79" w14:textId="7B99ABDA" w:rsidR="009C083D" w:rsidRPr="002A677E" w:rsidRDefault="009C083D" w:rsidP="00B055FF">
            <w:pPr>
              <w:pStyle w:val="InstructionsText"/>
              <w:numPr>
                <w:ilvl w:val="0"/>
                <w:numId w:val="24"/>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AA3D835" w14:textId="77777777" w:rsidR="00BA325A" w:rsidRPr="002A677E" w:rsidRDefault="00FF2818" w:rsidP="00B055FF">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41FEF037" w14:textId="77777777" w:rsidTr="003E47C5">
        <w:tc>
          <w:tcPr>
            <w:tcW w:w="1163" w:type="dxa"/>
          </w:tcPr>
          <w:p w14:paraId="3E8C9C08" w14:textId="77777777" w:rsidR="009C083D" w:rsidRPr="002A677E" w:rsidRDefault="00B13F06" w:rsidP="00B055FF">
            <w:pPr>
              <w:pStyle w:val="InstructionsText"/>
            </w:pPr>
            <w:r w:rsidRPr="002A677E">
              <w:t>0</w:t>
            </w:r>
            <w:r w:rsidR="009C083D" w:rsidRPr="002A677E">
              <w:t>180</w:t>
            </w:r>
          </w:p>
        </w:tc>
        <w:tc>
          <w:tcPr>
            <w:tcW w:w="7620" w:type="dxa"/>
          </w:tcPr>
          <w:p w14:paraId="334ABD3E"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54AC14C" w14:textId="77777777" w:rsidR="009C083D" w:rsidRPr="002A677E" w:rsidRDefault="009C083D" w:rsidP="00B055FF">
            <w:pPr>
              <w:pStyle w:val="InstructionsText"/>
            </w:pPr>
            <w:r w:rsidRPr="002A677E">
              <w:lastRenderedPageBreak/>
              <w:t>The sum of (i) and (ii) as follows:</w:t>
            </w:r>
          </w:p>
          <w:p w14:paraId="2FE66F48" w14:textId="77777777" w:rsidR="009C083D" w:rsidRPr="002A677E" w:rsidRDefault="009C083D" w:rsidP="00B055FF">
            <w:pPr>
              <w:pStyle w:val="InstructionsText"/>
              <w:numPr>
                <w:ilvl w:val="0"/>
                <w:numId w:val="25"/>
              </w:numPr>
            </w:pPr>
            <w:r w:rsidRPr="002A677E">
              <w:t xml:space="preserve">the TSCR ratio to be made up of Tier 1 capital referred to in row </w:t>
            </w:r>
            <w:r w:rsidR="00B13F06" w:rsidRPr="002A677E">
              <w:t>0</w:t>
            </w:r>
            <w:r w:rsidRPr="002A677E">
              <w:t>150;</w:t>
            </w:r>
          </w:p>
          <w:p w14:paraId="3647DB7F" w14:textId="55013E6D" w:rsidR="009C083D" w:rsidRPr="002A677E" w:rsidRDefault="009C083D" w:rsidP="00B055FF">
            <w:pPr>
              <w:pStyle w:val="InstructionsText"/>
              <w:numPr>
                <w:ilvl w:val="0"/>
                <w:numId w:val="25"/>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7DBC75C5" w14:textId="77777777" w:rsidR="00BA325A" w:rsidRPr="002A677E" w:rsidRDefault="00FF2818" w:rsidP="00B055FF">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286F63C3" w14:textId="77777777" w:rsidTr="003E47C5">
        <w:tc>
          <w:tcPr>
            <w:tcW w:w="1163" w:type="dxa"/>
          </w:tcPr>
          <w:p w14:paraId="6C524C50" w14:textId="77777777" w:rsidR="009C083D" w:rsidRPr="002A677E" w:rsidRDefault="00B13F06" w:rsidP="00B055FF">
            <w:pPr>
              <w:pStyle w:val="InstructionsText"/>
            </w:pPr>
            <w:r w:rsidRPr="002A677E">
              <w:lastRenderedPageBreak/>
              <w:t>0</w:t>
            </w:r>
            <w:r w:rsidR="009C083D" w:rsidRPr="002A677E">
              <w:t>190</w:t>
            </w:r>
          </w:p>
        </w:tc>
        <w:tc>
          <w:tcPr>
            <w:tcW w:w="7620" w:type="dxa"/>
          </w:tcPr>
          <w:p w14:paraId="2C468D34"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29A3CC59" w14:textId="77777777" w:rsidR="009C083D" w:rsidRPr="002A677E" w:rsidRDefault="009C083D" w:rsidP="00B055FF">
            <w:pPr>
              <w:pStyle w:val="InstructionsText"/>
            </w:pPr>
            <w:r w:rsidRPr="002A677E">
              <w:t>The sum of (i) and (ii) as follows:</w:t>
            </w:r>
          </w:p>
          <w:p w14:paraId="0BE33E9D" w14:textId="77777777" w:rsidR="009C083D" w:rsidRPr="002A677E" w:rsidRDefault="009C083D" w:rsidP="00B055FF">
            <w:pPr>
              <w:pStyle w:val="InstructionsText"/>
              <w:numPr>
                <w:ilvl w:val="0"/>
                <w:numId w:val="26"/>
              </w:numPr>
            </w:pPr>
            <w:r w:rsidRPr="002A677E">
              <w:t>the OCR ratio referred to in row 160;</w:t>
            </w:r>
          </w:p>
          <w:p w14:paraId="27E5BD11" w14:textId="36A4C203" w:rsidR="009C083D" w:rsidRPr="002A677E" w:rsidRDefault="009C083D" w:rsidP="00B055FF">
            <w:pPr>
              <w:pStyle w:val="InstructionsText"/>
              <w:numPr>
                <w:ilvl w:val="0"/>
                <w:numId w:val="26"/>
              </w:numPr>
              <w:rPr>
                <w:bCs/>
                <w:u w:val="single"/>
              </w:rPr>
            </w:pPr>
            <w:r w:rsidRPr="002A677E">
              <w:t xml:space="preserve">where applicable, </w:t>
            </w:r>
            <w:r w:rsidR="00477C45" w:rsidRPr="002A677E">
              <w:t>the guidance on additional own funds communicated by the competent authority</w:t>
            </w:r>
            <w:r w:rsidRPr="002A677E">
              <w:t xml:space="preserve"> </w:t>
            </w:r>
            <w:r w:rsidR="00477C45" w:rsidRPr="002A677E">
              <w:t>(</w:t>
            </w:r>
            <w:r w:rsidRPr="002A677E">
              <w:t xml:space="preserve">Pillar 2 Guidance </w:t>
            </w:r>
            <w:r w:rsidR="00477C45" w:rsidRPr="002A677E">
              <w:t xml:space="preserve">- </w:t>
            </w:r>
            <w:r w:rsidRPr="002A677E">
              <w:t xml:space="preserve">P2G) </w:t>
            </w:r>
            <w:r w:rsidR="00477C45" w:rsidRPr="002A677E">
              <w:t xml:space="preserve">as referred to in Article 104b(3) </w:t>
            </w:r>
            <w:r w:rsidR="00027D90" w:rsidRPr="002A677E">
              <w:t>of Directive 2013/36/EU</w:t>
            </w:r>
            <w:r w:rsidR="00B83DDE">
              <w:t>, p</w:t>
            </w:r>
            <w:r w:rsidR="00477C45" w:rsidRPr="002A677E">
              <w:t>resented as ratio. They shall be</w:t>
            </w:r>
            <w:r w:rsidRPr="002A677E">
              <w:t xml:space="preserve"> defined in </w:t>
            </w:r>
            <w:r w:rsidR="00477C45" w:rsidRPr="002A677E">
              <w:t xml:space="preserve">accordance with section 7.7.1 of </w:t>
            </w:r>
            <w:r w:rsidRPr="002A677E">
              <w:t>the EBA SREP GL. P2G shall be included only if communicated to the institution by the competent authority.</w:t>
            </w:r>
          </w:p>
          <w:p w14:paraId="3392F936" w14:textId="28062295" w:rsidR="0047693D" w:rsidRPr="002A677E" w:rsidRDefault="00FF2818" w:rsidP="00B055FF">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02284">
              <w:t xml:space="preserve"> </w:t>
            </w:r>
          </w:p>
        </w:tc>
      </w:tr>
      <w:tr w:rsidR="009C083D" w:rsidRPr="002A677E" w14:paraId="74FD5EC5" w14:textId="77777777" w:rsidTr="003E47C5">
        <w:tc>
          <w:tcPr>
            <w:tcW w:w="1163" w:type="dxa"/>
          </w:tcPr>
          <w:p w14:paraId="5452ECD5" w14:textId="77777777" w:rsidR="009C083D" w:rsidRPr="002A677E" w:rsidRDefault="00B13F06" w:rsidP="00B055FF">
            <w:pPr>
              <w:pStyle w:val="InstructionsText"/>
            </w:pPr>
            <w:r w:rsidRPr="002A677E">
              <w:t>0</w:t>
            </w:r>
            <w:r w:rsidR="009C083D" w:rsidRPr="002A677E">
              <w:t>200</w:t>
            </w:r>
          </w:p>
        </w:tc>
        <w:tc>
          <w:tcPr>
            <w:tcW w:w="7620" w:type="dxa"/>
          </w:tcPr>
          <w:p w14:paraId="0C547BAD"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20195C97" w14:textId="77777777" w:rsidR="009C083D" w:rsidRPr="002A677E" w:rsidRDefault="009C083D" w:rsidP="00B055FF">
            <w:pPr>
              <w:pStyle w:val="InstructionsText"/>
            </w:pPr>
            <w:r w:rsidRPr="002A677E">
              <w:t>The sum of (i) and (ii) as follows:</w:t>
            </w:r>
          </w:p>
          <w:p w14:paraId="0801BDF0" w14:textId="77777777" w:rsidR="009C083D" w:rsidRPr="002A677E" w:rsidRDefault="009C083D" w:rsidP="00B055FF">
            <w:pPr>
              <w:pStyle w:val="InstructionsText"/>
              <w:numPr>
                <w:ilvl w:val="0"/>
                <w:numId w:val="27"/>
              </w:numPr>
            </w:pPr>
            <w:r w:rsidRPr="002A677E">
              <w:t xml:space="preserve">the OCR ratio to be made up of CET1 capital referred to in row </w:t>
            </w:r>
            <w:r w:rsidR="00B13F06" w:rsidRPr="002A677E">
              <w:t>0</w:t>
            </w:r>
            <w:r w:rsidRPr="002A677E">
              <w:t>170;</w:t>
            </w:r>
          </w:p>
          <w:p w14:paraId="45E052B0" w14:textId="77777777" w:rsidR="009C083D" w:rsidRPr="002A677E" w:rsidRDefault="009C083D" w:rsidP="00B055FF">
            <w:pPr>
              <w:pStyle w:val="InstructionsText"/>
              <w:numPr>
                <w:ilvl w:val="0"/>
                <w:numId w:val="27"/>
              </w:numPr>
              <w:rPr>
                <w:bCs/>
                <w:u w:val="single"/>
              </w:rPr>
            </w:pPr>
            <w:r w:rsidRPr="002A677E">
              <w:t xml:space="preserve">where applicable, the part of P2G, referred to in point (ii) in row </w:t>
            </w:r>
            <w:r w:rsidR="00B13F06" w:rsidRPr="002A677E">
              <w:t>0</w:t>
            </w:r>
            <w:r w:rsidRPr="002A677E">
              <w:t>190, which is required by the competent authority to be held in the form of CET1 capital. P2G shall be included only if communicated to the institution by the competent authority.</w:t>
            </w:r>
          </w:p>
          <w:p w14:paraId="49D1141C" w14:textId="77777777" w:rsidR="0047693D" w:rsidRPr="002A677E" w:rsidRDefault="00FF2818" w:rsidP="00B055FF">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p>
        </w:tc>
      </w:tr>
      <w:tr w:rsidR="009C083D" w:rsidRPr="002A677E" w14:paraId="265EFF69" w14:textId="77777777" w:rsidTr="003E47C5">
        <w:tc>
          <w:tcPr>
            <w:tcW w:w="1163" w:type="dxa"/>
          </w:tcPr>
          <w:p w14:paraId="37299B49" w14:textId="77777777" w:rsidR="009C083D" w:rsidRPr="002A677E" w:rsidRDefault="00B13F06" w:rsidP="00B055FF">
            <w:pPr>
              <w:pStyle w:val="InstructionsText"/>
            </w:pPr>
            <w:r w:rsidRPr="002A677E">
              <w:t>0</w:t>
            </w:r>
            <w:r w:rsidR="009C083D" w:rsidRPr="002A677E">
              <w:t>210</w:t>
            </w:r>
          </w:p>
        </w:tc>
        <w:tc>
          <w:tcPr>
            <w:tcW w:w="7620" w:type="dxa"/>
          </w:tcPr>
          <w:p w14:paraId="523712C4" w14:textId="77777777" w:rsidR="009C083D" w:rsidRPr="002A677E" w:rsidRDefault="009C083D"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25D7BB7A" w14:textId="77777777" w:rsidR="009C083D" w:rsidRPr="002A677E" w:rsidRDefault="009C083D" w:rsidP="00B055FF">
            <w:pPr>
              <w:pStyle w:val="InstructionsText"/>
            </w:pPr>
            <w:r w:rsidRPr="002A677E">
              <w:t>The sum of (i) and (ii) as follows:</w:t>
            </w:r>
          </w:p>
          <w:p w14:paraId="603FFBBA" w14:textId="77777777" w:rsidR="009C083D" w:rsidRPr="002A677E" w:rsidRDefault="009C083D" w:rsidP="00B055FF">
            <w:pPr>
              <w:pStyle w:val="InstructionsText"/>
              <w:numPr>
                <w:ilvl w:val="0"/>
                <w:numId w:val="28"/>
              </w:numPr>
            </w:pPr>
            <w:r w:rsidRPr="002A677E">
              <w:t xml:space="preserve">the OCR ratio to be made up of Tier 1 capital referred to in row </w:t>
            </w:r>
            <w:r w:rsidR="00B13F06" w:rsidRPr="002A677E">
              <w:t>0</w:t>
            </w:r>
            <w:r w:rsidRPr="002A677E">
              <w:t>180;</w:t>
            </w:r>
          </w:p>
          <w:p w14:paraId="11A9088F" w14:textId="77777777" w:rsidR="009C083D" w:rsidRPr="002A677E" w:rsidRDefault="009C083D" w:rsidP="00B055FF">
            <w:pPr>
              <w:pStyle w:val="InstructionsText"/>
              <w:numPr>
                <w:ilvl w:val="0"/>
                <w:numId w:val="28"/>
              </w:numPr>
            </w:pPr>
            <w:r w:rsidRPr="002A677E">
              <w:t xml:space="preserve">where applicable, the part of P2G, referred to in point (ii) in row </w:t>
            </w:r>
            <w:r w:rsidR="00B13F06" w:rsidRPr="002A677E">
              <w:t>0</w:t>
            </w:r>
            <w:r w:rsidRPr="002A677E">
              <w:t>190, which is required by the competent authority to be held in the form of Tier 1 capital. P2G shall be included only if communicated to the institution by the competent authority.</w:t>
            </w:r>
          </w:p>
          <w:p w14:paraId="1CB9FE57" w14:textId="77777777" w:rsidR="0047693D" w:rsidRPr="002A677E" w:rsidRDefault="00FF2818" w:rsidP="00B055FF">
            <w:pPr>
              <w:pStyle w:val="InstructionsText"/>
              <w:rPr>
                <w:rStyle w:val="InstructionsTabelleberschrift"/>
                <w:rFonts w:ascii="Times New Roman" w:hAnsi="Times New Roman"/>
                <w:b w:val="0"/>
                <w:bCs w:val="0"/>
                <w:sz w:val="24"/>
                <w:u w:val="none"/>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B055FF">
            <w:pPr>
              <w:pStyle w:val="InstructionsText"/>
            </w:pPr>
            <w:r w:rsidRPr="002A677E">
              <w:t>0</w:t>
            </w:r>
            <w:r w:rsidR="00477C45" w:rsidRPr="002A677E">
              <w:t>220</w:t>
            </w:r>
          </w:p>
        </w:tc>
        <w:tc>
          <w:tcPr>
            <w:tcW w:w="7620" w:type="dxa"/>
          </w:tcPr>
          <w:p w14:paraId="35E534B8" w14:textId="7A116375" w:rsidR="00477C45" w:rsidRPr="002A677E" w:rsidRDefault="00477C4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Surplus(+)/Deficit(-) of CET1 capital considering the requirements of Article 92 </w:t>
            </w:r>
            <w:r w:rsidR="00566DB5"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and 104a </w:t>
            </w:r>
            <w:r w:rsidR="00027D90" w:rsidRPr="002A677E">
              <w:rPr>
                <w:rStyle w:val="InstructionsTabelleberschrift"/>
                <w:rFonts w:ascii="Times New Roman" w:hAnsi="Times New Roman"/>
                <w:sz w:val="24"/>
              </w:rPr>
              <w:t>of Directive 2013/36/EU</w:t>
            </w:r>
          </w:p>
          <w:p w14:paraId="35245913" w14:textId="7266E7AA" w:rsidR="00477C45" w:rsidRPr="002A677E" w:rsidRDefault="00477C45" w:rsidP="00B055FF">
            <w:pPr>
              <w:pStyle w:val="InstructionsText"/>
            </w:pPr>
            <w:r w:rsidRPr="002A677E">
              <w:t>This item shows, in absolute figures, the amount of CET1 capital surplus or deficit relating to the requirements set in Article 92(1)</w:t>
            </w:r>
            <w:r w:rsidR="00B83DDE">
              <w:t>, p</w:t>
            </w:r>
            <w:r w:rsidR="008B3A5F" w:rsidRPr="002A677E">
              <w:t>oint (a)</w:t>
            </w:r>
            <w:r w:rsidR="00CF5957">
              <w:t>,</w:t>
            </w:r>
            <w:r w:rsidR="008B3A5F" w:rsidRPr="002A677E">
              <w:t xml:space="preserve"> </w:t>
            </w:r>
            <w:r w:rsidR="00566DB5" w:rsidRPr="001235ED">
              <w:rPr>
                <w:lang w:val="en-US"/>
              </w:rPr>
              <w:t>of Regulation (EU) No 575/2013</w:t>
            </w:r>
            <w:r w:rsidRPr="002A677E">
              <w:t xml:space="preserve"> (4,5</w:t>
            </w:r>
            <w:r w:rsidR="00B856D5">
              <w:t xml:space="preserve"> </w:t>
            </w:r>
            <w:r w:rsidRPr="002A677E">
              <w:t xml:space="preserve">%) and Article 104a </w:t>
            </w:r>
            <w:r w:rsidR="00027D90" w:rsidRPr="002A677E">
              <w:t xml:space="preserve">of Directive </w:t>
            </w:r>
            <w:r w:rsidR="00027D90" w:rsidRPr="002A677E">
              <w:lastRenderedPageBreak/>
              <w:t>2013/36/EU</w:t>
            </w:r>
            <w:r w:rsidR="00CE5491" w:rsidRPr="002A677E">
              <w:t xml:space="preserve"> – excluding additional own funds required to address the risk of excessive leverage under </w:t>
            </w:r>
            <w:r w:rsidR="00CD6CEB" w:rsidRPr="002A677E">
              <w:t>paragraph 3 of that article</w:t>
            </w:r>
            <w:r w:rsidR="00CE5491" w:rsidRPr="002A677E">
              <w:t>–</w:t>
            </w:r>
            <w:r w:rsidRPr="002A677E">
              <w:t xml:space="preserve">, to the extent that the requirement of Article 104a </w:t>
            </w:r>
            <w:r w:rsidR="00027D90" w:rsidRPr="002A677E">
              <w:t xml:space="preserve">of that Directive </w:t>
            </w:r>
            <w:r w:rsidRPr="002A677E">
              <w:t>has to be met with CET1 capital. Where an institution has to use its CET1 to meet its requirements of Article 92(1)</w:t>
            </w:r>
            <w:r w:rsidR="00B83DDE">
              <w:t>, p</w:t>
            </w:r>
            <w:r w:rsidRPr="002A677E">
              <w:t xml:space="preserve">oint </w:t>
            </w:r>
            <w:r w:rsidR="009258A2" w:rsidRPr="002A677E">
              <w:t>(</w:t>
            </w:r>
            <w:r w:rsidRPr="002A677E">
              <w:t>b</w:t>
            </w:r>
            <w:r w:rsidR="009258A2" w:rsidRPr="002A677E">
              <w:t>)</w:t>
            </w:r>
            <w:r w:rsidRPr="002A677E">
              <w:t xml:space="preserve"> and / or </w:t>
            </w:r>
            <w:r w:rsidR="009258A2" w:rsidRPr="002A677E">
              <w:t>(</w:t>
            </w:r>
            <w:r w:rsidRPr="002A677E">
              <w:t>c</w:t>
            </w:r>
            <w:r w:rsidR="009258A2" w:rsidRPr="002A677E">
              <w:t>)</w:t>
            </w:r>
            <w:r w:rsidRPr="002A677E">
              <w:t xml:space="preserve"> </w:t>
            </w:r>
            <w:r w:rsidR="00566DB5" w:rsidRPr="001235ED">
              <w:rPr>
                <w:lang w:val="en-US"/>
              </w:rPr>
              <w:t>of Regulation (EU) No 575/2013</w:t>
            </w:r>
            <w:r w:rsidR="00402284">
              <w:rPr>
                <w:lang w:val="en-US"/>
              </w:rPr>
              <w:t xml:space="preserve"> </w:t>
            </w:r>
            <w:r w:rsidRPr="002A677E">
              <w:t xml:space="preserve">and / or Article 104a </w:t>
            </w:r>
            <w:r w:rsidR="00027D90" w:rsidRPr="002A677E">
              <w:t>of Directive 2013/36/EU</w:t>
            </w:r>
            <w:r w:rsidRPr="002A677E">
              <w:t xml:space="preserve"> beyond the extent to which the latter has to be met with CET1 capital, the reported surplus or deficit shall take this into account.</w:t>
            </w:r>
          </w:p>
          <w:p w14:paraId="4E7A0CC3" w14:textId="77777777" w:rsidR="00477C45" w:rsidRPr="002A677E" w:rsidRDefault="00477C45" w:rsidP="00B055FF">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EF2038" w:rsidRPr="009A3DD3" w14:paraId="6287C1FA" w14:textId="77777777" w:rsidTr="003B499E">
        <w:tc>
          <w:tcPr>
            <w:tcW w:w="1163" w:type="dxa"/>
          </w:tcPr>
          <w:p w14:paraId="7198A81C" w14:textId="77777777" w:rsidR="00EF2038" w:rsidRPr="009A3DD3" w:rsidRDefault="00EF2038" w:rsidP="003B499E">
            <w:pPr>
              <w:rPr>
                <w:rFonts w:ascii="Times New Roman" w:hAnsi="Times New Roman"/>
                <w:sz w:val="24"/>
              </w:rPr>
            </w:pPr>
            <w:r w:rsidRPr="009A3DD3">
              <w:rPr>
                <w:rFonts w:ascii="Times New Roman" w:hAnsi="Times New Roman"/>
                <w:sz w:val="24"/>
              </w:rPr>
              <w:lastRenderedPageBreak/>
              <w:t>0330</w:t>
            </w:r>
          </w:p>
        </w:tc>
        <w:tc>
          <w:tcPr>
            <w:tcW w:w="7620" w:type="dxa"/>
          </w:tcPr>
          <w:p w14:paraId="08763E80"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 xml:space="preserve">Fully loaded CET1 Capital ratio </w:t>
            </w:r>
          </w:p>
          <w:p w14:paraId="3B485F96"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(a), of Regulation (EU) No 575/2013, without applying Article 465 of that Regulation.</w:t>
            </w:r>
          </w:p>
        </w:tc>
      </w:tr>
      <w:tr w:rsidR="00EF2038" w:rsidRPr="009A3DD3" w14:paraId="64EE89ED" w14:textId="77777777" w:rsidTr="003B499E">
        <w:tc>
          <w:tcPr>
            <w:tcW w:w="1163" w:type="dxa"/>
          </w:tcPr>
          <w:p w14:paraId="0D296E69" w14:textId="77777777" w:rsidR="00EF2038" w:rsidRPr="009A3DD3" w:rsidRDefault="00EF2038" w:rsidP="003B499E">
            <w:pPr>
              <w:rPr>
                <w:rFonts w:ascii="Times New Roman" w:hAnsi="Times New Roman"/>
                <w:sz w:val="24"/>
              </w:rPr>
            </w:pPr>
            <w:r w:rsidRPr="009A3DD3">
              <w:rPr>
                <w:rFonts w:ascii="Times New Roman" w:hAnsi="Times New Roman"/>
                <w:sz w:val="24"/>
              </w:rPr>
              <w:t>0340</w:t>
            </w:r>
          </w:p>
        </w:tc>
        <w:tc>
          <w:tcPr>
            <w:tcW w:w="7620" w:type="dxa"/>
          </w:tcPr>
          <w:p w14:paraId="097D7CC7"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 xml:space="preserve">Fully loaded T1 Capital ratio </w:t>
            </w:r>
          </w:p>
          <w:p w14:paraId="2E288E79"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(b), of Regulation (EU) No 575/2013, without applying Article 465 of that Regulation.</w:t>
            </w:r>
          </w:p>
        </w:tc>
      </w:tr>
      <w:tr w:rsidR="00EF2038" w:rsidRPr="009A3DD3" w14:paraId="0B4A1481" w14:textId="77777777" w:rsidTr="003B499E">
        <w:tc>
          <w:tcPr>
            <w:tcW w:w="1163" w:type="dxa"/>
          </w:tcPr>
          <w:p w14:paraId="2E2E3E5D" w14:textId="77777777" w:rsidR="00EF2038" w:rsidRPr="009A3DD3" w:rsidRDefault="00EF2038" w:rsidP="003B499E">
            <w:pPr>
              <w:rPr>
                <w:rFonts w:ascii="Times New Roman" w:hAnsi="Times New Roman"/>
                <w:sz w:val="24"/>
              </w:rPr>
            </w:pPr>
            <w:r w:rsidRPr="009A3DD3">
              <w:rPr>
                <w:rFonts w:ascii="Times New Roman" w:hAnsi="Times New Roman"/>
                <w:sz w:val="24"/>
              </w:rPr>
              <w:t>0350</w:t>
            </w:r>
          </w:p>
        </w:tc>
        <w:tc>
          <w:tcPr>
            <w:tcW w:w="7620" w:type="dxa"/>
          </w:tcPr>
          <w:p w14:paraId="3F1B3387"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 xml:space="preserve">Fully loaded Total capital ratio </w:t>
            </w:r>
          </w:p>
          <w:p w14:paraId="11948F4C"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(c), of Regulation (EU) No 575/2013, without applying Article 465 of that regulation.</w:t>
            </w:r>
          </w:p>
        </w:tc>
      </w:tr>
      <w:tr w:rsidR="00EF2038" w:rsidRPr="009A3DD3" w14:paraId="18EA54F4" w14:textId="77777777" w:rsidTr="003B499E">
        <w:tc>
          <w:tcPr>
            <w:tcW w:w="1163" w:type="dxa"/>
          </w:tcPr>
          <w:p w14:paraId="34014DB0" w14:textId="77777777" w:rsidR="00EF2038" w:rsidRPr="009A3DD3" w:rsidRDefault="00EF2038" w:rsidP="003B499E">
            <w:pPr>
              <w:rPr>
                <w:rFonts w:ascii="Times New Roman" w:hAnsi="Times New Roman"/>
                <w:sz w:val="24"/>
              </w:rPr>
            </w:pPr>
            <w:r w:rsidRPr="009A3DD3">
              <w:rPr>
                <w:rFonts w:ascii="Times New Roman" w:hAnsi="Times New Roman"/>
                <w:sz w:val="24"/>
              </w:rPr>
              <w:t>0360</w:t>
            </w:r>
          </w:p>
        </w:tc>
        <w:tc>
          <w:tcPr>
            <w:tcW w:w="7620" w:type="dxa"/>
          </w:tcPr>
          <w:p w14:paraId="310E34F3"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CET1 Capital ratio without application of the transitional provisions for the output floor S-TREA (Article 465(3), (4), (5) and (5b) of Regulation (EU) No 575/2013</w:t>
            </w:r>
          </w:p>
          <w:p w14:paraId="09122A38"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(a), of Regulation (EU) No 575/2013, without applying Articles 465(3), (4), (5) and (5b) of that Regulation.</w:t>
            </w:r>
          </w:p>
        </w:tc>
      </w:tr>
      <w:tr w:rsidR="00EF2038" w:rsidRPr="009A3DD3" w14:paraId="66347228" w14:textId="77777777" w:rsidTr="003B499E">
        <w:tc>
          <w:tcPr>
            <w:tcW w:w="1163" w:type="dxa"/>
          </w:tcPr>
          <w:p w14:paraId="70C9C75D" w14:textId="77777777" w:rsidR="00EF2038" w:rsidRPr="009A3DD3" w:rsidRDefault="00EF2038" w:rsidP="003B499E">
            <w:pPr>
              <w:rPr>
                <w:rFonts w:ascii="Times New Roman" w:hAnsi="Times New Roman"/>
                <w:sz w:val="24"/>
              </w:rPr>
            </w:pPr>
            <w:r w:rsidRPr="009A3DD3">
              <w:rPr>
                <w:rFonts w:ascii="Times New Roman" w:hAnsi="Times New Roman"/>
                <w:sz w:val="24"/>
              </w:rPr>
              <w:t>0370</w:t>
            </w:r>
          </w:p>
        </w:tc>
        <w:tc>
          <w:tcPr>
            <w:tcW w:w="7620" w:type="dxa"/>
          </w:tcPr>
          <w:p w14:paraId="07F239DE"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T1 Capital ratio without application of the transitional provisions for the output floor S-TREA (Article 465 (3), (4) (5) and (5b) of Regulation (EU) No 575/201</w:t>
            </w:r>
            <w:r>
              <w:rPr>
                <w:rFonts w:ascii="Times New Roman" w:hAnsi="Times New Roman"/>
                <w:b/>
                <w:bCs/>
                <w:sz w:val="24"/>
                <w:u w:val="single"/>
              </w:rPr>
              <w:t>3</w:t>
            </w:r>
          </w:p>
          <w:p w14:paraId="72A2AF85"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(b), of Regulation (EU) No 575/2013, without applying Articles 465(3), (4), (5) and (5b) of that Regulation.</w:t>
            </w:r>
          </w:p>
        </w:tc>
      </w:tr>
      <w:tr w:rsidR="00EF2038" w:rsidRPr="009A3DD3" w14:paraId="543AB90A" w14:textId="77777777" w:rsidTr="003B499E">
        <w:tc>
          <w:tcPr>
            <w:tcW w:w="1163" w:type="dxa"/>
          </w:tcPr>
          <w:p w14:paraId="050C57A7" w14:textId="77777777" w:rsidR="00EF2038" w:rsidRPr="009A3DD3" w:rsidRDefault="00EF2038" w:rsidP="003B499E">
            <w:pPr>
              <w:rPr>
                <w:rFonts w:ascii="Times New Roman" w:hAnsi="Times New Roman"/>
                <w:sz w:val="24"/>
              </w:rPr>
            </w:pPr>
            <w:r w:rsidRPr="009A3DD3">
              <w:rPr>
                <w:rFonts w:ascii="Times New Roman" w:hAnsi="Times New Roman"/>
                <w:sz w:val="24"/>
              </w:rPr>
              <w:t>0380</w:t>
            </w:r>
          </w:p>
        </w:tc>
        <w:tc>
          <w:tcPr>
            <w:tcW w:w="7620" w:type="dxa"/>
          </w:tcPr>
          <w:p w14:paraId="458B6374" w14:textId="77777777" w:rsidR="00EF2038" w:rsidRPr="009A3DD3" w:rsidRDefault="00EF2038" w:rsidP="003B499E">
            <w:pPr>
              <w:rPr>
                <w:rFonts w:ascii="Times New Roman" w:hAnsi="Times New Roman"/>
                <w:b/>
                <w:bCs/>
                <w:sz w:val="24"/>
                <w:u w:val="single"/>
              </w:rPr>
            </w:pPr>
            <w:r w:rsidRPr="009A3DD3">
              <w:rPr>
                <w:rFonts w:ascii="Times New Roman" w:hAnsi="Times New Roman"/>
                <w:b/>
                <w:bCs/>
                <w:sz w:val="24"/>
                <w:u w:val="single"/>
              </w:rPr>
              <w:t>Total capital ratio without application of the transitional provisions for the output floor S-TREA (Article 465(3), (4), (5) and (5b) of Regulation (EU) No 575/2013</w:t>
            </w:r>
          </w:p>
          <w:p w14:paraId="0F73456A" w14:textId="77777777" w:rsidR="00EF2038" w:rsidRPr="009A3DD3" w:rsidRDefault="00EF2038" w:rsidP="003B499E">
            <w:pPr>
              <w:rPr>
                <w:rFonts w:ascii="Times New Roman" w:hAnsi="Times New Roman"/>
                <w:sz w:val="24"/>
              </w:rPr>
            </w:pPr>
            <w:r w:rsidRPr="009A3DD3">
              <w:rPr>
                <w:rFonts w:ascii="Times New Roman" w:hAnsi="Times New Roman"/>
                <w:sz w:val="24"/>
              </w:rPr>
              <w:t>Article 92(2), point (c), of Regulation (EU) No 575/2013, without applying Articles 465(3), (4), (5) and 5b of that Regulation.</w:t>
            </w:r>
          </w:p>
        </w:tc>
      </w:tr>
    </w:tbl>
    <w:p w14:paraId="085054A3" w14:textId="77777777" w:rsidR="005643EA" w:rsidRPr="002A677E" w:rsidRDefault="005643EA" w:rsidP="00B055FF">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 w:name="_Toc473560879"/>
      <w:bookmarkStart w:id="59" w:name="_Toc151714367"/>
      <w:bookmarkStart w:id="60" w:name="_Toc308175830"/>
      <w:bookmarkStart w:id="61" w:name="_Toc360188331"/>
      <w:r w:rsidRPr="002A677E">
        <w:rPr>
          <w:rFonts w:ascii="Times New Roman" w:hAnsi="Times New Roman" w:cs="Times New Roman"/>
          <w:sz w:val="24"/>
          <w:u w:val="none"/>
          <w:lang w:val="en-GB"/>
        </w:rPr>
        <w:t>1.5.</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04.00 - MEMORANDUM ITEMS (CA4)</w:t>
      </w:r>
      <w:bookmarkEnd w:id="58"/>
      <w:bookmarkEnd w:id="59"/>
      <w:r w:rsidR="002648B0" w:rsidRPr="002A677E">
        <w:rPr>
          <w:rFonts w:ascii="Times New Roman" w:hAnsi="Times New Roman" w:cs="Times New Roman"/>
          <w:sz w:val="24"/>
          <w:lang w:val="en-GB"/>
        </w:rPr>
        <w:t xml:space="preserve"> </w:t>
      </w:r>
      <w:bookmarkEnd w:id="60"/>
      <w:bookmarkEnd w:id="61"/>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 w:name="_Toc308175831"/>
      <w:bookmarkStart w:id="63" w:name="_Toc310414974"/>
      <w:bookmarkStart w:id="64" w:name="_Toc360188332"/>
      <w:bookmarkStart w:id="65" w:name="_Toc473560880"/>
      <w:bookmarkStart w:id="66" w:name="_Toc151714368"/>
      <w:r w:rsidRPr="002A677E">
        <w:rPr>
          <w:rFonts w:ascii="Times New Roman" w:hAnsi="Times New Roman" w:cs="Times New Roman"/>
          <w:sz w:val="24"/>
          <w:u w:val="none"/>
          <w:lang w:val="en-GB"/>
        </w:rPr>
        <w:t>1.5.1.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62"/>
      <w:bookmarkEnd w:id="63"/>
      <w:r w:rsidR="002B5403" w:rsidRPr="002A677E">
        <w:rPr>
          <w:rFonts w:ascii="Times New Roman" w:hAnsi="Times New Roman" w:cs="Times New Roman"/>
          <w:sz w:val="24"/>
          <w:lang w:val="en-GB"/>
        </w:rPr>
        <w:t>positions</w:t>
      </w:r>
      <w:bookmarkEnd w:id="64"/>
      <w:bookmarkEnd w:id="65"/>
      <w:bookmarkEnd w:id="66"/>
    </w:p>
    <w:p w14:paraId="55C86CDB" w14:textId="77777777" w:rsidR="002648B0" w:rsidRPr="002A677E" w:rsidRDefault="002648B0" w:rsidP="00B055F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B055FF">
            <w:pPr>
              <w:pStyle w:val="InstructionsText"/>
            </w:pPr>
            <w:r w:rsidRPr="002A677E">
              <w:lastRenderedPageBreak/>
              <w:t>Rows</w:t>
            </w:r>
          </w:p>
        </w:tc>
      </w:tr>
      <w:tr w:rsidR="002648B0" w:rsidRPr="002A677E" w14:paraId="22ED7EA2" w14:textId="77777777" w:rsidTr="00674BF5">
        <w:tc>
          <w:tcPr>
            <w:tcW w:w="1474" w:type="dxa"/>
          </w:tcPr>
          <w:p w14:paraId="78ACBACE" w14:textId="77777777" w:rsidR="002648B0" w:rsidRPr="002A677E" w:rsidRDefault="00B13F06" w:rsidP="00B055FF">
            <w:pPr>
              <w:pStyle w:val="InstructionsText"/>
            </w:pPr>
            <w:r w:rsidRPr="002A677E">
              <w:t>0</w:t>
            </w:r>
            <w:r w:rsidR="002648B0" w:rsidRPr="002A677E">
              <w:t>010</w:t>
            </w:r>
          </w:p>
        </w:tc>
        <w:tc>
          <w:tcPr>
            <w:tcW w:w="7049" w:type="dxa"/>
          </w:tcPr>
          <w:p w14:paraId="15876547" w14:textId="77777777" w:rsidR="005643EA" w:rsidRPr="002A677E" w:rsidRDefault="00C66473" w:rsidP="00B055FF">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deferred tax assets</w:t>
            </w:r>
          </w:p>
          <w:p w14:paraId="064512C3" w14:textId="77777777" w:rsidR="005643EA" w:rsidRPr="002A677E" w:rsidRDefault="002648B0" w:rsidP="00B055FF">
            <w:pPr>
              <w:pStyle w:val="InstructionsText"/>
            </w:pPr>
            <w:r w:rsidRPr="002A677E">
              <w:t xml:space="preserve">The amount reported in this item shall be equal to the amount reported in the </w:t>
            </w:r>
            <w:r w:rsidR="0014657C" w:rsidRPr="002A677E">
              <w:t xml:space="preserve">most recent </w:t>
            </w:r>
            <w:r w:rsidR="00967FAE" w:rsidRPr="002A677E">
              <w:t xml:space="preserve">verified/audited </w:t>
            </w:r>
            <w:r w:rsidRPr="002A677E">
              <w:t>accounting balance sheet.</w:t>
            </w:r>
          </w:p>
        </w:tc>
      </w:tr>
      <w:tr w:rsidR="002648B0" w:rsidRPr="002A677E" w14:paraId="767AFC9B" w14:textId="77777777" w:rsidTr="00674BF5">
        <w:tc>
          <w:tcPr>
            <w:tcW w:w="1474" w:type="dxa"/>
          </w:tcPr>
          <w:p w14:paraId="0C1FE4BF" w14:textId="77777777" w:rsidR="002648B0" w:rsidRPr="002A677E" w:rsidRDefault="00B13F06" w:rsidP="00B055FF">
            <w:pPr>
              <w:pStyle w:val="InstructionsText"/>
            </w:pPr>
            <w:r w:rsidRPr="002A677E">
              <w:t>0</w:t>
            </w:r>
            <w:r w:rsidR="002648B0" w:rsidRPr="002A677E">
              <w:t>020</w:t>
            </w:r>
          </w:p>
        </w:tc>
        <w:tc>
          <w:tcPr>
            <w:tcW w:w="7049" w:type="dxa"/>
          </w:tcPr>
          <w:p w14:paraId="3E972956" w14:textId="77777777" w:rsidR="005643EA" w:rsidRPr="002A677E" w:rsidRDefault="002648B0" w:rsidP="00B055FF">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do not rely on future profitability</w:t>
            </w:r>
          </w:p>
          <w:p w14:paraId="481999B0" w14:textId="679F3E5B" w:rsidR="005643EA" w:rsidRPr="002A677E" w:rsidRDefault="002648B0" w:rsidP="00B055FF">
            <w:pPr>
              <w:pStyle w:val="InstructionsText"/>
            </w:pPr>
            <w:r w:rsidRPr="002A677E">
              <w:t xml:space="preserve">Article </w:t>
            </w:r>
            <w:r w:rsidR="00984A5C" w:rsidRPr="002A677E">
              <w:t>39</w:t>
            </w:r>
            <w:r w:rsidR="00DF65DF" w:rsidRPr="002A677E">
              <w:t>(2)</w:t>
            </w:r>
            <w:r w:rsidR="00984A5C" w:rsidRPr="002A677E">
              <w:t xml:space="preserve"> </w:t>
            </w:r>
            <w:r w:rsidR="00566DB5" w:rsidRPr="001235ED">
              <w:rPr>
                <w:lang w:val="en-US"/>
              </w:rPr>
              <w:t>of Regulation (EU) No 575/2013</w:t>
            </w:r>
          </w:p>
          <w:p w14:paraId="1929DFCA" w14:textId="77777777" w:rsidR="005643EA" w:rsidRPr="002A677E" w:rsidRDefault="002648B0" w:rsidP="00B055FF">
            <w:pPr>
              <w:pStyle w:val="InstructionsText"/>
            </w:pPr>
            <w:r w:rsidRPr="002A677E">
              <w:t xml:space="preserve">Deferred tax assets that </w:t>
            </w:r>
            <w:r w:rsidR="00477C45" w:rsidRPr="002A677E">
              <w:t xml:space="preserve">were created before 23 November 2016 and </w:t>
            </w:r>
            <w:r w:rsidRPr="002A677E">
              <w:t>do not rely on future profitability, and thus are subject to the application of a risk weight.</w:t>
            </w:r>
          </w:p>
        </w:tc>
      </w:tr>
      <w:tr w:rsidR="002648B0" w:rsidRPr="002A677E" w14:paraId="3DB34CBE" w14:textId="77777777" w:rsidTr="00674BF5">
        <w:tc>
          <w:tcPr>
            <w:tcW w:w="1474" w:type="dxa"/>
          </w:tcPr>
          <w:p w14:paraId="6739B74C" w14:textId="77777777" w:rsidR="002648B0" w:rsidRPr="002A677E" w:rsidRDefault="00B13F06" w:rsidP="00B055FF">
            <w:pPr>
              <w:pStyle w:val="InstructionsText"/>
            </w:pPr>
            <w:r w:rsidRPr="002A677E">
              <w:t>0</w:t>
            </w:r>
            <w:r w:rsidR="002648B0" w:rsidRPr="002A677E">
              <w:t>030</w:t>
            </w:r>
          </w:p>
        </w:tc>
        <w:tc>
          <w:tcPr>
            <w:tcW w:w="7049" w:type="dxa"/>
          </w:tcPr>
          <w:p w14:paraId="2C39DB84" w14:textId="77777777" w:rsidR="005643EA" w:rsidRPr="002A677E" w:rsidRDefault="002648B0" w:rsidP="00B055FF">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do not arise from temporary differences</w:t>
            </w:r>
          </w:p>
          <w:p w14:paraId="42A728ED" w14:textId="133D3776" w:rsidR="005643EA" w:rsidRPr="002A677E" w:rsidRDefault="002648B0" w:rsidP="00B055FF">
            <w:pPr>
              <w:pStyle w:val="InstructionsText"/>
            </w:pPr>
            <w:r w:rsidRPr="002A677E">
              <w:t xml:space="preserve">Article </w:t>
            </w:r>
            <w:r w:rsidR="00407110" w:rsidRPr="002A677E">
              <w:t>36(</w:t>
            </w:r>
            <w:r w:rsidRPr="002A677E">
              <w:t>1)</w:t>
            </w:r>
            <w:r w:rsidR="00B83DDE">
              <w:t>, p</w:t>
            </w:r>
            <w:r w:rsidR="008B3A5F" w:rsidRPr="002A677E">
              <w:t xml:space="preserve">oint (c) </w:t>
            </w:r>
            <w:r w:rsidRPr="002A677E">
              <w:t xml:space="preserve">and </w:t>
            </w:r>
            <w:r w:rsidR="0014657C" w:rsidRPr="002A677E">
              <w:t xml:space="preserve">Article </w:t>
            </w:r>
            <w:r w:rsidR="00984A5C" w:rsidRPr="002A677E">
              <w:t xml:space="preserve">38 </w:t>
            </w:r>
            <w:r w:rsidR="00566DB5" w:rsidRPr="001235ED">
              <w:rPr>
                <w:lang w:val="en-US"/>
              </w:rPr>
              <w:t>of Regulation (EU) No 575/2013</w:t>
            </w:r>
          </w:p>
          <w:p w14:paraId="21D9DB00" w14:textId="77777777" w:rsidR="005643EA" w:rsidRPr="002A677E" w:rsidRDefault="002648B0" w:rsidP="00B055FF">
            <w:pPr>
              <w:pStyle w:val="InstructionsText"/>
            </w:pPr>
            <w:r w:rsidRPr="002A677E">
              <w:t>Deferred tax assets that rely on future profitability, but do not arise from temporary differences, and thus are not subject to any threshold (i.e. are completely deducted from CET1).</w:t>
            </w:r>
          </w:p>
        </w:tc>
      </w:tr>
      <w:tr w:rsidR="002648B0" w:rsidRPr="002A677E" w14:paraId="08C7E623" w14:textId="77777777" w:rsidTr="00674BF5">
        <w:tc>
          <w:tcPr>
            <w:tcW w:w="1474" w:type="dxa"/>
          </w:tcPr>
          <w:p w14:paraId="2293E247" w14:textId="77777777" w:rsidR="002648B0" w:rsidRPr="002A677E" w:rsidRDefault="00B13F06" w:rsidP="00B055FF">
            <w:pPr>
              <w:pStyle w:val="InstructionsText"/>
            </w:pPr>
            <w:r w:rsidRPr="002A677E">
              <w:t>0</w:t>
            </w:r>
            <w:r w:rsidR="002648B0" w:rsidRPr="002A677E">
              <w:t>040</w:t>
            </w:r>
          </w:p>
        </w:tc>
        <w:tc>
          <w:tcPr>
            <w:tcW w:w="7049" w:type="dxa"/>
          </w:tcPr>
          <w:p w14:paraId="1E5C7BB0" w14:textId="77777777" w:rsidR="005643EA" w:rsidRPr="002A677E" w:rsidRDefault="002648B0" w:rsidP="00B055FF">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arise from temporary differences</w:t>
            </w:r>
          </w:p>
          <w:p w14:paraId="5D01C3C3" w14:textId="62CB8DD1" w:rsidR="005643EA" w:rsidRPr="002A677E" w:rsidRDefault="002648B0" w:rsidP="00B055FF">
            <w:pPr>
              <w:pStyle w:val="InstructionsText"/>
            </w:pPr>
            <w:r w:rsidRPr="002A677E">
              <w:t xml:space="preserve">Article </w:t>
            </w:r>
            <w:r w:rsidR="00407110" w:rsidRPr="002A677E">
              <w:t>36(</w:t>
            </w:r>
            <w:r w:rsidRPr="002A677E">
              <w:t>1)</w:t>
            </w:r>
            <w:r w:rsidR="008B3A5F" w:rsidRPr="002A677E">
              <w:t>,</w:t>
            </w:r>
            <w:r w:rsidRPr="002A677E">
              <w:t xml:space="preserve"> </w:t>
            </w:r>
            <w:r w:rsidR="008B3A5F" w:rsidRPr="002A677E">
              <w:t xml:space="preserve">point (c); </w:t>
            </w:r>
            <w:r w:rsidR="0014657C" w:rsidRPr="002A677E">
              <w:t xml:space="preserve">Article </w:t>
            </w:r>
            <w:r w:rsidR="00984A5C" w:rsidRPr="002A677E">
              <w:t>38</w:t>
            </w:r>
            <w:r w:rsidR="008B3A5F" w:rsidRPr="002A677E">
              <w:t>,</w:t>
            </w:r>
            <w:r w:rsidR="00984A5C" w:rsidRPr="002A677E">
              <w:t xml:space="preserve"> </w:t>
            </w:r>
            <w:r w:rsidRPr="002A677E">
              <w:t xml:space="preserve">and </w:t>
            </w:r>
            <w:r w:rsidR="0014657C" w:rsidRPr="002A677E">
              <w:t xml:space="preserve">Article </w:t>
            </w:r>
            <w:r w:rsidR="00984A5C" w:rsidRPr="002A677E">
              <w:t>48</w:t>
            </w:r>
            <w:r w:rsidRPr="002A677E">
              <w:t>(1)</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27BFEBDB" w14:textId="16F9AD1A" w:rsidR="005643EA" w:rsidRPr="002A677E" w:rsidRDefault="002648B0" w:rsidP="00B055FF">
            <w:pPr>
              <w:pStyle w:val="InstructionsText"/>
            </w:pPr>
            <w:r w:rsidRPr="002A677E">
              <w:t>Deferred tax assets that rely on future profitability and arise from temporary differences, and thus, their deduction from CET1 is subject to 10</w:t>
            </w:r>
            <w:r w:rsidR="00B856D5">
              <w:t> </w:t>
            </w:r>
            <w:r w:rsidRPr="002A677E">
              <w:t xml:space="preserve">% and </w:t>
            </w:r>
            <w:r w:rsidR="00F052D1" w:rsidRPr="002A677E">
              <w:t>17.65</w:t>
            </w:r>
            <w:r w:rsidR="00B856D5">
              <w:t xml:space="preserve"> </w:t>
            </w:r>
            <w:r w:rsidRPr="002A677E">
              <w:t xml:space="preserve">% thresholds in Article </w:t>
            </w:r>
            <w:r w:rsidR="00984A5C" w:rsidRPr="002A677E">
              <w:t xml:space="preserve">48 </w:t>
            </w:r>
            <w:r w:rsidR="00566DB5" w:rsidRPr="001235ED">
              <w:rPr>
                <w:lang w:val="en-US"/>
              </w:rPr>
              <w:t>of Regulation (EU) No 575/2013</w:t>
            </w:r>
            <w:r w:rsidRPr="002A677E">
              <w:t>.</w:t>
            </w:r>
          </w:p>
        </w:tc>
      </w:tr>
      <w:tr w:rsidR="002648B0" w:rsidRPr="002A677E" w14:paraId="4F7F873F" w14:textId="77777777" w:rsidTr="00674BF5">
        <w:tc>
          <w:tcPr>
            <w:tcW w:w="1474" w:type="dxa"/>
          </w:tcPr>
          <w:p w14:paraId="77D47B51" w14:textId="77777777" w:rsidR="002648B0" w:rsidRPr="002A677E" w:rsidRDefault="00B13F06" w:rsidP="00B055FF">
            <w:pPr>
              <w:pStyle w:val="InstructionsText"/>
            </w:pPr>
            <w:r w:rsidRPr="002A677E">
              <w:t>0</w:t>
            </w:r>
            <w:r w:rsidR="002648B0" w:rsidRPr="002A677E">
              <w:t>050</w:t>
            </w:r>
          </w:p>
        </w:tc>
        <w:tc>
          <w:tcPr>
            <w:tcW w:w="7049" w:type="dxa"/>
          </w:tcPr>
          <w:p w14:paraId="2D8BD1E1" w14:textId="77777777" w:rsidR="005643EA" w:rsidRPr="002A677E" w:rsidRDefault="002648B0" w:rsidP="00B055FF">
            <w:pPr>
              <w:pStyle w:val="InstructionsText"/>
            </w:pPr>
            <w:r w:rsidRPr="002A677E">
              <w:rPr>
                <w:rStyle w:val="InstructionsTabelleberschrift"/>
                <w:rFonts w:ascii="Times New Roman" w:hAnsi="Times New Roman"/>
                <w:sz w:val="24"/>
              </w:rPr>
              <w:t>2 Total deferred tax liabilities</w:t>
            </w:r>
          </w:p>
          <w:p w14:paraId="67FF7D87" w14:textId="77777777" w:rsidR="005643EA" w:rsidRPr="002A677E" w:rsidRDefault="002648B0" w:rsidP="00B055FF">
            <w:pPr>
              <w:pStyle w:val="InstructionsText"/>
            </w:pPr>
            <w:r w:rsidRPr="002A677E">
              <w:t>The amount reported in this item shall be equal to the amount reported in the</w:t>
            </w:r>
            <w:r w:rsidR="00967FAE" w:rsidRPr="002A677E">
              <w:t xml:space="preserve"> latest verified/audited</w:t>
            </w:r>
            <w:r w:rsidRPr="002A677E">
              <w:t xml:space="preserve"> accounting balance sheet.</w:t>
            </w:r>
          </w:p>
        </w:tc>
      </w:tr>
      <w:tr w:rsidR="002648B0" w:rsidRPr="002A677E" w14:paraId="62602289" w14:textId="77777777" w:rsidTr="00674BF5">
        <w:tc>
          <w:tcPr>
            <w:tcW w:w="1474" w:type="dxa"/>
          </w:tcPr>
          <w:p w14:paraId="6A74689B" w14:textId="77777777" w:rsidR="002648B0" w:rsidRPr="002A677E" w:rsidRDefault="00B13F06" w:rsidP="00B055FF">
            <w:pPr>
              <w:pStyle w:val="InstructionsText"/>
            </w:pPr>
            <w:r w:rsidRPr="002A677E">
              <w:t>0</w:t>
            </w:r>
            <w:r w:rsidR="002648B0" w:rsidRPr="002A677E">
              <w:t>060</w:t>
            </w:r>
          </w:p>
        </w:tc>
        <w:tc>
          <w:tcPr>
            <w:tcW w:w="7049" w:type="dxa"/>
          </w:tcPr>
          <w:p w14:paraId="0EDDF1A8" w14:textId="77777777" w:rsidR="005643EA" w:rsidRPr="002A677E" w:rsidRDefault="002648B0" w:rsidP="00B055FF">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non deductible from deferred tax assets that rely on future profitability</w:t>
            </w:r>
          </w:p>
          <w:p w14:paraId="738C6A5B" w14:textId="4E264CBF" w:rsidR="005643EA" w:rsidRPr="002A677E" w:rsidRDefault="002648B0" w:rsidP="00B055FF">
            <w:pPr>
              <w:pStyle w:val="InstructionsText"/>
            </w:pPr>
            <w:r w:rsidRPr="002A677E">
              <w:t xml:space="preserve">Article </w:t>
            </w:r>
            <w:r w:rsidR="00984A5C" w:rsidRPr="002A677E">
              <w:t>38</w:t>
            </w:r>
            <w:r w:rsidR="00B83DDE">
              <w:t>, p</w:t>
            </w:r>
            <w:r w:rsidR="008B3A5F" w:rsidRPr="002A677E">
              <w:t xml:space="preserve">aragraphs 3 and 4 </w:t>
            </w:r>
            <w:r w:rsidR="00566DB5" w:rsidRPr="001235ED">
              <w:rPr>
                <w:lang w:val="en-US"/>
              </w:rPr>
              <w:t>of Regulation (EU) No 575/2013</w:t>
            </w:r>
          </w:p>
          <w:p w14:paraId="6CD92B54" w14:textId="2566E539" w:rsidR="005643EA" w:rsidRPr="002A677E" w:rsidRDefault="002648B0" w:rsidP="00B055FF">
            <w:pPr>
              <w:pStyle w:val="InstructionsText"/>
            </w:pPr>
            <w:r w:rsidRPr="002A677E">
              <w:t>Deferred tax liabilities for which conditions in</w:t>
            </w:r>
            <w:r w:rsidR="00402284">
              <w:t xml:space="preserve">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00402284">
              <w:rPr>
                <w:lang w:val="en-US"/>
              </w:rPr>
              <w:t xml:space="preserve"> </w:t>
            </w:r>
            <w:r w:rsidRPr="002A677E">
              <w:t xml:space="preserve">are not met. Hence, this item shall include the deferred tax liabilities that reduce the amount of goodwill, other intangible assets or defined benefit pension fund assets required to be deducted, which are reported, respectively, in CA1 items </w:t>
            </w:r>
            <w:r w:rsidR="00DA4727" w:rsidRPr="002A677E">
              <w:t>1.</w:t>
            </w:r>
            <w:r w:rsidRPr="002A677E">
              <w:t xml:space="preserve">1.1.10.3, </w:t>
            </w:r>
            <w:r w:rsidR="00DA4727" w:rsidRPr="002A677E">
              <w:t>1.</w:t>
            </w:r>
            <w:r w:rsidRPr="002A677E">
              <w:t xml:space="preserve">1.1.11.2 and </w:t>
            </w:r>
            <w:r w:rsidR="00DA4727" w:rsidRPr="002A677E">
              <w:t>1.</w:t>
            </w:r>
            <w:r w:rsidRPr="002A677E">
              <w:t>1.1.14.2.</w:t>
            </w:r>
          </w:p>
        </w:tc>
      </w:tr>
      <w:tr w:rsidR="002648B0" w:rsidRPr="002A677E" w14:paraId="5BF223A8" w14:textId="77777777" w:rsidTr="00674BF5">
        <w:tc>
          <w:tcPr>
            <w:tcW w:w="1474" w:type="dxa"/>
          </w:tcPr>
          <w:p w14:paraId="1D19C6B3" w14:textId="77777777" w:rsidR="002648B0" w:rsidRPr="002A677E" w:rsidRDefault="00B13F06" w:rsidP="00B055FF">
            <w:pPr>
              <w:pStyle w:val="InstructionsText"/>
            </w:pPr>
            <w:r w:rsidRPr="002A677E">
              <w:t>0</w:t>
            </w:r>
            <w:r w:rsidR="002648B0" w:rsidRPr="002A677E">
              <w:t>070</w:t>
            </w:r>
          </w:p>
        </w:tc>
        <w:tc>
          <w:tcPr>
            <w:tcW w:w="7049" w:type="dxa"/>
          </w:tcPr>
          <w:p w14:paraId="00E88E35" w14:textId="77777777" w:rsidR="005643EA" w:rsidRPr="002A677E" w:rsidRDefault="002648B0" w:rsidP="00B055FF">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deductible from deferred tax assets that rely on future profitability</w:t>
            </w:r>
          </w:p>
          <w:p w14:paraId="74A43E2C" w14:textId="1354F76B" w:rsidR="005643EA" w:rsidRPr="002A677E" w:rsidRDefault="002648B0" w:rsidP="00B055FF">
            <w:pPr>
              <w:pStyle w:val="InstructionsText"/>
            </w:pPr>
            <w:r w:rsidRPr="002A677E">
              <w:t xml:space="preserve">Article </w:t>
            </w:r>
            <w:r w:rsidR="00984A5C" w:rsidRPr="002A677E">
              <w:t xml:space="preserve">38 </w:t>
            </w:r>
            <w:r w:rsidR="00566DB5" w:rsidRPr="001235ED">
              <w:rPr>
                <w:lang w:val="en-US"/>
              </w:rPr>
              <w:t>of Regulation (EU) No 575/2013</w:t>
            </w:r>
          </w:p>
        </w:tc>
      </w:tr>
      <w:tr w:rsidR="002648B0" w:rsidRPr="002A677E" w14:paraId="2137CA71" w14:textId="77777777" w:rsidTr="00674BF5">
        <w:tc>
          <w:tcPr>
            <w:tcW w:w="1474" w:type="dxa"/>
          </w:tcPr>
          <w:p w14:paraId="734ECB34" w14:textId="77777777" w:rsidR="002648B0" w:rsidRPr="002A677E" w:rsidRDefault="00B13F06" w:rsidP="00B055FF">
            <w:pPr>
              <w:pStyle w:val="InstructionsText"/>
            </w:pPr>
            <w:r w:rsidRPr="002A677E">
              <w:lastRenderedPageBreak/>
              <w:t>0</w:t>
            </w:r>
            <w:r w:rsidR="002648B0" w:rsidRPr="002A677E">
              <w:t>080</w:t>
            </w:r>
          </w:p>
        </w:tc>
        <w:tc>
          <w:tcPr>
            <w:tcW w:w="7049" w:type="dxa"/>
          </w:tcPr>
          <w:p w14:paraId="30D68EAA" w14:textId="77777777" w:rsidR="005643EA" w:rsidRPr="002A677E" w:rsidRDefault="002648B0" w:rsidP="00B055FF">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322BE481" w14:textId="56FC411A" w:rsidR="005643EA" w:rsidRPr="002A677E" w:rsidRDefault="002648B0" w:rsidP="00B055FF">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8E9ED0C" w14:textId="63A518DD" w:rsidR="005643EA" w:rsidRPr="002A677E" w:rsidRDefault="002648B0" w:rsidP="00B055FF">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not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2648B0" w:rsidRPr="002A677E" w14:paraId="503D093A" w14:textId="77777777" w:rsidTr="00674BF5">
        <w:tc>
          <w:tcPr>
            <w:tcW w:w="1474" w:type="dxa"/>
          </w:tcPr>
          <w:p w14:paraId="745E05CC" w14:textId="77777777" w:rsidR="002648B0" w:rsidRPr="002A677E" w:rsidRDefault="00B13F06" w:rsidP="00B055FF">
            <w:pPr>
              <w:pStyle w:val="InstructionsText"/>
            </w:pPr>
            <w:r w:rsidRPr="002A677E">
              <w:t>0</w:t>
            </w:r>
            <w:r w:rsidR="002648B0" w:rsidRPr="002A677E">
              <w:t>090</w:t>
            </w:r>
          </w:p>
        </w:tc>
        <w:tc>
          <w:tcPr>
            <w:tcW w:w="7049" w:type="dxa"/>
          </w:tcPr>
          <w:p w14:paraId="56115E84" w14:textId="77777777" w:rsidR="005643EA" w:rsidRPr="002A677E" w:rsidRDefault="002648B0" w:rsidP="00B055FF">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7363CE15" w14:textId="52BCF912" w:rsidR="005643EA" w:rsidRPr="002A677E" w:rsidRDefault="002648B0" w:rsidP="00B055FF">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6E5FD8E" w14:textId="7212393D" w:rsidR="005643EA" w:rsidRPr="002A677E" w:rsidRDefault="002648B0" w:rsidP="00B055FF">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550113" w:rsidRPr="002A677E" w14:paraId="3638796A" w14:textId="77777777" w:rsidTr="00674BF5">
        <w:tc>
          <w:tcPr>
            <w:tcW w:w="1474" w:type="dxa"/>
          </w:tcPr>
          <w:p w14:paraId="5097CB57" w14:textId="77777777" w:rsidR="00550113" w:rsidRPr="002A677E" w:rsidRDefault="00B13F06" w:rsidP="00B055FF">
            <w:pPr>
              <w:pStyle w:val="InstructionsText"/>
            </w:pPr>
            <w:r w:rsidRPr="002A677E">
              <w:t>0</w:t>
            </w:r>
            <w:r w:rsidR="00550113" w:rsidRPr="002A677E">
              <w:t>093</w:t>
            </w:r>
          </w:p>
        </w:tc>
        <w:tc>
          <w:tcPr>
            <w:tcW w:w="7049" w:type="dxa"/>
          </w:tcPr>
          <w:p w14:paraId="6A609734" w14:textId="77777777" w:rsidR="00550113" w:rsidRPr="002A677E" w:rsidRDefault="00550113" w:rsidP="00B055FF">
            <w:pPr>
              <w:pStyle w:val="InstructionsText"/>
            </w:pPr>
            <w:r w:rsidRPr="002A677E">
              <w:rPr>
                <w:rStyle w:val="InstructionsTabelleberschrift"/>
                <w:rFonts w:ascii="Times New Roman" w:hAnsi="Times New Roman"/>
                <w:sz w:val="24"/>
              </w:rPr>
              <w:t>2A</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Tax overpa</w:t>
            </w:r>
            <w:r w:rsidR="00201704" w:rsidRPr="002A677E">
              <w:rPr>
                <w:rStyle w:val="InstructionsTabelleberschrift"/>
                <w:rFonts w:ascii="Times New Roman" w:hAnsi="Times New Roman"/>
                <w:sz w:val="24"/>
              </w:rPr>
              <w:t>yments and tax loss carry backs</w:t>
            </w:r>
          </w:p>
          <w:p w14:paraId="1695947D" w14:textId="402ABB2B" w:rsidR="00550113" w:rsidRPr="002A677E" w:rsidRDefault="00201704" w:rsidP="00B055FF">
            <w:pPr>
              <w:pStyle w:val="InstructionsText"/>
            </w:pPr>
            <w:r w:rsidRPr="002A677E">
              <w:t xml:space="preserve">Article 39(1) </w:t>
            </w:r>
            <w:r w:rsidR="00566DB5" w:rsidRPr="001235ED">
              <w:rPr>
                <w:lang w:val="en-US"/>
              </w:rPr>
              <w:t>of Regulation (EU) No 575/2013</w:t>
            </w:r>
          </w:p>
          <w:p w14:paraId="036E36C9" w14:textId="425B2A93" w:rsidR="00550113" w:rsidRPr="002A677E" w:rsidRDefault="00550113" w:rsidP="00B055FF">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00566DB5" w:rsidRPr="001235ED">
              <w:rPr>
                <w:lang w:val="en-US"/>
              </w:rPr>
              <w:t>of Regulation (EU) No 575/2013</w:t>
            </w:r>
            <w:r w:rsidRPr="002A677E">
              <w:t>; the amount reported shall be the amount before the applicati</w:t>
            </w:r>
            <w:r w:rsidR="00201704" w:rsidRPr="002A677E">
              <w:t>on of risk weights.</w:t>
            </w:r>
          </w:p>
        </w:tc>
      </w:tr>
      <w:tr w:rsidR="00DF65DF" w:rsidRPr="002A677E" w14:paraId="5F147872" w14:textId="77777777" w:rsidTr="00674BF5">
        <w:tc>
          <w:tcPr>
            <w:tcW w:w="1474" w:type="dxa"/>
          </w:tcPr>
          <w:p w14:paraId="2F969A6C" w14:textId="77777777" w:rsidR="00DF65DF" w:rsidRPr="002A677E" w:rsidRDefault="00B13F06" w:rsidP="00B055FF">
            <w:pPr>
              <w:pStyle w:val="InstructionsText"/>
            </w:pPr>
            <w:r w:rsidRPr="002A677E">
              <w:t>0</w:t>
            </w:r>
            <w:r w:rsidR="00DF65DF" w:rsidRPr="002A677E">
              <w:t>096</w:t>
            </w:r>
          </w:p>
        </w:tc>
        <w:tc>
          <w:tcPr>
            <w:tcW w:w="7049" w:type="dxa"/>
          </w:tcPr>
          <w:p w14:paraId="3FAEDC94" w14:textId="59977BC0" w:rsidR="00DF65DF" w:rsidRPr="002A677E" w:rsidRDefault="00550113" w:rsidP="00B055FF">
            <w:pPr>
              <w:pStyle w:val="InstructionsText"/>
            </w:pPr>
            <w:r w:rsidRPr="002A677E">
              <w:rPr>
                <w:rStyle w:val="InstructionsTabelleberschrift"/>
                <w:rFonts w:ascii="Times New Roman" w:hAnsi="Times New Roman"/>
                <w:sz w:val="24"/>
              </w:rPr>
              <w:t>2B</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 s</w:t>
            </w:r>
            <w:r w:rsidR="00201704" w:rsidRPr="002A677E">
              <w:rPr>
                <w:rStyle w:val="InstructionsTabelleberschrift"/>
                <w:rFonts w:ascii="Times New Roman" w:hAnsi="Times New Roman"/>
                <w:sz w:val="24"/>
              </w:rPr>
              <w:t>ubject to a risk weight of 250</w:t>
            </w:r>
            <w:r w:rsidR="00B856D5">
              <w:t> </w:t>
            </w:r>
            <w:r w:rsidR="00201704" w:rsidRPr="002A677E">
              <w:rPr>
                <w:rStyle w:val="InstructionsTabelleberschrift"/>
                <w:rFonts w:ascii="Times New Roman" w:hAnsi="Times New Roman"/>
                <w:sz w:val="24"/>
              </w:rPr>
              <w:t>%</w:t>
            </w:r>
          </w:p>
          <w:p w14:paraId="3250EE36" w14:textId="3E7D2DF5" w:rsidR="00DF65DF" w:rsidRPr="002A677E" w:rsidRDefault="00201704" w:rsidP="00B055FF">
            <w:pPr>
              <w:pStyle w:val="InstructionsText"/>
            </w:pPr>
            <w:r w:rsidRPr="002A677E">
              <w:t xml:space="preserve">Article 48(4) </w:t>
            </w:r>
            <w:r w:rsidR="00566DB5" w:rsidRPr="001235ED">
              <w:rPr>
                <w:lang w:val="en-US"/>
              </w:rPr>
              <w:t>of Regulation (EU) No 575/2013</w:t>
            </w:r>
          </w:p>
          <w:p w14:paraId="65CF5C4A" w14:textId="48B4ECF0" w:rsidR="00DF65DF" w:rsidRPr="002A677E" w:rsidRDefault="00DF65DF" w:rsidP="00B055FF">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00566DB5" w:rsidRPr="001235ED">
              <w:rPr>
                <w:lang w:val="en-US"/>
              </w:rPr>
              <w:t>of Regulation (EU) No 575/2013</w:t>
            </w:r>
            <w:r w:rsidRPr="002A677E">
              <w:t>, but subject to a risk weight of 250</w:t>
            </w:r>
            <w:r w:rsidR="00B856D5">
              <w:t> </w:t>
            </w:r>
            <w:r w:rsidRPr="002A677E">
              <w:t>% in</w:t>
            </w:r>
            <w:r w:rsidR="00DC3A83" w:rsidRPr="002A677E">
              <w:t xml:space="preserve"> </w:t>
            </w:r>
            <w:r w:rsidRPr="002A677E">
              <w:t xml:space="preserve">accordance with Article 48(4) </w:t>
            </w:r>
            <w:r w:rsidR="00566DB5" w:rsidRPr="001235ED">
              <w:rPr>
                <w:lang w:val="en-US"/>
              </w:rPr>
              <w:t>of that Regulation</w:t>
            </w:r>
            <w:r w:rsidRPr="002A677E">
              <w:t>, taking into account the effect of Article 470</w:t>
            </w:r>
            <w:r w:rsidR="00577610">
              <w:t xml:space="preserve"> and</w:t>
            </w:r>
            <w:r w:rsidR="00674BF5" w:rsidRPr="002A677E">
              <w:t xml:space="preserve"> </w:t>
            </w:r>
            <w:r w:rsidR="00B13F06" w:rsidRPr="002A677E">
              <w:t xml:space="preserve">Article </w:t>
            </w:r>
            <w:r w:rsidR="00674BF5" w:rsidRPr="002A677E">
              <w:t>478(2)</w:t>
            </w:r>
            <w:r w:rsidR="00F42FE9" w:rsidRPr="002A677E">
              <w:t xml:space="preserve"> </w:t>
            </w:r>
            <w:r w:rsidR="00566DB5" w:rsidRPr="001235ED">
              <w:rPr>
                <w:lang w:val="en-US"/>
              </w:rPr>
              <w:t>of the same Regulation</w:t>
            </w:r>
            <w:r w:rsidRPr="002A677E">
              <w:t xml:space="preserve">. The amount reported shall be the amount of DTAs before the </w:t>
            </w:r>
            <w:r w:rsidR="00201704" w:rsidRPr="002A677E">
              <w:t>application of the risk weight.</w:t>
            </w:r>
          </w:p>
        </w:tc>
      </w:tr>
      <w:tr w:rsidR="00DF65DF" w:rsidRPr="002A677E" w14:paraId="79D85BBB" w14:textId="77777777" w:rsidTr="00674BF5">
        <w:tc>
          <w:tcPr>
            <w:tcW w:w="1474" w:type="dxa"/>
          </w:tcPr>
          <w:p w14:paraId="2F5D8708" w14:textId="77777777" w:rsidR="00DF65DF" w:rsidRPr="002A677E" w:rsidRDefault="00B13F06" w:rsidP="00B055FF">
            <w:pPr>
              <w:pStyle w:val="InstructionsText"/>
            </w:pPr>
            <w:r w:rsidRPr="002A677E">
              <w:t>0</w:t>
            </w:r>
            <w:r w:rsidR="00DF65DF" w:rsidRPr="002A677E">
              <w:t>097</w:t>
            </w:r>
          </w:p>
        </w:tc>
        <w:tc>
          <w:tcPr>
            <w:tcW w:w="7049" w:type="dxa"/>
          </w:tcPr>
          <w:p w14:paraId="3211FAAD" w14:textId="1B2BC687" w:rsidR="00DF65DF" w:rsidRPr="002A677E" w:rsidRDefault="00550113" w:rsidP="00B055FF">
            <w:pPr>
              <w:pStyle w:val="InstructionsText"/>
            </w:pPr>
            <w:r w:rsidRPr="002A677E">
              <w:rPr>
                <w:rStyle w:val="InstructionsTabelleberschrift"/>
                <w:rFonts w:ascii="Times New Roman" w:hAnsi="Times New Roman"/>
                <w:sz w:val="24"/>
              </w:rPr>
              <w:t>2C</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w:t>
            </w:r>
            <w:r w:rsidR="00201704" w:rsidRPr="002A677E">
              <w:rPr>
                <w:rStyle w:val="InstructionsTabelleberschrift"/>
                <w:rFonts w:ascii="Times New Roman" w:hAnsi="Times New Roman"/>
                <w:sz w:val="24"/>
              </w:rPr>
              <w:t xml:space="preserve"> subject to a risk weight of 0</w:t>
            </w:r>
            <w:r w:rsidR="00B856D5">
              <w:t> </w:t>
            </w:r>
            <w:r w:rsidR="00201704" w:rsidRPr="002A677E">
              <w:rPr>
                <w:rStyle w:val="InstructionsTabelleberschrift"/>
                <w:rFonts w:ascii="Times New Roman" w:hAnsi="Times New Roman"/>
                <w:sz w:val="24"/>
              </w:rPr>
              <w:t>%</w:t>
            </w:r>
          </w:p>
          <w:p w14:paraId="76CA7E3C" w14:textId="13DAD1AF" w:rsidR="00DF65DF" w:rsidRPr="002A677E" w:rsidRDefault="00DF65DF" w:rsidP="00B055FF">
            <w:pPr>
              <w:pStyle w:val="InstructionsText"/>
            </w:pPr>
            <w:r w:rsidRPr="002A677E">
              <w:t>Article 469(1)</w:t>
            </w:r>
            <w:r w:rsidR="00B83DDE">
              <w:t>, p</w:t>
            </w:r>
            <w:r w:rsidR="00F42FE9" w:rsidRPr="002A677E">
              <w:t xml:space="preserve">oint (d), </w:t>
            </w:r>
            <w:r w:rsidR="0014657C" w:rsidRPr="002A677E">
              <w:t xml:space="preserve">Article </w:t>
            </w:r>
            <w:r w:rsidR="00201704" w:rsidRPr="002A677E">
              <w:t xml:space="preserve">470, </w:t>
            </w:r>
            <w:r w:rsidR="008241B9" w:rsidRPr="002A677E">
              <w:t xml:space="preserve">Article </w:t>
            </w:r>
            <w:r w:rsidR="00201704" w:rsidRPr="002A677E">
              <w:t xml:space="preserve">472(5) and </w:t>
            </w:r>
            <w:r w:rsidR="008241B9" w:rsidRPr="002A677E">
              <w:t xml:space="preserve">Article </w:t>
            </w:r>
            <w:r w:rsidR="00201704" w:rsidRPr="002A677E">
              <w:t xml:space="preserve">478 </w:t>
            </w:r>
            <w:r w:rsidR="00985B99" w:rsidRPr="001235ED">
              <w:rPr>
                <w:lang w:val="en-US"/>
              </w:rPr>
              <w:t>of Regulation (EU) No 575/2013</w:t>
            </w:r>
          </w:p>
          <w:p w14:paraId="5159B743" w14:textId="3F2E475D" w:rsidR="00DF65DF" w:rsidRPr="002A677E" w:rsidRDefault="00DF65DF" w:rsidP="00B055FF">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rsidR="00B83DDE">
              <w:t>, p</w:t>
            </w:r>
            <w:r w:rsidR="00F42FE9" w:rsidRPr="002A677E">
              <w:t xml:space="preserve">oint (d), </w:t>
            </w:r>
            <w:r w:rsidR="0014657C" w:rsidRPr="002A677E">
              <w:t xml:space="preserve">Article </w:t>
            </w:r>
            <w:r w:rsidRPr="002A677E">
              <w:t xml:space="preserve">470 </w:t>
            </w:r>
            <w:r w:rsidR="00985B99" w:rsidRPr="001235ED">
              <w:rPr>
                <w:lang w:val="en-US"/>
              </w:rPr>
              <w:t>of Regulation (EU) No 575/2013</w:t>
            </w:r>
            <w:r w:rsidR="00B13F06" w:rsidRPr="002A677E">
              <w:t>, Article</w:t>
            </w:r>
            <w:r w:rsidR="00674BF5" w:rsidRPr="002A677E">
              <w:t xml:space="preserve"> 478 (2) </w:t>
            </w:r>
            <w:r w:rsidR="00985B99" w:rsidRPr="001235ED">
              <w:rPr>
                <w:lang w:val="en-US"/>
              </w:rPr>
              <w:t>of that Regulation</w:t>
            </w:r>
            <w:r w:rsidRPr="002A677E">
              <w:t>, but subject to a risk weight of 0</w:t>
            </w:r>
            <w:r w:rsidR="00B856D5">
              <w:t> </w:t>
            </w:r>
            <w:r w:rsidRPr="002A677E">
              <w:t xml:space="preserve">% in accordance with Article 472(5) </w:t>
            </w:r>
            <w:r w:rsidR="00985B99" w:rsidRPr="001235ED">
              <w:rPr>
                <w:lang w:val="en-US"/>
              </w:rPr>
              <w:t>of that Regulation</w:t>
            </w:r>
            <w:r w:rsidRPr="002A677E">
              <w:t xml:space="preserve">. </w:t>
            </w:r>
            <w:r w:rsidRPr="002A677E">
              <w:lastRenderedPageBreak/>
              <w:t xml:space="preserve">The amount reported shall be the amount of DTAs before the </w:t>
            </w:r>
            <w:r w:rsidR="00201704" w:rsidRPr="002A677E">
              <w:t>application of the risk weight.</w:t>
            </w:r>
          </w:p>
        </w:tc>
      </w:tr>
      <w:tr w:rsidR="00674BF5" w:rsidRPr="002A677E" w14:paraId="5BBC3EC9" w14:textId="77777777" w:rsidTr="00674BF5">
        <w:tc>
          <w:tcPr>
            <w:tcW w:w="1474" w:type="dxa"/>
          </w:tcPr>
          <w:p w14:paraId="7C43FF54" w14:textId="77777777" w:rsidR="00674BF5" w:rsidRPr="002A677E" w:rsidRDefault="004F1DDB" w:rsidP="00B055FF">
            <w:pPr>
              <w:pStyle w:val="InstructionsText"/>
            </w:pPr>
            <w:r w:rsidRPr="002A677E">
              <w:lastRenderedPageBreak/>
              <w:t>0</w:t>
            </w:r>
            <w:r w:rsidR="00674BF5" w:rsidRPr="002A677E">
              <w:t>90</w:t>
            </w:r>
            <w:r w:rsidR="00AA72D7" w:rsidRPr="002A677E">
              <w:t>1</w:t>
            </w:r>
          </w:p>
        </w:tc>
        <w:tc>
          <w:tcPr>
            <w:tcW w:w="7049" w:type="dxa"/>
          </w:tcPr>
          <w:p w14:paraId="57A73705" w14:textId="63376B0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2W </w:t>
            </w:r>
            <w:r w:rsidR="00C82F83" w:rsidRPr="002A677E">
              <w:rPr>
                <w:rStyle w:val="InstructionsTabelleberschrift"/>
                <w:rFonts w:ascii="Times New Roman" w:hAnsi="Times New Roman"/>
                <w:sz w:val="24"/>
              </w:rPr>
              <w:t>S</w:t>
            </w:r>
            <w:r w:rsidR="00B03CD3" w:rsidRPr="002A677E">
              <w:rPr>
                <w:rStyle w:val="InstructionsTabelleberschrift"/>
                <w:rFonts w:ascii="Times New Roman" w:hAnsi="Times New Roman"/>
                <w:sz w:val="24"/>
              </w:rPr>
              <w:t xml:space="preserve">oftware assets accounted for as intangible assets </w:t>
            </w:r>
            <w:r w:rsidR="00C82F83" w:rsidRPr="002A677E">
              <w:rPr>
                <w:rStyle w:val="InstructionsTabelleberschrift"/>
                <w:rFonts w:ascii="Times New Roman" w:hAnsi="Times New Roman"/>
                <w:sz w:val="24"/>
              </w:rPr>
              <w:t xml:space="preserve">exempted </w:t>
            </w:r>
            <w:r w:rsidRPr="002A677E">
              <w:rPr>
                <w:rStyle w:val="InstructionsTabelleberschrift"/>
                <w:rFonts w:ascii="Times New Roman" w:hAnsi="Times New Roman"/>
                <w:sz w:val="24"/>
              </w:rPr>
              <w:t>from</w:t>
            </w:r>
            <w:r w:rsidR="00C82F83" w:rsidRPr="002A677E">
              <w:rPr>
                <w:rStyle w:val="InstructionsTabelleberschrift"/>
                <w:rFonts w:ascii="Times New Roman" w:hAnsi="Times New Roman"/>
                <w:sz w:val="24"/>
              </w:rPr>
              <w:t xml:space="preserve"> the</w:t>
            </w:r>
            <w:r w:rsidRPr="002A677E">
              <w:rPr>
                <w:rStyle w:val="InstructionsTabelleberschrift"/>
                <w:rFonts w:ascii="Times New Roman" w:hAnsi="Times New Roman"/>
                <w:sz w:val="24"/>
              </w:rPr>
              <w:t xml:space="preserve"> deduction from CET1</w:t>
            </w:r>
          </w:p>
          <w:p w14:paraId="44F69E3F" w14:textId="12F20E44" w:rsidR="00674BF5" w:rsidRPr="002A677E" w:rsidRDefault="00674BF5" w:rsidP="00B055FF">
            <w:pPr>
              <w:pStyle w:val="InstructionsText"/>
            </w:pPr>
            <w:r w:rsidRPr="002A677E">
              <w:t>Article 36(1)</w:t>
            </w:r>
            <w:r w:rsidR="00B83DDE">
              <w:t>, p</w:t>
            </w:r>
            <w:r w:rsidR="00F42FE9" w:rsidRPr="002A677E">
              <w:t>oint (b)</w:t>
            </w:r>
            <w:r w:rsidR="00BE1277">
              <w:t>,</w:t>
            </w:r>
            <w:r w:rsidR="00F42FE9" w:rsidRPr="002A677E">
              <w:t xml:space="preserve"> </w:t>
            </w:r>
            <w:r w:rsidR="00985B99" w:rsidRPr="001235ED">
              <w:rPr>
                <w:lang w:val="en-US"/>
              </w:rPr>
              <w:t>of Regulation (EU) No 575/2013</w:t>
            </w:r>
          </w:p>
          <w:p w14:paraId="4421B226" w14:textId="61118313" w:rsidR="00674BF5" w:rsidRPr="002A677E" w:rsidRDefault="00674BF5" w:rsidP="00B055FF">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00B03CD3" w:rsidRPr="002A677E">
              <w:t xml:space="preserve"> </w:t>
            </w:r>
            <w:r w:rsidR="00D21548" w:rsidRPr="002A677E">
              <w:t xml:space="preserve">from CET1 items </w:t>
            </w:r>
            <w:r w:rsidR="00B03CD3" w:rsidRPr="002A677E">
              <w:t>in accordance with Article 13a</w:t>
            </w:r>
            <w:r w:rsidR="00402284">
              <w:t xml:space="preserve"> </w:t>
            </w:r>
            <w:r w:rsidR="00B03CD3" w:rsidRPr="002A677E">
              <w:t>of Delegated Regulation (EU) No 241/2014</w:t>
            </w:r>
            <w:r w:rsidRPr="002A677E">
              <w:t>.</w:t>
            </w:r>
          </w:p>
        </w:tc>
      </w:tr>
      <w:tr w:rsidR="00674BF5" w:rsidRPr="002A677E" w14:paraId="6658206C" w14:textId="77777777" w:rsidTr="00674BF5">
        <w:tc>
          <w:tcPr>
            <w:tcW w:w="1474" w:type="dxa"/>
          </w:tcPr>
          <w:p w14:paraId="5FC17CD5" w14:textId="77777777" w:rsidR="00674BF5" w:rsidRPr="002A677E" w:rsidRDefault="004F1DDB" w:rsidP="00B055FF">
            <w:pPr>
              <w:pStyle w:val="InstructionsText"/>
            </w:pPr>
            <w:r w:rsidRPr="002A677E">
              <w:t>0</w:t>
            </w:r>
            <w:r w:rsidR="00AA72D7" w:rsidRPr="002A677E">
              <w:t>905</w:t>
            </w:r>
          </w:p>
        </w:tc>
        <w:tc>
          <w:tcPr>
            <w:tcW w:w="7049" w:type="dxa"/>
          </w:tcPr>
          <w:p w14:paraId="1CDEF317"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30206890" w14:textId="77777777" w:rsidR="00674BF5" w:rsidRPr="002A677E" w:rsidRDefault="00674BF5" w:rsidP="00B055FF">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674BF5" w:rsidRPr="002A677E" w14:paraId="2A4E3C88" w14:textId="77777777" w:rsidTr="00674BF5">
        <w:tc>
          <w:tcPr>
            <w:tcW w:w="1474" w:type="dxa"/>
          </w:tcPr>
          <w:p w14:paraId="5DE0AD58" w14:textId="77777777" w:rsidR="00674BF5" w:rsidRPr="002A677E" w:rsidRDefault="004F1DDB" w:rsidP="00B055FF">
            <w:pPr>
              <w:pStyle w:val="InstructionsText"/>
            </w:pPr>
            <w:r w:rsidRPr="002A677E">
              <w:t>0</w:t>
            </w:r>
            <w:r w:rsidR="00AA72D7" w:rsidRPr="002A677E">
              <w:t>906</w:t>
            </w:r>
          </w:p>
        </w:tc>
        <w:tc>
          <w:tcPr>
            <w:tcW w:w="7049" w:type="dxa"/>
          </w:tcPr>
          <w:p w14:paraId="0F66E835"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9E6E78E" w14:textId="77777777" w:rsidR="00674BF5" w:rsidRPr="002A677E" w:rsidRDefault="00674BF5" w:rsidP="00B055FF">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674BF5" w:rsidRPr="002A677E" w14:paraId="0EE82339" w14:textId="77777777" w:rsidTr="00674BF5">
        <w:tc>
          <w:tcPr>
            <w:tcW w:w="1474" w:type="dxa"/>
          </w:tcPr>
          <w:p w14:paraId="1674F052" w14:textId="77777777" w:rsidR="00674BF5" w:rsidRPr="002A677E" w:rsidRDefault="004F1DDB" w:rsidP="00B055FF">
            <w:pPr>
              <w:pStyle w:val="InstructionsText"/>
            </w:pPr>
            <w:r w:rsidRPr="002A677E">
              <w:t>0</w:t>
            </w:r>
            <w:r w:rsidR="00674BF5" w:rsidRPr="002A677E">
              <w:t>100</w:t>
            </w:r>
          </w:p>
        </w:tc>
        <w:tc>
          <w:tcPr>
            <w:tcW w:w="7049" w:type="dxa"/>
          </w:tcPr>
          <w:p w14:paraId="1F343522"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30E72DCC" w14:textId="0C5B1A18" w:rsidR="00674BF5" w:rsidRPr="002A677E" w:rsidRDefault="00674BF5" w:rsidP="00B055FF">
            <w:pPr>
              <w:pStyle w:val="InstructionsText"/>
            </w:pPr>
            <w:r w:rsidRPr="002A677E">
              <w:t>Article 36(1)</w:t>
            </w:r>
            <w:r w:rsidR="00B83DDE">
              <w:t>, p</w:t>
            </w:r>
            <w:r w:rsidR="00F42FE9" w:rsidRPr="002A677E">
              <w:t>oint (d), Article 62</w:t>
            </w:r>
            <w:r w:rsidR="00B83DDE">
              <w:t>, p</w:t>
            </w:r>
            <w:r w:rsidRPr="002A677E">
              <w:t xml:space="preserve">oint (d), Articles 158 and 159 </w:t>
            </w:r>
            <w:r w:rsidR="00985B99" w:rsidRPr="001235ED">
              <w:rPr>
                <w:lang w:val="en-US"/>
              </w:rPr>
              <w:t>of Regulation (EU) No 575/2013</w:t>
            </w:r>
          </w:p>
          <w:p w14:paraId="2FD4B9C9" w14:textId="77777777" w:rsidR="00674BF5" w:rsidRPr="002A677E" w:rsidRDefault="00674BF5" w:rsidP="00B055FF">
            <w:pPr>
              <w:pStyle w:val="InstructionsText"/>
            </w:pPr>
            <w:r w:rsidRPr="002A677E">
              <w:t>This item shall only be reported by IRB institutions.</w:t>
            </w:r>
          </w:p>
        </w:tc>
      </w:tr>
      <w:tr w:rsidR="00674BF5" w:rsidRPr="002A677E" w14:paraId="791146D9" w14:textId="77777777" w:rsidTr="00674BF5">
        <w:tc>
          <w:tcPr>
            <w:tcW w:w="1474" w:type="dxa"/>
          </w:tcPr>
          <w:p w14:paraId="7A9BF4F4" w14:textId="77777777" w:rsidR="00674BF5" w:rsidRPr="002A677E" w:rsidRDefault="004F1DDB" w:rsidP="00B055FF">
            <w:pPr>
              <w:pStyle w:val="InstructionsText"/>
            </w:pPr>
            <w:r w:rsidRPr="002A677E">
              <w:t>0</w:t>
            </w:r>
            <w:r w:rsidR="00674BF5" w:rsidRPr="002A677E">
              <w:t>110</w:t>
            </w:r>
          </w:p>
        </w:tc>
        <w:tc>
          <w:tcPr>
            <w:tcW w:w="7049" w:type="dxa"/>
          </w:tcPr>
          <w:p w14:paraId="4C113E22" w14:textId="77777777" w:rsidR="00674BF5" w:rsidRPr="002A677E" w:rsidRDefault="00674BF5" w:rsidP="00B055FF">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4C89842E" w14:textId="1E04C145" w:rsidR="00674BF5" w:rsidRPr="002A677E" w:rsidRDefault="00674BF5" w:rsidP="00B055FF">
            <w:pPr>
              <w:pStyle w:val="InstructionsText"/>
            </w:pPr>
            <w:r w:rsidRPr="002A677E">
              <w:t xml:space="preserve">Article 159 </w:t>
            </w:r>
            <w:r w:rsidR="00985B99" w:rsidRPr="001235ED">
              <w:rPr>
                <w:lang w:val="en-US"/>
              </w:rPr>
              <w:t>of Regulation (EU) No 575/2013</w:t>
            </w:r>
          </w:p>
          <w:p w14:paraId="52A0ACC8" w14:textId="77777777" w:rsidR="00674BF5" w:rsidRPr="002A677E" w:rsidRDefault="00674BF5" w:rsidP="00B055FF">
            <w:pPr>
              <w:pStyle w:val="InstructionsText"/>
            </w:pPr>
            <w:r w:rsidRPr="002A677E">
              <w:t>This item shall only be reported by IRB institutions.</w:t>
            </w:r>
          </w:p>
        </w:tc>
      </w:tr>
      <w:tr w:rsidR="00674BF5" w:rsidRPr="002A677E" w14:paraId="689A3C1F" w14:textId="77777777" w:rsidTr="00674BF5">
        <w:tc>
          <w:tcPr>
            <w:tcW w:w="1474" w:type="dxa"/>
          </w:tcPr>
          <w:p w14:paraId="26D7FD00" w14:textId="77777777" w:rsidR="00674BF5" w:rsidRPr="002A677E" w:rsidRDefault="004F1DDB" w:rsidP="00B055FF">
            <w:pPr>
              <w:pStyle w:val="InstructionsText"/>
            </w:pPr>
            <w:r w:rsidRPr="002A677E">
              <w:t>0</w:t>
            </w:r>
            <w:r w:rsidR="00674BF5" w:rsidRPr="002A677E">
              <w:t>120</w:t>
            </w:r>
          </w:p>
        </w:tc>
        <w:tc>
          <w:tcPr>
            <w:tcW w:w="7049" w:type="dxa"/>
          </w:tcPr>
          <w:p w14:paraId="4711C0BE" w14:textId="77777777" w:rsidR="00674BF5" w:rsidRPr="002A677E" w:rsidRDefault="00674BF5" w:rsidP="00B055FF">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0F1C0767" w14:textId="37773089" w:rsidR="00674BF5" w:rsidRPr="002A677E" w:rsidRDefault="00674BF5" w:rsidP="00B055FF">
            <w:pPr>
              <w:pStyle w:val="InstructionsText"/>
            </w:pPr>
            <w:r w:rsidRPr="002A677E">
              <w:t xml:space="preserve">Article 159 </w:t>
            </w:r>
            <w:r w:rsidR="00985B99" w:rsidRPr="001235ED">
              <w:rPr>
                <w:lang w:val="en-US"/>
              </w:rPr>
              <w:t>of Regulation (EU) No 575/2013</w:t>
            </w:r>
          </w:p>
          <w:p w14:paraId="4154ADBE" w14:textId="77777777" w:rsidR="00674BF5" w:rsidRPr="002A677E" w:rsidRDefault="00674BF5" w:rsidP="00B055FF">
            <w:pPr>
              <w:pStyle w:val="InstructionsText"/>
            </w:pPr>
            <w:r w:rsidRPr="002A677E">
              <w:t>This item shall only be reported by IRB institutions.</w:t>
            </w:r>
          </w:p>
        </w:tc>
      </w:tr>
      <w:tr w:rsidR="00674BF5" w:rsidRPr="002A677E" w14:paraId="3A455B60" w14:textId="77777777" w:rsidTr="00674BF5">
        <w:tc>
          <w:tcPr>
            <w:tcW w:w="1474" w:type="dxa"/>
          </w:tcPr>
          <w:p w14:paraId="000152E6" w14:textId="77777777" w:rsidR="00674BF5" w:rsidRPr="002A677E" w:rsidRDefault="004F1DDB" w:rsidP="00B055FF">
            <w:pPr>
              <w:pStyle w:val="InstructionsText"/>
            </w:pPr>
            <w:r w:rsidRPr="002A677E">
              <w:t>0</w:t>
            </w:r>
            <w:r w:rsidR="00674BF5" w:rsidRPr="002A677E">
              <w:t>130</w:t>
            </w:r>
          </w:p>
        </w:tc>
        <w:tc>
          <w:tcPr>
            <w:tcW w:w="7049" w:type="dxa"/>
          </w:tcPr>
          <w:p w14:paraId="4DD5E8AB" w14:textId="77777777" w:rsidR="00674BF5" w:rsidRPr="002A677E" w:rsidRDefault="00674BF5" w:rsidP="00B055FF">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224BBAEC" w14:textId="728DC1A5" w:rsidR="00674BF5" w:rsidRPr="002A677E" w:rsidRDefault="00674BF5" w:rsidP="00B055FF">
            <w:pPr>
              <w:pStyle w:val="InstructionsText"/>
            </w:pPr>
            <w:r w:rsidRPr="002A677E">
              <w:t xml:space="preserve">Article 159 </w:t>
            </w:r>
            <w:r w:rsidR="00985B99" w:rsidRPr="001235ED">
              <w:rPr>
                <w:lang w:val="en-US"/>
              </w:rPr>
              <w:t>of Regulation (EU) No 575/2013</w:t>
            </w:r>
          </w:p>
          <w:p w14:paraId="4E4EA60F" w14:textId="77777777" w:rsidR="00674BF5" w:rsidRPr="002A677E" w:rsidRDefault="00674BF5" w:rsidP="00B055FF">
            <w:pPr>
              <w:pStyle w:val="InstructionsText"/>
            </w:pPr>
            <w:r w:rsidRPr="002A677E">
              <w:t>This item shall only be reported by IRB institutions.</w:t>
            </w:r>
          </w:p>
        </w:tc>
      </w:tr>
      <w:tr w:rsidR="00674BF5" w:rsidRPr="002A677E" w14:paraId="4E3F5E63" w14:textId="77777777" w:rsidTr="00674BF5">
        <w:tc>
          <w:tcPr>
            <w:tcW w:w="1474" w:type="dxa"/>
          </w:tcPr>
          <w:p w14:paraId="11CF481F" w14:textId="77777777" w:rsidR="00674BF5" w:rsidRPr="002A677E" w:rsidRDefault="004F1DDB" w:rsidP="00B055FF">
            <w:pPr>
              <w:pStyle w:val="InstructionsText"/>
            </w:pPr>
            <w:r w:rsidRPr="002A677E">
              <w:t>0</w:t>
            </w:r>
            <w:r w:rsidR="00674BF5" w:rsidRPr="002A677E">
              <w:t>131</w:t>
            </w:r>
          </w:p>
        </w:tc>
        <w:tc>
          <w:tcPr>
            <w:tcW w:w="7049" w:type="dxa"/>
          </w:tcPr>
          <w:p w14:paraId="580E835C"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3FD23FCE" w14:textId="434ADAE4"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00985B99" w:rsidRPr="001235ED">
              <w:rPr>
                <w:lang w:val="en-US"/>
              </w:rPr>
              <w:t>of Regulation (EU) No 575/2013</w:t>
            </w:r>
          </w:p>
          <w:p w14:paraId="7FE6A470"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lastRenderedPageBreak/>
              <w:t>This item shall only be reported by IRB institutions.</w:t>
            </w:r>
          </w:p>
        </w:tc>
      </w:tr>
      <w:tr w:rsidR="00674BF5" w:rsidRPr="002A677E" w14:paraId="6862293B" w14:textId="77777777" w:rsidTr="00674BF5">
        <w:tc>
          <w:tcPr>
            <w:tcW w:w="1474" w:type="dxa"/>
          </w:tcPr>
          <w:p w14:paraId="7014E5FC" w14:textId="77777777" w:rsidR="00674BF5" w:rsidRPr="002A677E" w:rsidRDefault="004F1DDB" w:rsidP="00B055FF">
            <w:pPr>
              <w:pStyle w:val="InstructionsText"/>
            </w:pPr>
            <w:r w:rsidRPr="002A677E">
              <w:lastRenderedPageBreak/>
              <w:t>0</w:t>
            </w:r>
            <w:r w:rsidR="00674BF5" w:rsidRPr="002A677E">
              <w:t>140</w:t>
            </w:r>
          </w:p>
        </w:tc>
        <w:tc>
          <w:tcPr>
            <w:tcW w:w="7049" w:type="dxa"/>
          </w:tcPr>
          <w:p w14:paraId="6CC7F592" w14:textId="77777777" w:rsidR="00674BF5" w:rsidRPr="002A677E" w:rsidRDefault="00674BF5" w:rsidP="00B055FF">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E24DA26" w14:textId="6A6436F3" w:rsidR="00674BF5" w:rsidRPr="002A677E" w:rsidRDefault="00674BF5" w:rsidP="00B055FF">
            <w:pPr>
              <w:pStyle w:val="InstructionsText"/>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76D1C43C" w14:textId="77777777" w:rsidR="00674BF5" w:rsidRPr="002A677E" w:rsidRDefault="00674BF5" w:rsidP="00B055FF">
            <w:pPr>
              <w:pStyle w:val="InstructionsText"/>
            </w:pPr>
            <w:r w:rsidRPr="002A677E">
              <w:t>This item shall only be reported by IRB institutions. Only the expected loss related to non-defaulted exposures shall be reported.</w:t>
            </w:r>
          </w:p>
        </w:tc>
      </w:tr>
      <w:tr w:rsidR="00674BF5" w:rsidRPr="002A677E" w14:paraId="0F8159B1" w14:textId="77777777" w:rsidTr="00674BF5">
        <w:tc>
          <w:tcPr>
            <w:tcW w:w="1474" w:type="dxa"/>
          </w:tcPr>
          <w:p w14:paraId="18D4AAF5" w14:textId="77777777" w:rsidR="00674BF5" w:rsidRPr="002A677E" w:rsidRDefault="004F1DDB" w:rsidP="00B055FF">
            <w:pPr>
              <w:pStyle w:val="InstructionsText"/>
            </w:pPr>
            <w:r w:rsidRPr="002A677E">
              <w:t>0</w:t>
            </w:r>
            <w:r w:rsidR="00674BF5" w:rsidRPr="002A677E">
              <w:t>145</w:t>
            </w:r>
          </w:p>
        </w:tc>
        <w:tc>
          <w:tcPr>
            <w:tcW w:w="7049" w:type="dxa"/>
          </w:tcPr>
          <w:p w14:paraId="31AF2969"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7D461A9" w14:textId="6B30E426" w:rsidR="00674BF5" w:rsidRPr="002A677E" w:rsidRDefault="00674BF5" w:rsidP="00B055FF">
            <w:pPr>
              <w:pStyle w:val="InstructionsText"/>
            </w:pPr>
            <w:r w:rsidRPr="002A677E">
              <w:t>Article 36(1)</w:t>
            </w:r>
            <w:r w:rsidR="00B83DDE">
              <w:t>, p</w:t>
            </w:r>
            <w:r w:rsidR="00F42FE9" w:rsidRPr="002A677E">
              <w:t xml:space="preserve">oint (d), </w:t>
            </w:r>
            <w:r w:rsidRPr="002A677E">
              <w:t>Article 62</w:t>
            </w:r>
            <w:r w:rsidR="00B83DDE">
              <w:t>, p</w:t>
            </w:r>
            <w:r w:rsidR="00F42FE9" w:rsidRPr="002A677E">
              <w:t xml:space="preserve">oint (d) </w:t>
            </w:r>
            <w:r w:rsidRPr="002A677E">
              <w:t xml:space="preserve">Articles 158 and 159 </w:t>
            </w:r>
            <w:r w:rsidR="00985B99" w:rsidRPr="001235ED">
              <w:rPr>
                <w:lang w:val="en-US"/>
              </w:rPr>
              <w:t>of Regulation (EU) No 575/2013</w:t>
            </w:r>
          </w:p>
          <w:p w14:paraId="19B352EF"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5DE621F5" w14:textId="77777777" w:rsidTr="00674BF5">
        <w:tc>
          <w:tcPr>
            <w:tcW w:w="1474" w:type="dxa"/>
          </w:tcPr>
          <w:p w14:paraId="705A9DFC" w14:textId="77777777" w:rsidR="00674BF5" w:rsidRPr="002A677E" w:rsidRDefault="004F1DDB" w:rsidP="00B055FF">
            <w:pPr>
              <w:pStyle w:val="InstructionsText"/>
            </w:pPr>
            <w:r w:rsidRPr="002A677E">
              <w:t>0</w:t>
            </w:r>
            <w:r w:rsidR="00674BF5" w:rsidRPr="002A677E">
              <w:t>150</w:t>
            </w:r>
          </w:p>
        </w:tc>
        <w:tc>
          <w:tcPr>
            <w:tcW w:w="7049" w:type="dxa"/>
          </w:tcPr>
          <w:p w14:paraId="5F6BBFB6"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43A68A00" w14:textId="4DAD7839" w:rsidR="00674BF5" w:rsidRPr="002A677E" w:rsidRDefault="00674BF5" w:rsidP="00B055FF">
            <w:pPr>
              <w:pStyle w:val="InstructionsText"/>
            </w:pPr>
            <w:r w:rsidRPr="002A677E">
              <w:t xml:space="preserve">Article 159 </w:t>
            </w:r>
            <w:r w:rsidR="00985B99" w:rsidRPr="001235ED">
              <w:rPr>
                <w:lang w:val="en-US"/>
              </w:rPr>
              <w:t>of Regulation (EU) No 575/2013</w:t>
            </w:r>
          </w:p>
          <w:p w14:paraId="6708F684"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10440547" w14:textId="77777777" w:rsidTr="00674BF5">
        <w:tc>
          <w:tcPr>
            <w:tcW w:w="1474" w:type="dxa"/>
          </w:tcPr>
          <w:p w14:paraId="60B1A572" w14:textId="77777777" w:rsidR="00674BF5" w:rsidRPr="002A677E" w:rsidRDefault="004F1DDB" w:rsidP="00B055FF">
            <w:pPr>
              <w:pStyle w:val="InstructionsText"/>
            </w:pPr>
            <w:r w:rsidRPr="002A677E">
              <w:t>0</w:t>
            </w:r>
            <w:r w:rsidR="00674BF5" w:rsidRPr="002A677E">
              <w:t>155</w:t>
            </w:r>
          </w:p>
        </w:tc>
        <w:tc>
          <w:tcPr>
            <w:tcW w:w="7049" w:type="dxa"/>
          </w:tcPr>
          <w:p w14:paraId="1A24E068"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13C1AF08" w14:textId="7E12E6AE" w:rsidR="00674BF5" w:rsidRPr="002A677E" w:rsidRDefault="00674BF5" w:rsidP="00B055FF">
            <w:pPr>
              <w:pStyle w:val="InstructionsText"/>
              <w:rPr>
                <w:rStyle w:val="InstructionsTabelleberschrift"/>
                <w:rFonts w:ascii="Times New Roman" w:hAnsi="Times New Roman"/>
                <w:sz w:val="24"/>
              </w:rPr>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086470B2"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674BF5" w:rsidRPr="002A677E" w14:paraId="6B8EC52E" w14:textId="77777777" w:rsidTr="00674BF5">
        <w:tc>
          <w:tcPr>
            <w:tcW w:w="1474" w:type="dxa"/>
          </w:tcPr>
          <w:p w14:paraId="1C8B3981" w14:textId="77777777" w:rsidR="00674BF5" w:rsidRPr="002A677E" w:rsidRDefault="004F1DDB" w:rsidP="00B055FF">
            <w:pPr>
              <w:pStyle w:val="InstructionsText"/>
            </w:pPr>
            <w:r w:rsidRPr="002A677E">
              <w:t>0</w:t>
            </w:r>
            <w:r w:rsidR="00674BF5" w:rsidRPr="002A677E">
              <w:t>160</w:t>
            </w:r>
          </w:p>
        </w:tc>
        <w:tc>
          <w:tcPr>
            <w:tcW w:w="7049" w:type="dxa"/>
          </w:tcPr>
          <w:p w14:paraId="2429D2FF" w14:textId="77777777" w:rsidR="00674BF5" w:rsidRPr="002A677E" w:rsidRDefault="00674BF5" w:rsidP="00B055FF">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73903EE6" w14:textId="6755FB1C" w:rsidR="00674BF5" w:rsidRPr="002A677E" w:rsidRDefault="00674BF5" w:rsidP="00B055FF">
            <w:pPr>
              <w:pStyle w:val="InstructionsText"/>
            </w:pP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p>
          <w:p w14:paraId="7FC9FB95" w14:textId="6063557E" w:rsidR="00674BF5" w:rsidRPr="002A677E" w:rsidRDefault="00674BF5" w:rsidP="00B055FF">
            <w:pPr>
              <w:pStyle w:val="InstructionsText"/>
            </w:pPr>
            <w:r w:rsidRPr="002A677E">
              <w:t>For IRB institutions, the excess amount of provisions (to expected losses) eligible for inclusion in Tier 2 capital is capped at 0.6</w:t>
            </w:r>
            <w:r w:rsidR="00B856D5">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r w:rsidRPr="002A677E">
              <w:t>.</w:t>
            </w:r>
          </w:p>
          <w:p w14:paraId="02C5710E" w14:textId="5DD39A5D" w:rsidR="00674BF5" w:rsidRPr="002A677E" w:rsidRDefault="00674BF5" w:rsidP="00B055FF">
            <w:pPr>
              <w:pStyle w:val="InstructionsText"/>
            </w:pPr>
            <w:r w:rsidRPr="002A677E">
              <w:t>The amount to be reported in this item is the risk weighted exposure amounts (i.e. not multiplied by 0.6</w:t>
            </w:r>
            <w:r w:rsidR="00B856D5">
              <w:t xml:space="preserve"> </w:t>
            </w:r>
            <w:r w:rsidRPr="002A677E">
              <w:t>%) which is the base for calculating the cap.</w:t>
            </w:r>
          </w:p>
        </w:tc>
      </w:tr>
      <w:tr w:rsidR="00674BF5" w:rsidRPr="002A677E" w14:paraId="38D23AF2" w14:textId="77777777" w:rsidTr="00674BF5">
        <w:tc>
          <w:tcPr>
            <w:tcW w:w="1474" w:type="dxa"/>
          </w:tcPr>
          <w:p w14:paraId="5F2F5E29" w14:textId="77777777" w:rsidR="00674BF5" w:rsidRPr="002A677E" w:rsidRDefault="004F1DDB" w:rsidP="00B055FF">
            <w:pPr>
              <w:pStyle w:val="InstructionsText"/>
            </w:pPr>
            <w:r w:rsidRPr="002A677E">
              <w:t>0</w:t>
            </w:r>
            <w:r w:rsidR="00674BF5" w:rsidRPr="002A677E">
              <w:t>170</w:t>
            </w:r>
          </w:p>
        </w:tc>
        <w:tc>
          <w:tcPr>
            <w:tcW w:w="7049" w:type="dxa"/>
          </w:tcPr>
          <w:p w14:paraId="373C43C1" w14:textId="77777777" w:rsidR="00674BF5" w:rsidRPr="002A677E" w:rsidRDefault="00674BF5" w:rsidP="00B055FF">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1E001C6E" w14:textId="31F46F2D" w:rsidR="00674BF5" w:rsidRPr="002A677E" w:rsidRDefault="00674BF5" w:rsidP="00B055FF">
            <w:pPr>
              <w:pStyle w:val="InstructionsText"/>
            </w:pPr>
            <w:r w:rsidRPr="002A677E">
              <w:t>Article 62</w:t>
            </w:r>
            <w:r w:rsidR="00B83DDE">
              <w:t>, p</w:t>
            </w:r>
            <w:r w:rsidR="00F42FE9" w:rsidRPr="002A677E">
              <w:t>oint (c)</w:t>
            </w:r>
            <w:r w:rsidR="00BE1277">
              <w:t>,</w:t>
            </w:r>
            <w:r w:rsidR="00985B99" w:rsidRPr="001235ED">
              <w:rPr>
                <w:lang w:val="en-US"/>
              </w:rPr>
              <w:t xml:space="preserve"> of Regulation (EU) No 575/2013</w:t>
            </w:r>
          </w:p>
          <w:p w14:paraId="054F6F39" w14:textId="77777777" w:rsidR="00674BF5" w:rsidRPr="002A677E" w:rsidRDefault="00674BF5" w:rsidP="00B055FF">
            <w:pPr>
              <w:pStyle w:val="InstructionsText"/>
            </w:pPr>
            <w:r w:rsidRPr="002A677E">
              <w:t>This item includes the general credit risk adjustments that are eligible for inclusion in T2 capital, before cap.</w:t>
            </w:r>
          </w:p>
          <w:p w14:paraId="536A8737" w14:textId="77777777" w:rsidR="00674BF5" w:rsidRPr="002A677E" w:rsidRDefault="00674BF5" w:rsidP="00B055FF">
            <w:pPr>
              <w:pStyle w:val="InstructionsText"/>
            </w:pPr>
            <w:r w:rsidRPr="002A677E">
              <w:t>The amount to be reported shall be gross of tax effects.</w:t>
            </w:r>
          </w:p>
        </w:tc>
      </w:tr>
      <w:tr w:rsidR="00674BF5" w:rsidRPr="002A677E" w14:paraId="372310B1" w14:textId="77777777" w:rsidTr="00674BF5">
        <w:tc>
          <w:tcPr>
            <w:tcW w:w="1474" w:type="dxa"/>
          </w:tcPr>
          <w:p w14:paraId="742C3A51" w14:textId="77777777" w:rsidR="00674BF5" w:rsidRPr="002A677E" w:rsidRDefault="004F1DDB" w:rsidP="00B055FF">
            <w:pPr>
              <w:pStyle w:val="InstructionsText"/>
            </w:pPr>
            <w:r w:rsidRPr="002A677E">
              <w:t>0</w:t>
            </w:r>
            <w:r w:rsidR="00674BF5" w:rsidRPr="002A677E">
              <w:t>180</w:t>
            </w:r>
          </w:p>
        </w:tc>
        <w:tc>
          <w:tcPr>
            <w:tcW w:w="7049" w:type="dxa"/>
          </w:tcPr>
          <w:p w14:paraId="5FC61E8C" w14:textId="77777777" w:rsidR="00674BF5" w:rsidRPr="002A677E" w:rsidRDefault="00674BF5" w:rsidP="00B055FF">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4E8EDB11" w14:textId="0959D742" w:rsidR="00674BF5" w:rsidRPr="002A677E" w:rsidRDefault="00674BF5" w:rsidP="00B055FF">
            <w:pPr>
              <w:pStyle w:val="InstructionsText"/>
            </w:pPr>
            <w:r w:rsidRPr="002A677E">
              <w:t>Article 62</w:t>
            </w:r>
            <w:r w:rsidR="00B83DDE">
              <w:t>, p</w:t>
            </w:r>
            <w:r w:rsidR="00F42FE9" w:rsidRPr="002A677E">
              <w:t>oint (c)</w:t>
            </w:r>
            <w:r w:rsidR="00BE1277">
              <w:t>,</w:t>
            </w:r>
            <w:r w:rsidR="00F42FE9" w:rsidRPr="002A677E">
              <w:t xml:space="preserve"> </w:t>
            </w:r>
            <w:r w:rsidR="00985B99" w:rsidRPr="001235ED">
              <w:rPr>
                <w:lang w:val="en-US"/>
              </w:rPr>
              <w:t>of Regulation (EU) No 575/2013</w:t>
            </w:r>
          </w:p>
          <w:p w14:paraId="5976FED4" w14:textId="5B9E55FC" w:rsidR="00674BF5" w:rsidRPr="002A677E" w:rsidRDefault="00674BF5" w:rsidP="00B055FF">
            <w:pPr>
              <w:pStyle w:val="InstructionsText"/>
            </w:pPr>
            <w:r w:rsidRPr="002A677E">
              <w:lastRenderedPageBreak/>
              <w:t>According to Article 62</w:t>
            </w:r>
            <w:r w:rsidR="00B83DDE">
              <w:t>, p</w:t>
            </w:r>
            <w:r w:rsidR="00F42FE9" w:rsidRPr="002A677E">
              <w:t>oint (c)</w:t>
            </w:r>
            <w:r w:rsidR="00BE1277">
              <w:t>,</w:t>
            </w:r>
            <w:r w:rsidR="00F42FE9" w:rsidRPr="002A677E">
              <w:t xml:space="preserve"> </w:t>
            </w:r>
            <w:r w:rsidR="00985B99" w:rsidRPr="001235ED">
              <w:rPr>
                <w:lang w:val="en-US"/>
              </w:rPr>
              <w:t>of Regulation (EU) No 575/2013</w:t>
            </w:r>
            <w:r w:rsidRPr="002A677E">
              <w:t>, the credit risk adjustments eligible for inclusion in Tier 2 capital is capped at 1.25</w:t>
            </w:r>
            <w:r w:rsidR="00B856D5">
              <w:t xml:space="preserve"> </w:t>
            </w:r>
            <w:r w:rsidRPr="002A677E">
              <w:t>% of risk-weighted exposure amounts.</w:t>
            </w:r>
          </w:p>
          <w:p w14:paraId="451AFB2F" w14:textId="6455831B" w:rsidR="00674BF5" w:rsidRPr="002A677E" w:rsidRDefault="00674BF5" w:rsidP="00B055FF">
            <w:pPr>
              <w:pStyle w:val="InstructionsText"/>
            </w:pPr>
            <w:r w:rsidRPr="002A677E">
              <w:t>The amount to be reported in this item is the risk weighted exposure amounts (i.e. not multiplied by 1.25</w:t>
            </w:r>
            <w:r w:rsidR="00B856D5">
              <w:t xml:space="preserve"> </w:t>
            </w:r>
            <w:r w:rsidRPr="002A677E">
              <w:t>%) which is the base for calculating the cap.</w:t>
            </w:r>
          </w:p>
        </w:tc>
      </w:tr>
      <w:tr w:rsidR="00674BF5" w:rsidRPr="002A677E" w14:paraId="7556DF87" w14:textId="77777777" w:rsidTr="00674BF5">
        <w:tc>
          <w:tcPr>
            <w:tcW w:w="1474" w:type="dxa"/>
          </w:tcPr>
          <w:p w14:paraId="57442F3D" w14:textId="77777777" w:rsidR="00674BF5" w:rsidRPr="002A677E" w:rsidRDefault="004F1DDB" w:rsidP="00B055FF">
            <w:pPr>
              <w:pStyle w:val="InstructionsText"/>
            </w:pPr>
            <w:r w:rsidRPr="002A677E">
              <w:lastRenderedPageBreak/>
              <w:t>0</w:t>
            </w:r>
            <w:r w:rsidR="00674BF5" w:rsidRPr="002A677E">
              <w:t>190</w:t>
            </w:r>
          </w:p>
        </w:tc>
        <w:tc>
          <w:tcPr>
            <w:tcW w:w="7049" w:type="dxa"/>
          </w:tcPr>
          <w:p w14:paraId="6DD5284D" w14:textId="77777777" w:rsidR="00674BF5" w:rsidRPr="002A677E" w:rsidRDefault="00674BF5" w:rsidP="00B055FF">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577F674" w14:textId="51F693D9" w:rsidR="00674BF5" w:rsidRPr="002A677E" w:rsidRDefault="00674BF5" w:rsidP="00B055FF">
            <w:pPr>
              <w:pStyle w:val="InstructionsText"/>
            </w:pPr>
            <w:r w:rsidRPr="002A677E">
              <w:t>Article 46(1)</w:t>
            </w:r>
            <w:r w:rsidR="00B83DDE">
              <w:t>, p</w:t>
            </w:r>
            <w:r w:rsidR="00F42FE9" w:rsidRPr="002A677E">
              <w:t>oint (a)</w:t>
            </w:r>
            <w:r w:rsidR="00CF5957">
              <w:t>,</w:t>
            </w:r>
            <w:r w:rsidR="00F42FE9" w:rsidRPr="002A677E">
              <w:t xml:space="preserve"> </w:t>
            </w:r>
            <w:r w:rsidR="00985B99" w:rsidRPr="001235ED">
              <w:rPr>
                <w:lang w:val="en-US"/>
              </w:rPr>
              <w:t>of Regulation (EU) No 575/2013</w:t>
            </w:r>
          </w:p>
          <w:p w14:paraId="063689F3" w14:textId="3A81A5C8" w:rsidR="00674BF5" w:rsidRPr="002A677E" w:rsidRDefault="00674BF5" w:rsidP="00B055FF">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rsidR="00B856D5">
              <w:t> </w:t>
            </w:r>
            <w:r w:rsidRPr="002A677E">
              <w:t>%.</w:t>
            </w:r>
          </w:p>
        </w:tc>
      </w:tr>
      <w:tr w:rsidR="00674BF5" w:rsidRPr="002A677E" w14:paraId="2DF58DD2" w14:textId="77777777" w:rsidTr="00674BF5">
        <w:tc>
          <w:tcPr>
            <w:tcW w:w="1474" w:type="dxa"/>
          </w:tcPr>
          <w:p w14:paraId="20CA3D59" w14:textId="77777777" w:rsidR="00674BF5" w:rsidRPr="002A677E" w:rsidRDefault="004F1DDB" w:rsidP="00B055FF">
            <w:pPr>
              <w:pStyle w:val="InstructionsText"/>
            </w:pPr>
            <w:r w:rsidRPr="002A677E">
              <w:t>0</w:t>
            </w:r>
            <w:r w:rsidR="00674BF5" w:rsidRPr="002A677E">
              <w:t>200</w:t>
            </w:r>
          </w:p>
        </w:tc>
        <w:tc>
          <w:tcPr>
            <w:tcW w:w="7049" w:type="dxa"/>
          </w:tcPr>
          <w:p w14:paraId="09A04A30" w14:textId="1AC1BD34" w:rsidR="00674BF5" w:rsidRPr="002A677E" w:rsidRDefault="00674BF5" w:rsidP="00B055FF">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rsidR="00B856D5">
              <w:t> </w:t>
            </w:r>
            <w:r w:rsidRPr="002A677E">
              <w:rPr>
                <w:rStyle w:val="InstructionsTabelleberschrift"/>
                <w:rFonts w:ascii="Times New Roman" w:hAnsi="Times New Roman"/>
                <w:sz w:val="24"/>
              </w:rPr>
              <w:t xml:space="preserve">% CET1 threshold </w:t>
            </w:r>
          </w:p>
          <w:p w14:paraId="654AD885" w14:textId="7B92D0FB" w:rsidR="00674BF5" w:rsidRPr="002A677E" w:rsidRDefault="00674BF5" w:rsidP="00B055FF">
            <w:pPr>
              <w:pStyle w:val="InstructionsText"/>
            </w:pPr>
            <w:r w:rsidRPr="002A677E">
              <w:t>Article 48(1)</w:t>
            </w:r>
            <w:r w:rsidR="00B83DDE">
              <w:t>, p</w:t>
            </w:r>
            <w:r w:rsidR="00F42FE9" w:rsidRPr="002A677E">
              <w:t>oints (a) and (b)</w:t>
            </w:r>
            <w:r w:rsidR="00CF5957">
              <w:t>,</w:t>
            </w:r>
            <w:r w:rsidR="00F42FE9" w:rsidRPr="002A677E">
              <w:t xml:space="preserve"> </w:t>
            </w:r>
            <w:r w:rsidR="00985B99" w:rsidRPr="001235ED">
              <w:rPr>
                <w:lang w:val="en-US"/>
              </w:rPr>
              <w:t>of Regulation (EU) No 575/2013</w:t>
            </w:r>
          </w:p>
          <w:p w14:paraId="0361524B" w14:textId="15843BAD" w:rsidR="00674BF5" w:rsidRPr="002A677E" w:rsidRDefault="00674BF5" w:rsidP="00B055FF">
            <w:pPr>
              <w:pStyle w:val="InstructionsText"/>
            </w:pPr>
            <w:r w:rsidRPr="002A677E">
              <w:t>This item contains the 10</w:t>
            </w:r>
            <w:r w:rsidR="00B856D5">
              <w:t> </w:t>
            </w:r>
            <w:r w:rsidRPr="002A677E">
              <w:t>% threshold for holdings in financial sector entities where an institution has a significant investment, and for deferred tax assets that are dependent on future profitability and arise from temporary differences.</w:t>
            </w:r>
          </w:p>
          <w:p w14:paraId="479EB0E8" w14:textId="0CF20FC7" w:rsidR="00674BF5" w:rsidRPr="002A677E" w:rsidRDefault="00674BF5" w:rsidP="00B055FF">
            <w:pPr>
              <w:pStyle w:val="InstructionsText"/>
            </w:pPr>
            <w:r w:rsidRPr="002A677E">
              <w:t>The amount results from adding up all items which are the base of the threshold and multiplying the sum thus obtained by 10</w:t>
            </w:r>
            <w:r w:rsidR="00B856D5">
              <w:t> </w:t>
            </w:r>
            <w:r w:rsidRPr="002A677E">
              <w:t>%.</w:t>
            </w:r>
          </w:p>
        </w:tc>
      </w:tr>
      <w:tr w:rsidR="00674BF5" w:rsidRPr="002A677E" w14:paraId="4A0F18A8" w14:textId="77777777" w:rsidTr="00674BF5">
        <w:tc>
          <w:tcPr>
            <w:tcW w:w="1474" w:type="dxa"/>
          </w:tcPr>
          <w:p w14:paraId="404E8D73" w14:textId="77777777" w:rsidR="00674BF5" w:rsidRPr="002A677E" w:rsidRDefault="004F1DDB" w:rsidP="00B055FF">
            <w:pPr>
              <w:pStyle w:val="InstructionsText"/>
            </w:pPr>
            <w:r w:rsidRPr="002A677E">
              <w:t>0</w:t>
            </w:r>
            <w:r w:rsidR="00674BF5" w:rsidRPr="002A677E">
              <w:t>210</w:t>
            </w:r>
          </w:p>
        </w:tc>
        <w:tc>
          <w:tcPr>
            <w:tcW w:w="7049" w:type="dxa"/>
          </w:tcPr>
          <w:p w14:paraId="20955EA7" w14:textId="3F93857D" w:rsidR="00674BF5" w:rsidRPr="002A677E" w:rsidRDefault="00674BF5" w:rsidP="00B055FF">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1D5CF966" w14:textId="41AEB2C7" w:rsidR="00674BF5" w:rsidRPr="002A677E" w:rsidRDefault="00674BF5" w:rsidP="00B055FF">
            <w:pPr>
              <w:pStyle w:val="InstructionsText"/>
            </w:pPr>
            <w:r w:rsidRPr="002A677E">
              <w:t xml:space="preserve">Article 48(1) </w:t>
            </w:r>
            <w:r w:rsidR="00985B99" w:rsidRPr="001235ED">
              <w:rPr>
                <w:lang w:val="en-US"/>
              </w:rPr>
              <w:t>of Regulation (EU) No 575/2013</w:t>
            </w:r>
          </w:p>
          <w:p w14:paraId="12D87189" w14:textId="3D53F40C" w:rsidR="00674BF5" w:rsidRPr="002A677E" w:rsidRDefault="00674BF5" w:rsidP="00B055FF">
            <w:pPr>
              <w:pStyle w:val="InstructionsText"/>
            </w:pPr>
            <w:r w:rsidRPr="002A677E">
              <w:t>This item contains the 17.65</w:t>
            </w:r>
            <w:r w:rsidR="00B856D5">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rsidR="00B856D5">
              <w:t> </w:t>
            </w:r>
            <w:r w:rsidRPr="002A677E">
              <w:t>% threshold.</w:t>
            </w:r>
          </w:p>
          <w:p w14:paraId="14884015" w14:textId="35F6C84F" w:rsidR="00674BF5" w:rsidRPr="002A677E" w:rsidRDefault="00674BF5" w:rsidP="00B055FF">
            <w:pPr>
              <w:pStyle w:val="InstructionsText"/>
            </w:pPr>
            <w:r w:rsidRPr="002A677E">
              <w:t>The threshold is to be calculated in such a way that the amount of the two items that is recognised does not exceed 15</w:t>
            </w:r>
            <w:r w:rsidR="00B856D5">
              <w:t xml:space="preserve"> </w:t>
            </w:r>
            <w:r w:rsidRPr="002A677E">
              <w:t>% of the final Common Equity Tier 1 capital, i.e. the CET1 capital calculated after all deductions, not including any adjustment due to transitional provisions.</w:t>
            </w:r>
          </w:p>
        </w:tc>
      </w:tr>
      <w:tr w:rsidR="00674BF5" w:rsidRPr="002A677E" w14:paraId="3ADC9E87" w14:textId="77777777" w:rsidTr="00674BF5">
        <w:tc>
          <w:tcPr>
            <w:tcW w:w="1474" w:type="dxa"/>
          </w:tcPr>
          <w:p w14:paraId="4031B342" w14:textId="77777777" w:rsidR="00674BF5" w:rsidRPr="002A677E" w:rsidRDefault="004F1DDB" w:rsidP="00B055FF">
            <w:pPr>
              <w:pStyle w:val="InstructionsText"/>
            </w:pPr>
            <w:r w:rsidRPr="002A677E">
              <w:t>0</w:t>
            </w:r>
            <w:r w:rsidR="00674BF5" w:rsidRPr="002A677E">
              <w:t>225</w:t>
            </w:r>
          </w:p>
        </w:tc>
        <w:tc>
          <w:tcPr>
            <w:tcW w:w="7049" w:type="dxa"/>
          </w:tcPr>
          <w:p w14:paraId="4DB6B6BB"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758CEFE8" w14:textId="4A6835A1"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(71)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00985B99" w:rsidRPr="001235ED">
              <w:rPr>
                <w:lang w:val="en-US"/>
              </w:rPr>
              <w:t>of Regulation (EU) No 575/2013</w:t>
            </w:r>
          </w:p>
        </w:tc>
      </w:tr>
      <w:tr w:rsidR="00674BF5" w:rsidRPr="002A677E" w14:paraId="2F3A43D2" w14:textId="77777777" w:rsidTr="00674BF5">
        <w:tc>
          <w:tcPr>
            <w:tcW w:w="1474" w:type="dxa"/>
          </w:tcPr>
          <w:p w14:paraId="3CBA75A3" w14:textId="77777777" w:rsidR="00674BF5" w:rsidRPr="002A677E" w:rsidRDefault="004F1DDB" w:rsidP="00B055FF">
            <w:pPr>
              <w:pStyle w:val="InstructionsText"/>
            </w:pPr>
            <w:r w:rsidRPr="002A677E">
              <w:t>0</w:t>
            </w:r>
            <w:r w:rsidR="00674BF5" w:rsidRPr="002A677E">
              <w:t>230</w:t>
            </w:r>
          </w:p>
        </w:tc>
        <w:tc>
          <w:tcPr>
            <w:tcW w:w="7049" w:type="dxa"/>
          </w:tcPr>
          <w:p w14:paraId="583FCAD3" w14:textId="77777777" w:rsidR="00674BF5" w:rsidRPr="002A677E" w:rsidRDefault="00674BF5" w:rsidP="00B055FF">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2254EDFA" w14:textId="6ED60496" w:rsidR="00674BF5" w:rsidRPr="002A677E" w:rsidRDefault="00674BF5" w:rsidP="00B055FF">
            <w:pPr>
              <w:pStyle w:val="InstructionsText"/>
            </w:pPr>
            <w:r w:rsidRPr="002A677E">
              <w:t xml:space="preserve">Articles 44, 45, 46 and 49 </w:t>
            </w:r>
            <w:r w:rsidR="00985B99" w:rsidRPr="001235ED">
              <w:rPr>
                <w:lang w:val="en-US"/>
              </w:rPr>
              <w:t>of Regulation (EU) No 575/2013</w:t>
            </w:r>
          </w:p>
        </w:tc>
      </w:tr>
      <w:tr w:rsidR="00674BF5" w:rsidRPr="002A677E" w14:paraId="7DDEB753" w14:textId="77777777" w:rsidTr="00674BF5">
        <w:tc>
          <w:tcPr>
            <w:tcW w:w="1474" w:type="dxa"/>
          </w:tcPr>
          <w:p w14:paraId="6948AB60" w14:textId="77777777" w:rsidR="00674BF5" w:rsidRPr="002A677E" w:rsidRDefault="004F1DDB" w:rsidP="00B055FF">
            <w:pPr>
              <w:pStyle w:val="InstructionsText"/>
            </w:pPr>
            <w:r w:rsidRPr="002A677E">
              <w:lastRenderedPageBreak/>
              <w:t>0</w:t>
            </w:r>
            <w:r w:rsidR="00674BF5" w:rsidRPr="002A677E">
              <w:t>240</w:t>
            </w:r>
          </w:p>
        </w:tc>
        <w:tc>
          <w:tcPr>
            <w:tcW w:w="7049" w:type="dxa"/>
          </w:tcPr>
          <w:p w14:paraId="23E364C8" w14:textId="77777777" w:rsidR="00674BF5" w:rsidRPr="002A677E" w:rsidRDefault="00674BF5" w:rsidP="00B055FF">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659E1D80" w14:textId="237AE88D" w:rsidR="00674BF5" w:rsidRPr="002A677E" w:rsidRDefault="00674BF5" w:rsidP="00B055FF">
            <w:pPr>
              <w:pStyle w:val="InstructionsText"/>
            </w:pPr>
            <w:r w:rsidRPr="002A677E">
              <w:t xml:space="preserve">Articles 44, 45, 46 and 49 </w:t>
            </w:r>
            <w:r w:rsidR="00985B99" w:rsidRPr="001235ED">
              <w:rPr>
                <w:lang w:val="en-US"/>
              </w:rPr>
              <w:t>of Regulation (EU) No 575/2013</w:t>
            </w:r>
          </w:p>
        </w:tc>
      </w:tr>
      <w:tr w:rsidR="00674BF5" w:rsidRPr="002A677E" w14:paraId="0FBF07F0" w14:textId="77777777" w:rsidTr="00674BF5">
        <w:tc>
          <w:tcPr>
            <w:tcW w:w="1474" w:type="dxa"/>
          </w:tcPr>
          <w:p w14:paraId="642BE6B5" w14:textId="77777777" w:rsidR="00674BF5" w:rsidRPr="002A677E" w:rsidRDefault="004F1DDB" w:rsidP="00B055FF">
            <w:pPr>
              <w:pStyle w:val="InstructionsText"/>
            </w:pPr>
            <w:r w:rsidRPr="002A677E">
              <w:t>0</w:t>
            </w:r>
            <w:r w:rsidR="00674BF5" w:rsidRPr="002A677E">
              <w:t>250</w:t>
            </w:r>
          </w:p>
        </w:tc>
        <w:tc>
          <w:tcPr>
            <w:tcW w:w="7049" w:type="dxa"/>
          </w:tcPr>
          <w:p w14:paraId="033E9BD4" w14:textId="77777777" w:rsidR="00674BF5" w:rsidRPr="002A677E" w:rsidRDefault="00674BF5" w:rsidP="00B055FF">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13ECC0FA" w14:textId="3D383F04" w:rsidR="00674BF5" w:rsidRPr="002A677E" w:rsidRDefault="00674BF5" w:rsidP="00B055FF">
            <w:pPr>
              <w:pStyle w:val="InstructionsText"/>
            </w:pPr>
            <w:r w:rsidRPr="002A677E">
              <w:t xml:space="preserve">Articles 44, 46 and 49 </w:t>
            </w:r>
            <w:r w:rsidR="00985B99" w:rsidRPr="001235ED">
              <w:rPr>
                <w:lang w:val="en-US"/>
              </w:rPr>
              <w:t>of Regulation (EU) No 575/2013</w:t>
            </w:r>
          </w:p>
          <w:p w14:paraId="7CB3E9B2" w14:textId="77777777" w:rsidR="00674BF5" w:rsidRPr="002A677E" w:rsidRDefault="00674BF5" w:rsidP="00B055FF">
            <w:pPr>
              <w:pStyle w:val="InstructionsText"/>
            </w:pPr>
            <w:r w:rsidRPr="002A677E">
              <w:t>Direct holdings of CET1 capital of financial sector entities where the institution does not have a significant investment, excluding:</w:t>
            </w:r>
          </w:p>
          <w:p w14:paraId="1D194F52" w14:textId="77777777" w:rsidR="00674BF5" w:rsidRPr="002A677E" w:rsidRDefault="00674BF5" w:rsidP="00B055FF">
            <w:pPr>
              <w:pStyle w:val="InstructionsText"/>
            </w:pPr>
            <w:r w:rsidRPr="002A677E">
              <w:t>a)</w:t>
            </w:r>
            <w:r w:rsidRPr="002A677E">
              <w:tab/>
              <w:t xml:space="preserve">Underwriting positions held for 5 working days or fewer; </w:t>
            </w:r>
          </w:p>
          <w:p w14:paraId="6F04C7CA" w14:textId="77777777" w:rsidR="00674BF5" w:rsidRPr="002A677E" w:rsidRDefault="00674BF5" w:rsidP="00B055FF">
            <w:pPr>
              <w:pStyle w:val="InstructionsText"/>
            </w:pPr>
            <w:r w:rsidRPr="002A677E">
              <w:t>b)</w:t>
            </w:r>
            <w:r w:rsidRPr="002A677E">
              <w:tab/>
              <w:t xml:space="preserve">The amounts relating to the investments for which any alternative in Article 49 is applied; and </w:t>
            </w:r>
          </w:p>
          <w:p w14:paraId="257189C5" w14:textId="2F9D0145" w:rsidR="00674BF5" w:rsidRPr="002A677E" w:rsidRDefault="00674BF5" w:rsidP="00B055FF">
            <w:pPr>
              <w:pStyle w:val="InstructionsText"/>
            </w:pPr>
            <w:r w:rsidRPr="002A677E">
              <w:t>c)</w:t>
            </w:r>
            <w:r w:rsidRPr="002A677E">
              <w:tab/>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p>
        </w:tc>
      </w:tr>
      <w:tr w:rsidR="00674BF5" w:rsidRPr="002A677E" w14:paraId="7EF1B8E9" w14:textId="77777777" w:rsidTr="00674BF5">
        <w:tc>
          <w:tcPr>
            <w:tcW w:w="1474" w:type="dxa"/>
          </w:tcPr>
          <w:p w14:paraId="2EA02C99" w14:textId="77777777" w:rsidR="00674BF5" w:rsidRPr="002A677E" w:rsidRDefault="00D5689B" w:rsidP="00B055FF">
            <w:pPr>
              <w:pStyle w:val="InstructionsText"/>
            </w:pPr>
            <w:r w:rsidRPr="002A677E">
              <w:t>0</w:t>
            </w:r>
            <w:r w:rsidR="00674BF5" w:rsidRPr="002A677E">
              <w:t>260</w:t>
            </w:r>
          </w:p>
        </w:tc>
        <w:tc>
          <w:tcPr>
            <w:tcW w:w="7049" w:type="dxa"/>
          </w:tcPr>
          <w:p w14:paraId="51DBBC14" w14:textId="77777777" w:rsidR="00674BF5" w:rsidRPr="002A677E" w:rsidRDefault="00674BF5" w:rsidP="00B055FF">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75CB2494" w14:textId="7EF123DE" w:rsidR="00674BF5" w:rsidRPr="002A677E" w:rsidRDefault="00674BF5" w:rsidP="00B055FF">
            <w:pPr>
              <w:pStyle w:val="InstructionsText"/>
            </w:pPr>
            <w:r w:rsidRPr="002A677E">
              <w:t xml:space="preserve">Article 45 </w:t>
            </w:r>
            <w:r w:rsidR="00985B99" w:rsidRPr="001235ED">
              <w:rPr>
                <w:lang w:val="en-US"/>
              </w:rPr>
              <w:t>of Regulation (EU) No 575/2013</w:t>
            </w:r>
          </w:p>
          <w:p w14:paraId="0D472F64" w14:textId="4B6C8B20" w:rsidR="00674BF5" w:rsidRPr="002A677E" w:rsidRDefault="00674BF5" w:rsidP="00B055FF">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w:t>
            </w:r>
            <w:r w:rsidR="002D31E5" w:rsidRPr="002A677E">
              <w:t xml:space="preserve"> </w:t>
            </w:r>
            <w:r w:rsidR="00922F04" w:rsidRPr="002A677E">
              <w:t>date of the short is either the same or later than the maturity date of the long position or the residual maturity of the short position is at least one year.</w:t>
            </w:r>
          </w:p>
        </w:tc>
      </w:tr>
      <w:tr w:rsidR="00674BF5" w:rsidRPr="002A677E" w14:paraId="0B73021B" w14:textId="77777777" w:rsidTr="00674BF5">
        <w:tc>
          <w:tcPr>
            <w:tcW w:w="1474" w:type="dxa"/>
          </w:tcPr>
          <w:p w14:paraId="1A4FBB95" w14:textId="77777777" w:rsidR="00674BF5" w:rsidRPr="002A677E" w:rsidRDefault="00754ADC" w:rsidP="00B055FF">
            <w:pPr>
              <w:pStyle w:val="InstructionsText"/>
            </w:pPr>
            <w:r w:rsidRPr="002A677E">
              <w:t>0</w:t>
            </w:r>
            <w:r w:rsidR="00674BF5" w:rsidRPr="002A677E">
              <w:t>270</w:t>
            </w:r>
          </w:p>
        </w:tc>
        <w:tc>
          <w:tcPr>
            <w:tcW w:w="7049" w:type="dxa"/>
          </w:tcPr>
          <w:p w14:paraId="7FDBFD32" w14:textId="77777777" w:rsidR="00674BF5" w:rsidRPr="002A677E" w:rsidRDefault="00674BF5" w:rsidP="00B055FF">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358D5E9A" w14:textId="1938647C" w:rsidR="00674BF5" w:rsidRPr="002A677E" w:rsidRDefault="00674BF5" w:rsidP="00B055FF">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tc>
      </w:tr>
      <w:tr w:rsidR="00674BF5" w:rsidRPr="002A677E" w14:paraId="466F226C" w14:textId="77777777" w:rsidTr="00674BF5">
        <w:tc>
          <w:tcPr>
            <w:tcW w:w="1474" w:type="dxa"/>
          </w:tcPr>
          <w:p w14:paraId="56247636" w14:textId="77777777" w:rsidR="00674BF5" w:rsidRPr="002A677E" w:rsidRDefault="00754ADC" w:rsidP="00B055FF">
            <w:pPr>
              <w:pStyle w:val="InstructionsText"/>
            </w:pPr>
            <w:r w:rsidRPr="002A677E">
              <w:t>0</w:t>
            </w:r>
            <w:r w:rsidR="00674BF5" w:rsidRPr="002A677E">
              <w:t>280</w:t>
            </w:r>
          </w:p>
        </w:tc>
        <w:tc>
          <w:tcPr>
            <w:tcW w:w="7049" w:type="dxa"/>
          </w:tcPr>
          <w:p w14:paraId="4FD7DC7E" w14:textId="77777777" w:rsidR="00674BF5" w:rsidRPr="002A677E" w:rsidRDefault="00674BF5" w:rsidP="00B055FF">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2732B6AD" w14:textId="2373A48B" w:rsidR="00674BF5" w:rsidRPr="002A677E" w:rsidRDefault="00674BF5" w:rsidP="00B055FF">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p w14:paraId="5F96C9B6" w14:textId="77777777" w:rsidR="00674BF5" w:rsidRPr="002A677E" w:rsidRDefault="00674BF5" w:rsidP="00B055FF">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6C5342B" w14:textId="0A0C91EA" w:rsidR="00674BF5" w:rsidRPr="002A677E" w:rsidRDefault="00674BF5" w:rsidP="00B055FF">
            <w:pPr>
              <w:pStyle w:val="InstructionsText"/>
            </w:pPr>
            <w:r w:rsidRPr="002A677E">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DDD358" w14:textId="77777777" w:rsidTr="00674BF5">
        <w:trPr>
          <w:trHeight w:val="850"/>
        </w:trPr>
        <w:tc>
          <w:tcPr>
            <w:tcW w:w="1474" w:type="dxa"/>
          </w:tcPr>
          <w:p w14:paraId="30886A0B" w14:textId="77777777" w:rsidR="00674BF5" w:rsidRPr="002A677E" w:rsidRDefault="00754ADC" w:rsidP="00B055FF">
            <w:pPr>
              <w:pStyle w:val="InstructionsText"/>
            </w:pPr>
            <w:r w:rsidRPr="002A677E">
              <w:lastRenderedPageBreak/>
              <w:t>0</w:t>
            </w:r>
            <w:r w:rsidR="00674BF5" w:rsidRPr="002A677E">
              <w:t>290</w:t>
            </w:r>
          </w:p>
        </w:tc>
        <w:tc>
          <w:tcPr>
            <w:tcW w:w="7049" w:type="dxa"/>
          </w:tcPr>
          <w:p w14:paraId="7C58F58B" w14:textId="77777777" w:rsidR="00674BF5" w:rsidRPr="002A677E" w:rsidRDefault="00674BF5" w:rsidP="00B055FF">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7BD0D59F" w14:textId="267C2484" w:rsidR="00674BF5" w:rsidRPr="002A677E" w:rsidRDefault="00674BF5" w:rsidP="00B055FF">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 45 </w:t>
            </w:r>
            <w:r w:rsidR="00985B99" w:rsidRPr="001235ED">
              <w:rPr>
                <w:lang w:val="en-US"/>
              </w:rPr>
              <w:t>of Regulation (EU) No 575/2013</w:t>
            </w:r>
          </w:p>
          <w:p w14:paraId="15A025FB" w14:textId="782977EE" w:rsidR="00674BF5" w:rsidRPr="002A677E" w:rsidRDefault="00674BF5" w:rsidP="00B055FF">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730F3C2" w14:textId="77777777" w:rsidTr="00674BF5">
        <w:tc>
          <w:tcPr>
            <w:tcW w:w="1474" w:type="dxa"/>
          </w:tcPr>
          <w:p w14:paraId="4801A38C" w14:textId="77777777" w:rsidR="00674BF5" w:rsidRPr="002A677E" w:rsidRDefault="00754ADC" w:rsidP="00B055FF">
            <w:pPr>
              <w:pStyle w:val="InstructionsText"/>
            </w:pPr>
            <w:r w:rsidRPr="002A677E">
              <w:t>0</w:t>
            </w:r>
            <w:r w:rsidR="00674BF5" w:rsidRPr="002A677E">
              <w:t>291</w:t>
            </w:r>
          </w:p>
        </w:tc>
        <w:tc>
          <w:tcPr>
            <w:tcW w:w="7049" w:type="dxa"/>
            <w:vAlign w:val="center"/>
          </w:tcPr>
          <w:p w14:paraId="01EBFDC4"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5572FBC1" w14:textId="0391A264"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64D12E52" w14:textId="77777777" w:rsidTr="00674BF5">
        <w:tc>
          <w:tcPr>
            <w:tcW w:w="1474" w:type="dxa"/>
          </w:tcPr>
          <w:p w14:paraId="6C041F62" w14:textId="77777777" w:rsidR="00674BF5" w:rsidRPr="002A677E" w:rsidRDefault="00754ADC" w:rsidP="00B055FF">
            <w:pPr>
              <w:pStyle w:val="InstructionsText"/>
            </w:pPr>
            <w:r w:rsidRPr="002A677E">
              <w:t>0</w:t>
            </w:r>
            <w:r w:rsidR="00674BF5" w:rsidRPr="002A677E">
              <w:t>292</w:t>
            </w:r>
          </w:p>
        </w:tc>
        <w:tc>
          <w:tcPr>
            <w:tcW w:w="7049" w:type="dxa"/>
            <w:vAlign w:val="center"/>
          </w:tcPr>
          <w:p w14:paraId="7534DE7F"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08489D8F" w14:textId="050F7FEB"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0603DF21" w14:textId="77777777" w:rsidTr="00674BF5">
        <w:tc>
          <w:tcPr>
            <w:tcW w:w="1474" w:type="dxa"/>
          </w:tcPr>
          <w:p w14:paraId="47EAE28B" w14:textId="77777777" w:rsidR="00674BF5" w:rsidRPr="002A677E" w:rsidRDefault="00754ADC" w:rsidP="00B055FF">
            <w:pPr>
              <w:pStyle w:val="InstructionsText"/>
            </w:pPr>
            <w:r w:rsidRPr="002A677E">
              <w:t>0</w:t>
            </w:r>
            <w:r w:rsidR="00674BF5" w:rsidRPr="002A677E">
              <w:t>293</w:t>
            </w:r>
          </w:p>
        </w:tc>
        <w:tc>
          <w:tcPr>
            <w:tcW w:w="7049" w:type="dxa"/>
            <w:vAlign w:val="center"/>
          </w:tcPr>
          <w:p w14:paraId="1901D7C6"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76BF8245" w14:textId="3EAB0694"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 45 </w:t>
            </w:r>
            <w:r w:rsidR="00985B99" w:rsidRPr="001235ED">
              <w:rPr>
                <w:lang w:val="en-US"/>
              </w:rPr>
              <w:t>of Regulation (EU) No 575/2013</w:t>
            </w:r>
            <w:r w:rsidR="002D31E5" w:rsidRPr="002A677E">
              <w:rPr>
                <w:rStyle w:val="InstructionsTabelleberschrift"/>
                <w:rFonts w:ascii="Times New Roman" w:hAnsi="Times New Roman"/>
                <w:b w:val="0"/>
                <w:sz w:val="24"/>
                <w:u w:val="none"/>
              </w:rPr>
              <w:t>.</w:t>
            </w:r>
          </w:p>
          <w:p w14:paraId="2BF58BE0" w14:textId="547D15C2" w:rsidR="002D31E5" w:rsidRPr="002A677E" w:rsidRDefault="002D31E5" w:rsidP="00B055FF">
            <w:pPr>
              <w:pStyle w:val="InstructionsText"/>
              <w:rPr>
                <w:rStyle w:val="InstructionsTabelleberschrift"/>
                <w:rFonts w:ascii="Times New Roman" w:hAnsi="Times New Roman"/>
                <w:b w:val="0"/>
                <w:sz w:val="24"/>
                <w:u w:val="none"/>
              </w:rPr>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22623FD" w14:textId="77777777" w:rsidTr="00674BF5">
        <w:tc>
          <w:tcPr>
            <w:tcW w:w="1474" w:type="dxa"/>
          </w:tcPr>
          <w:p w14:paraId="5D93A4CB" w14:textId="77777777" w:rsidR="00674BF5" w:rsidRPr="002A677E" w:rsidRDefault="00754ADC" w:rsidP="00B055FF">
            <w:pPr>
              <w:pStyle w:val="InstructionsText"/>
            </w:pPr>
            <w:r w:rsidRPr="002A677E">
              <w:t>0</w:t>
            </w:r>
            <w:r w:rsidR="00674BF5" w:rsidRPr="002A677E">
              <w:t>300</w:t>
            </w:r>
          </w:p>
        </w:tc>
        <w:tc>
          <w:tcPr>
            <w:tcW w:w="7049" w:type="dxa"/>
          </w:tcPr>
          <w:p w14:paraId="0425D53E"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3A7268AA" w14:textId="49E10BA0" w:rsidR="00674BF5" w:rsidRPr="002A677E" w:rsidRDefault="00674BF5" w:rsidP="00B055FF">
            <w:pPr>
              <w:pStyle w:val="InstructionsText"/>
            </w:pPr>
            <w:r w:rsidRPr="002A677E">
              <w:t xml:space="preserve">Articles 58, 59 and 60 </w:t>
            </w:r>
            <w:r w:rsidR="00985B99" w:rsidRPr="001235ED">
              <w:rPr>
                <w:lang w:val="en-US"/>
              </w:rPr>
              <w:t>of Regulation (EU) No 575/2013</w:t>
            </w:r>
          </w:p>
        </w:tc>
      </w:tr>
      <w:tr w:rsidR="00674BF5" w:rsidRPr="002A677E" w14:paraId="04899EF0" w14:textId="77777777" w:rsidTr="00674BF5">
        <w:tc>
          <w:tcPr>
            <w:tcW w:w="1474" w:type="dxa"/>
          </w:tcPr>
          <w:p w14:paraId="1C3F7FC6" w14:textId="77777777" w:rsidR="00674BF5" w:rsidRPr="002A677E" w:rsidRDefault="00754ADC" w:rsidP="00B055FF">
            <w:pPr>
              <w:pStyle w:val="InstructionsText"/>
            </w:pPr>
            <w:r w:rsidRPr="002A677E">
              <w:t>0</w:t>
            </w:r>
            <w:r w:rsidR="00674BF5" w:rsidRPr="002A677E">
              <w:t>310</w:t>
            </w:r>
          </w:p>
        </w:tc>
        <w:tc>
          <w:tcPr>
            <w:tcW w:w="7049" w:type="dxa"/>
          </w:tcPr>
          <w:p w14:paraId="4B1580C2" w14:textId="77777777" w:rsidR="00674BF5" w:rsidRPr="002A677E" w:rsidRDefault="00674BF5" w:rsidP="00B055FF">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12F9644D" w14:textId="5987CE2B" w:rsidR="00674BF5" w:rsidRPr="002A677E" w:rsidRDefault="00674BF5" w:rsidP="00B055FF">
            <w:pPr>
              <w:pStyle w:val="InstructionsText"/>
            </w:pPr>
            <w:r w:rsidRPr="002A677E">
              <w:t xml:space="preserve">Articles 58, 59 and Article 60(2) </w:t>
            </w:r>
            <w:r w:rsidR="00985B99" w:rsidRPr="001235ED">
              <w:rPr>
                <w:lang w:val="en-US"/>
              </w:rPr>
              <w:t>of Regulation (EU) No 575/2013</w:t>
            </w:r>
          </w:p>
        </w:tc>
      </w:tr>
      <w:tr w:rsidR="00674BF5" w:rsidRPr="002A677E" w14:paraId="06E798E4" w14:textId="77777777" w:rsidTr="00674BF5">
        <w:tc>
          <w:tcPr>
            <w:tcW w:w="1474" w:type="dxa"/>
          </w:tcPr>
          <w:p w14:paraId="2EA3232C" w14:textId="77777777" w:rsidR="00674BF5" w:rsidRPr="002A677E" w:rsidRDefault="00754ADC" w:rsidP="00B055FF">
            <w:pPr>
              <w:pStyle w:val="InstructionsText"/>
            </w:pPr>
            <w:r w:rsidRPr="002A677E">
              <w:t>0</w:t>
            </w:r>
            <w:r w:rsidR="00674BF5" w:rsidRPr="002A677E">
              <w:t>320</w:t>
            </w:r>
          </w:p>
        </w:tc>
        <w:tc>
          <w:tcPr>
            <w:tcW w:w="7049" w:type="dxa"/>
          </w:tcPr>
          <w:p w14:paraId="43891B7C" w14:textId="77777777" w:rsidR="00674BF5" w:rsidRPr="002A677E" w:rsidRDefault="00674BF5" w:rsidP="00B055FF">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DF04F57" w14:textId="49FD27AE" w:rsidR="00674BF5" w:rsidRPr="002A677E" w:rsidRDefault="00674BF5" w:rsidP="00B055FF">
            <w:pPr>
              <w:pStyle w:val="InstructionsText"/>
            </w:pPr>
            <w:r w:rsidRPr="002A677E">
              <w:t xml:space="preserve">Article 58 and Article 60(2) </w:t>
            </w:r>
            <w:r w:rsidR="00985B99" w:rsidRPr="001235ED">
              <w:rPr>
                <w:lang w:val="en-US"/>
              </w:rPr>
              <w:t>of Regulation (EU) No 575/2013</w:t>
            </w:r>
          </w:p>
          <w:p w14:paraId="0720C102" w14:textId="77777777" w:rsidR="00674BF5" w:rsidRPr="002A677E" w:rsidRDefault="00674BF5" w:rsidP="00B055FF">
            <w:pPr>
              <w:pStyle w:val="InstructionsText"/>
            </w:pPr>
            <w:r w:rsidRPr="002A677E">
              <w:t>Direct holdings of AT1 capital of financial sector entities where the institution does not have a significant investment, excluding:</w:t>
            </w:r>
          </w:p>
          <w:p w14:paraId="0E991BB5" w14:textId="77777777" w:rsidR="00674BF5" w:rsidRPr="002A677E" w:rsidRDefault="00674BF5" w:rsidP="00B055FF">
            <w:pPr>
              <w:pStyle w:val="InstructionsText"/>
            </w:pPr>
            <w:r w:rsidRPr="002A677E">
              <w:t>a)</w:t>
            </w:r>
            <w:r w:rsidRPr="002A677E">
              <w:tab/>
              <w:t xml:space="preserve">Underwriting positions held for 5 working days or fewer; and </w:t>
            </w:r>
          </w:p>
          <w:p w14:paraId="22C8A827" w14:textId="6B1A0CC2" w:rsidR="00674BF5" w:rsidRPr="002A677E" w:rsidRDefault="00674BF5" w:rsidP="00B055FF">
            <w:pPr>
              <w:pStyle w:val="InstructionsText"/>
            </w:pPr>
            <w:r w:rsidRPr="002A677E">
              <w:lastRenderedPageBreak/>
              <w:t>b)</w:t>
            </w:r>
            <w:r w:rsidRPr="002A677E">
              <w:tab/>
              <w:t>Holdings which are treated as reciprocal cross holdings in accordance with Article 56</w:t>
            </w:r>
            <w:r w:rsidR="00B83DDE">
              <w:t>, p</w:t>
            </w:r>
            <w:r w:rsidR="00F42FE9" w:rsidRPr="002A677E">
              <w:t>oint (b)</w:t>
            </w:r>
            <w:r w:rsidR="00BE1277">
              <w:t>,</w:t>
            </w:r>
            <w:r w:rsidR="00F42FE9" w:rsidRPr="002A677E">
              <w:t xml:space="preserve"> </w:t>
            </w:r>
            <w:r w:rsidR="00985B99" w:rsidRPr="001235ED">
              <w:rPr>
                <w:lang w:val="en-US"/>
              </w:rPr>
              <w:t>of Regulation (EU) No 575/2013</w:t>
            </w:r>
          </w:p>
        </w:tc>
      </w:tr>
      <w:tr w:rsidR="00674BF5" w:rsidRPr="002A677E" w14:paraId="4B8F861A" w14:textId="77777777" w:rsidTr="00674BF5">
        <w:tc>
          <w:tcPr>
            <w:tcW w:w="1474" w:type="dxa"/>
          </w:tcPr>
          <w:p w14:paraId="7DE1298F" w14:textId="77777777" w:rsidR="00674BF5" w:rsidRPr="002A677E" w:rsidRDefault="00754ADC" w:rsidP="00B055FF">
            <w:pPr>
              <w:pStyle w:val="InstructionsText"/>
            </w:pPr>
            <w:r w:rsidRPr="002A677E">
              <w:lastRenderedPageBreak/>
              <w:t>0</w:t>
            </w:r>
            <w:r w:rsidR="00674BF5" w:rsidRPr="002A677E">
              <w:t>330</w:t>
            </w:r>
          </w:p>
        </w:tc>
        <w:tc>
          <w:tcPr>
            <w:tcW w:w="7049" w:type="dxa"/>
          </w:tcPr>
          <w:p w14:paraId="42043EC5" w14:textId="77777777" w:rsidR="00674BF5" w:rsidRPr="002A677E" w:rsidRDefault="00674BF5" w:rsidP="00B055FF">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37E8F418" w14:textId="62C37997" w:rsidR="00674BF5" w:rsidRPr="002A677E" w:rsidRDefault="00674BF5" w:rsidP="00B055FF">
            <w:pPr>
              <w:pStyle w:val="InstructionsText"/>
            </w:pPr>
            <w:r w:rsidRPr="002A677E">
              <w:t xml:space="preserve">Article 59 </w:t>
            </w:r>
            <w:r w:rsidR="00985B99" w:rsidRPr="001235ED">
              <w:rPr>
                <w:lang w:val="en-US"/>
              </w:rPr>
              <w:t>of Regulation (EU) No 575/2013</w:t>
            </w:r>
          </w:p>
          <w:p w14:paraId="7EE8FF1A" w14:textId="3362B565" w:rsidR="00674BF5" w:rsidRPr="002A677E" w:rsidRDefault="00674BF5" w:rsidP="00B055FF">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A2D5DE1" w14:textId="77777777" w:rsidTr="00674BF5">
        <w:tc>
          <w:tcPr>
            <w:tcW w:w="1474" w:type="dxa"/>
          </w:tcPr>
          <w:p w14:paraId="5C185E72" w14:textId="77777777" w:rsidR="00674BF5" w:rsidRPr="002A677E" w:rsidRDefault="00754ADC" w:rsidP="00B055FF">
            <w:pPr>
              <w:pStyle w:val="InstructionsText"/>
            </w:pPr>
            <w:r w:rsidRPr="002A677E">
              <w:t>0</w:t>
            </w:r>
            <w:r w:rsidR="00674BF5" w:rsidRPr="002A677E">
              <w:t>340</w:t>
            </w:r>
          </w:p>
        </w:tc>
        <w:tc>
          <w:tcPr>
            <w:tcW w:w="7049" w:type="dxa"/>
          </w:tcPr>
          <w:p w14:paraId="2DEC34CD" w14:textId="77777777" w:rsidR="00674BF5" w:rsidRPr="002A677E" w:rsidRDefault="00674BF5" w:rsidP="00B055FF">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9B259D6" w14:textId="42283C0C" w:rsidR="00674BF5" w:rsidRPr="002A677E" w:rsidRDefault="00674BF5" w:rsidP="00B055FF">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tc>
      </w:tr>
      <w:tr w:rsidR="00674BF5" w:rsidRPr="002A677E" w14:paraId="54D1E330" w14:textId="77777777" w:rsidTr="00674BF5">
        <w:tc>
          <w:tcPr>
            <w:tcW w:w="1474" w:type="dxa"/>
          </w:tcPr>
          <w:p w14:paraId="2977533C" w14:textId="77777777" w:rsidR="00674BF5" w:rsidRPr="002A677E" w:rsidRDefault="00754ADC" w:rsidP="00B055FF">
            <w:pPr>
              <w:pStyle w:val="InstructionsText"/>
            </w:pPr>
            <w:r w:rsidRPr="002A677E">
              <w:t>0</w:t>
            </w:r>
            <w:r w:rsidR="00674BF5" w:rsidRPr="002A677E">
              <w:t>350</w:t>
            </w:r>
          </w:p>
        </w:tc>
        <w:tc>
          <w:tcPr>
            <w:tcW w:w="7049" w:type="dxa"/>
          </w:tcPr>
          <w:p w14:paraId="61C0FE1C" w14:textId="77777777" w:rsidR="00674BF5" w:rsidRPr="002A677E" w:rsidRDefault="00674BF5" w:rsidP="00B055FF">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43E165CB" w14:textId="1C9481DC" w:rsidR="00674BF5" w:rsidRPr="002A677E" w:rsidRDefault="00674BF5" w:rsidP="00B055FF">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p w14:paraId="390AEC9F" w14:textId="77777777" w:rsidR="00674BF5" w:rsidRPr="002A677E" w:rsidRDefault="00674BF5" w:rsidP="00B055FF">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73245B5D" w14:textId="0A18806B" w:rsidR="00674BF5" w:rsidRPr="002A677E" w:rsidRDefault="00674BF5" w:rsidP="00B055FF">
            <w:pPr>
              <w:pStyle w:val="InstructionsText"/>
            </w:pPr>
            <w:r w:rsidRPr="002A677E">
              <w:t>Holdings which are treated as reciprocal cross holdings according to Article 56</w:t>
            </w:r>
            <w:r w:rsidR="00B83DDE">
              <w:t>, p</w:t>
            </w:r>
            <w:r w:rsidR="00F42FE9" w:rsidRPr="002A677E">
              <w:t>oint (b)</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C9DAF0" w14:textId="77777777" w:rsidTr="00674BF5">
        <w:tc>
          <w:tcPr>
            <w:tcW w:w="1474" w:type="dxa"/>
          </w:tcPr>
          <w:p w14:paraId="13059191" w14:textId="77777777" w:rsidR="00674BF5" w:rsidRPr="002A677E" w:rsidRDefault="00754ADC" w:rsidP="00B055FF">
            <w:pPr>
              <w:pStyle w:val="InstructionsText"/>
            </w:pPr>
            <w:r w:rsidRPr="002A677E">
              <w:t>0</w:t>
            </w:r>
            <w:r w:rsidR="00674BF5" w:rsidRPr="002A677E">
              <w:t>360</w:t>
            </w:r>
          </w:p>
        </w:tc>
        <w:tc>
          <w:tcPr>
            <w:tcW w:w="7049" w:type="dxa"/>
          </w:tcPr>
          <w:p w14:paraId="57AE1515" w14:textId="77777777" w:rsidR="00674BF5" w:rsidRPr="002A677E" w:rsidRDefault="00674BF5" w:rsidP="00B055FF">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4C6BA351" w14:textId="7D768606" w:rsidR="00674BF5" w:rsidRPr="002A677E" w:rsidRDefault="00674BF5" w:rsidP="00B055FF">
            <w:pPr>
              <w:pStyle w:val="InstructionsText"/>
            </w:pPr>
            <w:r w:rsidRPr="002A677E">
              <w:t>Article 4(1)</w:t>
            </w:r>
            <w:r w:rsidR="00B83DDE">
              <w:t>, p</w:t>
            </w:r>
            <w:r w:rsidR="00F42FE9" w:rsidRPr="002A677E">
              <w:t>oint (114)</w:t>
            </w:r>
            <w:r w:rsidR="00BE1277">
              <w:t>,</w:t>
            </w:r>
            <w:r w:rsidR="00F42FE9" w:rsidRPr="002A677E">
              <w:t xml:space="preserve"> </w:t>
            </w:r>
            <w:r w:rsidRPr="002A677E">
              <w:t xml:space="preserve">and Article 59 </w:t>
            </w:r>
            <w:r w:rsidR="00985B99" w:rsidRPr="001235ED">
              <w:rPr>
                <w:lang w:val="en-US"/>
              </w:rPr>
              <w:t>of Regulation (EU) No 575/2013</w:t>
            </w:r>
          </w:p>
          <w:p w14:paraId="5865285A" w14:textId="78A0EF8A" w:rsidR="00674BF5" w:rsidRPr="002A677E" w:rsidRDefault="00674BF5" w:rsidP="00B055FF">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823B9D5" w14:textId="77777777" w:rsidTr="00674BF5">
        <w:tc>
          <w:tcPr>
            <w:tcW w:w="1474" w:type="dxa"/>
          </w:tcPr>
          <w:p w14:paraId="49E105A6" w14:textId="77777777" w:rsidR="00674BF5" w:rsidRPr="002A677E" w:rsidRDefault="00754ADC" w:rsidP="00B055FF">
            <w:pPr>
              <w:pStyle w:val="InstructionsText"/>
            </w:pPr>
            <w:r w:rsidRPr="002A677E">
              <w:t>0</w:t>
            </w:r>
            <w:r w:rsidR="00674BF5" w:rsidRPr="002A677E">
              <w:t>361</w:t>
            </w:r>
          </w:p>
        </w:tc>
        <w:tc>
          <w:tcPr>
            <w:tcW w:w="7049" w:type="dxa"/>
            <w:vAlign w:val="center"/>
          </w:tcPr>
          <w:p w14:paraId="58A290B0" w14:textId="77777777" w:rsidR="00674BF5" w:rsidRPr="002A677E" w:rsidRDefault="00674BF5" w:rsidP="00B055FF">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6F95928A" w14:textId="0846A52C" w:rsidR="00674BF5" w:rsidRPr="002A677E" w:rsidRDefault="00674BF5" w:rsidP="00B055FF">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424B4A3C" w14:textId="77777777" w:rsidTr="00674BF5">
        <w:tc>
          <w:tcPr>
            <w:tcW w:w="1474" w:type="dxa"/>
          </w:tcPr>
          <w:p w14:paraId="6D9D0A66" w14:textId="77777777" w:rsidR="00674BF5" w:rsidRPr="002A677E" w:rsidRDefault="00754ADC" w:rsidP="00B055FF">
            <w:pPr>
              <w:pStyle w:val="InstructionsText"/>
            </w:pPr>
            <w:r w:rsidRPr="002A677E">
              <w:lastRenderedPageBreak/>
              <w:t>0</w:t>
            </w:r>
            <w:r w:rsidR="00674BF5" w:rsidRPr="002A677E">
              <w:t>362</w:t>
            </w:r>
          </w:p>
        </w:tc>
        <w:tc>
          <w:tcPr>
            <w:tcW w:w="7049" w:type="dxa"/>
            <w:vAlign w:val="center"/>
          </w:tcPr>
          <w:p w14:paraId="3CA4EC15" w14:textId="77777777" w:rsidR="00674BF5" w:rsidRPr="002A677E" w:rsidRDefault="00674BF5" w:rsidP="00B055FF">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1E01B361" w14:textId="193B5111" w:rsidR="00674BF5" w:rsidRPr="002A677E" w:rsidRDefault="00674BF5" w:rsidP="00B055FF">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E6C66F" w14:textId="77777777" w:rsidTr="00674BF5">
        <w:tc>
          <w:tcPr>
            <w:tcW w:w="1474" w:type="dxa"/>
          </w:tcPr>
          <w:p w14:paraId="5D6BA9E6" w14:textId="77777777" w:rsidR="00674BF5" w:rsidRPr="002A677E" w:rsidRDefault="00754ADC" w:rsidP="00B055FF">
            <w:pPr>
              <w:pStyle w:val="InstructionsText"/>
            </w:pPr>
            <w:r w:rsidRPr="002A677E">
              <w:t>0</w:t>
            </w:r>
            <w:r w:rsidR="00674BF5" w:rsidRPr="002A677E">
              <w:t>363</w:t>
            </w:r>
          </w:p>
        </w:tc>
        <w:tc>
          <w:tcPr>
            <w:tcW w:w="7049" w:type="dxa"/>
            <w:vAlign w:val="center"/>
          </w:tcPr>
          <w:p w14:paraId="0661CF0D" w14:textId="77777777" w:rsidR="00674BF5" w:rsidRPr="002A677E" w:rsidRDefault="00674BF5" w:rsidP="00B055FF">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7150C7D0" w14:textId="13A1C8FA" w:rsidR="00674BF5" w:rsidRPr="002A677E" w:rsidRDefault="00674BF5" w:rsidP="00B055FF">
            <w:pPr>
              <w:pStyle w:val="InstructionsText"/>
            </w:pPr>
            <w:r w:rsidRPr="002A677E">
              <w:t>Article 4(1)</w:t>
            </w:r>
            <w:r w:rsidR="00B83DDE">
              <w:t>, p</w:t>
            </w:r>
            <w:r w:rsidR="0049092A" w:rsidRPr="002A677E">
              <w:t>oint (126)</w:t>
            </w:r>
            <w:r w:rsidR="00FF1617">
              <w:t>,</w:t>
            </w:r>
            <w:r w:rsidR="0049092A" w:rsidRPr="002A677E">
              <w:t xml:space="preserve"> </w:t>
            </w:r>
            <w:r w:rsidRPr="002A677E">
              <w:t xml:space="preserve">and Article 59 </w:t>
            </w:r>
            <w:r w:rsidR="00985B99" w:rsidRPr="001235ED">
              <w:rPr>
                <w:lang w:val="en-US"/>
              </w:rPr>
              <w:t>of Regulation (EU) No 575/2013</w:t>
            </w:r>
            <w:r w:rsidR="002D31E5" w:rsidRPr="002A677E">
              <w:t>.</w:t>
            </w:r>
          </w:p>
          <w:p w14:paraId="430E6934" w14:textId="55A09D14" w:rsidR="002D31E5" w:rsidRPr="002A677E" w:rsidRDefault="002D31E5" w:rsidP="00B055FF">
            <w:pPr>
              <w:pStyle w:val="InstructionsText"/>
              <w:rPr>
                <w:rStyle w:val="InstructionsTabelleberschrift"/>
                <w:rFonts w:ascii="Times New Roman" w:hAnsi="Times New Roman"/>
                <w:b w:val="0"/>
                <w:bCs w:val="0"/>
                <w:sz w:val="24"/>
                <w:u w:val="none"/>
              </w:rPr>
            </w:pPr>
            <w:r w:rsidRPr="002A677E">
              <w:t>Article 59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B243921" w14:textId="77777777" w:rsidTr="00674BF5">
        <w:tc>
          <w:tcPr>
            <w:tcW w:w="1474" w:type="dxa"/>
          </w:tcPr>
          <w:p w14:paraId="2257624C" w14:textId="77777777" w:rsidR="00674BF5" w:rsidRPr="002A677E" w:rsidRDefault="00754ADC" w:rsidP="00B055FF">
            <w:pPr>
              <w:pStyle w:val="InstructionsText"/>
            </w:pPr>
            <w:r w:rsidRPr="002A677E">
              <w:t>0</w:t>
            </w:r>
            <w:r w:rsidR="00674BF5" w:rsidRPr="002A677E">
              <w:t>370</w:t>
            </w:r>
          </w:p>
        </w:tc>
        <w:tc>
          <w:tcPr>
            <w:tcW w:w="7049" w:type="dxa"/>
          </w:tcPr>
          <w:p w14:paraId="0D62CC83" w14:textId="77777777" w:rsidR="00674BF5" w:rsidRPr="002A677E" w:rsidRDefault="00674BF5" w:rsidP="00B055FF">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224C7B55" w14:textId="04A9F028" w:rsidR="00674BF5" w:rsidRPr="002A677E" w:rsidRDefault="00674BF5" w:rsidP="00B055FF">
            <w:pPr>
              <w:pStyle w:val="InstructionsText"/>
            </w:pPr>
            <w:r w:rsidRPr="002A677E">
              <w:t xml:space="preserve">Articles 68, 69 and 70 </w:t>
            </w:r>
            <w:r w:rsidR="00985B99" w:rsidRPr="001235ED">
              <w:rPr>
                <w:lang w:val="en-US"/>
              </w:rPr>
              <w:t>of Regulation (EU) No 575/2013</w:t>
            </w:r>
          </w:p>
        </w:tc>
      </w:tr>
      <w:tr w:rsidR="00674BF5" w:rsidRPr="002A677E" w14:paraId="06FDBFDC" w14:textId="77777777" w:rsidTr="00674BF5">
        <w:tc>
          <w:tcPr>
            <w:tcW w:w="1474" w:type="dxa"/>
          </w:tcPr>
          <w:p w14:paraId="67B08B3E" w14:textId="77777777" w:rsidR="00674BF5" w:rsidRPr="002A677E" w:rsidRDefault="00754ADC" w:rsidP="00B055FF">
            <w:pPr>
              <w:pStyle w:val="InstructionsText"/>
            </w:pPr>
            <w:r w:rsidRPr="002A677E">
              <w:t>0</w:t>
            </w:r>
            <w:r w:rsidR="00674BF5" w:rsidRPr="002A677E">
              <w:t>380</w:t>
            </w:r>
          </w:p>
        </w:tc>
        <w:tc>
          <w:tcPr>
            <w:tcW w:w="7049" w:type="dxa"/>
          </w:tcPr>
          <w:p w14:paraId="7ADAA4DC" w14:textId="77777777" w:rsidR="00674BF5" w:rsidRPr="002A677E" w:rsidRDefault="00674BF5" w:rsidP="00B055FF">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30F375DF" w14:textId="066ED473" w:rsidR="00674BF5" w:rsidRPr="002A677E" w:rsidRDefault="00674BF5" w:rsidP="00B055FF">
            <w:pPr>
              <w:pStyle w:val="InstructionsText"/>
            </w:pPr>
            <w:r w:rsidRPr="002A677E">
              <w:t xml:space="preserve">Articles 68 and 69 and Article 70(2) </w:t>
            </w:r>
            <w:r w:rsidR="00985B99" w:rsidRPr="001235ED">
              <w:rPr>
                <w:lang w:val="en-US"/>
              </w:rPr>
              <w:t>of Regulation (EU) No 575/2013</w:t>
            </w:r>
          </w:p>
        </w:tc>
      </w:tr>
      <w:tr w:rsidR="00674BF5" w:rsidRPr="002A677E" w14:paraId="0D32EE35" w14:textId="77777777" w:rsidTr="00674BF5">
        <w:tc>
          <w:tcPr>
            <w:tcW w:w="1474" w:type="dxa"/>
          </w:tcPr>
          <w:p w14:paraId="4FB61836" w14:textId="77777777" w:rsidR="00674BF5" w:rsidRPr="002A677E" w:rsidRDefault="00754ADC" w:rsidP="00B055FF">
            <w:pPr>
              <w:pStyle w:val="InstructionsText"/>
            </w:pPr>
            <w:r w:rsidRPr="002A677E">
              <w:t>0</w:t>
            </w:r>
            <w:r w:rsidR="00674BF5" w:rsidRPr="002A677E">
              <w:t>390</w:t>
            </w:r>
          </w:p>
        </w:tc>
        <w:tc>
          <w:tcPr>
            <w:tcW w:w="7049" w:type="dxa"/>
          </w:tcPr>
          <w:p w14:paraId="17CBBFCA" w14:textId="77777777" w:rsidR="00674BF5" w:rsidRPr="002A677E" w:rsidRDefault="00674BF5" w:rsidP="00B055FF">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7E8958A2" w14:textId="64D8EFCE" w:rsidR="00674BF5" w:rsidRPr="002A677E" w:rsidRDefault="00674BF5" w:rsidP="00B055FF">
            <w:pPr>
              <w:pStyle w:val="InstructionsText"/>
            </w:pPr>
            <w:r w:rsidRPr="002A677E">
              <w:t xml:space="preserve">Article 68 and Article 70(2) </w:t>
            </w:r>
            <w:r w:rsidR="00985B99" w:rsidRPr="001235ED">
              <w:rPr>
                <w:lang w:val="en-US"/>
              </w:rPr>
              <w:t>of Regulation (EU) No 575/2013</w:t>
            </w:r>
          </w:p>
          <w:p w14:paraId="761A3E27" w14:textId="77777777" w:rsidR="00674BF5" w:rsidRPr="002A677E" w:rsidRDefault="00674BF5" w:rsidP="00B055FF">
            <w:pPr>
              <w:pStyle w:val="InstructionsText"/>
            </w:pPr>
            <w:r w:rsidRPr="002A677E">
              <w:t>Direct holdings of T2 capital of financial sector entities where the institution does not have a significant investment, excluding:</w:t>
            </w:r>
          </w:p>
          <w:p w14:paraId="67CF4F62" w14:textId="77777777" w:rsidR="00674BF5" w:rsidRPr="002A677E" w:rsidRDefault="00674BF5" w:rsidP="00B055FF">
            <w:pPr>
              <w:pStyle w:val="InstructionsText"/>
            </w:pPr>
            <w:r w:rsidRPr="002A677E">
              <w:t>a)</w:t>
            </w:r>
            <w:r w:rsidRPr="002A677E">
              <w:tab/>
              <w:t xml:space="preserve">Underwriting positions held for 5 working days or fewer; and </w:t>
            </w:r>
          </w:p>
          <w:p w14:paraId="17254E20" w14:textId="47008087" w:rsidR="00674BF5" w:rsidRPr="002A677E" w:rsidRDefault="00674BF5" w:rsidP="00B055FF">
            <w:pPr>
              <w:pStyle w:val="InstructionsText"/>
            </w:pPr>
            <w:r w:rsidRPr="002A677E">
              <w:t>b)</w:t>
            </w:r>
            <w:r w:rsidRPr="002A677E">
              <w:tab/>
              <w:t>Holdings which are treated as reciprocal cross holdings in accordance with 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1967E3E3" w14:textId="77777777" w:rsidTr="00674BF5">
        <w:tc>
          <w:tcPr>
            <w:tcW w:w="1474" w:type="dxa"/>
          </w:tcPr>
          <w:p w14:paraId="75E90CCA" w14:textId="77777777" w:rsidR="00674BF5" w:rsidRPr="002A677E" w:rsidRDefault="00754ADC" w:rsidP="00B055FF">
            <w:pPr>
              <w:pStyle w:val="InstructionsText"/>
            </w:pPr>
            <w:r w:rsidRPr="002A677E">
              <w:t>0</w:t>
            </w:r>
            <w:r w:rsidR="00674BF5" w:rsidRPr="002A677E">
              <w:t>400</w:t>
            </w:r>
          </w:p>
        </w:tc>
        <w:tc>
          <w:tcPr>
            <w:tcW w:w="7049" w:type="dxa"/>
          </w:tcPr>
          <w:p w14:paraId="089CA1AA" w14:textId="77777777" w:rsidR="00674BF5" w:rsidRPr="002A677E" w:rsidRDefault="00674BF5" w:rsidP="00B055FF">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7BF2A908" w14:textId="5CFE62B1" w:rsidR="00674BF5" w:rsidRPr="002A677E" w:rsidRDefault="00674BF5" w:rsidP="00B055FF">
            <w:pPr>
              <w:pStyle w:val="InstructionsText"/>
            </w:pPr>
            <w:r w:rsidRPr="002A677E">
              <w:t xml:space="preserve">Article 69 </w:t>
            </w:r>
            <w:r w:rsidR="00985B99" w:rsidRPr="001235ED">
              <w:rPr>
                <w:lang w:val="en-US"/>
              </w:rPr>
              <w:t>of Regulation (EU) No 575/2013</w:t>
            </w:r>
          </w:p>
          <w:p w14:paraId="274B938A" w14:textId="6646D344" w:rsidR="00674BF5" w:rsidRPr="002A677E" w:rsidRDefault="00674BF5" w:rsidP="00B055FF">
            <w:pPr>
              <w:pStyle w:val="InstructionsText"/>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0DF81460" w14:textId="77777777" w:rsidTr="00674BF5">
        <w:tc>
          <w:tcPr>
            <w:tcW w:w="1474" w:type="dxa"/>
          </w:tcPr>
          <w:p w14:paraId="419E2B45" w14:textId="77777777" w:rsidR="00674BF5" w:rsidRPr="002A677E" w:rsidRDefault="00754ADC" w:rsidP="00B055FF">
            <w:pPr>
              <w:pStyle w:val="InstructionsText"/>
            </w:pPr>
            <w:r w:rsidRPr="002A677E">
              <w:t>0</w:t>
            </w:r>
            <w:r w:rsidR="00674BF5" w:rsidRPr="002A677E">
              <w:t>410</w:t>
            </w:r>
          </w:p>
        </w:tc>
        <w:tc>
          <w:tcPr>
            <w:tcW w:w="7049" w:type="dxa"/>
          </w:tcPr>
          <w:p w14:paraId="6BEECB8F" w14:textId="77777777" w:rsidR="00674BF5" w:rsidRPr="002A677E" w:rsidRDefault="00674BF5" w:rsidP="00B055FF">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43041074" w14:textId="40A7E374" w:rsidR="00674BF5" w:rsidRPr="002A677E" w:rsidRDefault="00674BF5" w:rsidP="00B055FF">
            <w:pPr>
              <w:pStyle w:val="InstructionsText"/>
            </w:pPr>
            <w:r w:rsidRPr="002A677E">
              <w:lastRenderedPageBreak/>
              <w:t>Article 4(1)</w:t>
            </w:r>
            <w:r w:rsidR="00B83DDE">
              <w:t>, p</w:t>
            </w:r>
            <w:r w:rsidR="0049092A" w:rsidRPr="002A677E">
              <w:t>oint (114)</w:t>
            </w:r>
            <w:r w:rsidR="00FF161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419B127C" w14:textId="77777777" w:rsidTr="00674BF5">
        <w:tc>
          <w:tcPr>
            <w:tcW w:w="1474" w:type="dxa"/>
          </w:tcPr>
          <w:p w14:paraId="01325F60" w14:textId="77777777" w:rsidR="00674BF5" w:rsidRPr="002A677E" w:rsidRDefault="00754ADC" w:rsidP="00B055FF">
            <w:pPr>
              <w:pStyle w:val="InstructionsText"/>
            </w:pPr>
            <w:r w:rsidRPr="002A677E">
              <w:lastRenderedPageBreak/>
              <w:t>0</w:t>
            </w:r>
            <w:r w:rsidR="00674BF5" w:rsidRPr="002A677E">
              <w:t>420</w:t>
            </w:r>
          </w:p>
        </w:tc>
        <w:tc>
          <w:tcPr>
            <w:tcW w:w="7049" w:type="dxa"/>
          </w:tcPr>
          <w:p w14:paraId="048197B5" w14:textId="77777777" w:rsidR="00674BF5" w:rsidRPr="002A677E" w:rsidRDefault="00674BF5" w:rsidP="00B055FF">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7AA5A636" w14:textId="03CDC1AB" w:rsidR="00674BF5" w:rsidRPr="002A677E" w:rsidRDefault="0049092A" w:rsidP="00B055FF">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3FE65871" w14:textId="77777777" w:rsidR="00674BF5" w:rsidRPr="002A677E" w:rsidRDefault="00674BF5" w:rsidP="00B055FF">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2DBB428" w14:textId="6AA818E2" w:rsidR="00674BF5" w:rsidRPr="002A677E" w:rsidRDefault="00674BF5" w:rsidP="00B055FF">
            <w:pPr>
              <w:pStyle w:val="InstructionsText"/>
            </w:pPr>
            <w:r w:rsidRPr="002A677E">
              <w:t>Holdings which are treated as reciprocal cross holdings in accordance with Article 66</w:t>
            </w:r>
            <w:r w:rsidR="00B83DDE">
              <w:t>, p</w:t>
            </w:r>
            <w:r w:rsidRPr="002A677E">
              <w:t>oint (b)</w:t>
            </w:r>
            <w:r w:rsidR="00BE1277">
              <w:t>,</w:t>
            </w:r>
            <w:r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D791C66" w14:textId="77777777" w:rsidTr="00674BF5">
        <w:tc>
          <w:tcPr>
            <w:tcW w:w="1474" w:type="dxa"/>
          </w:tcPr>
          <w:p w14:paraId="7521027A" w14:textId="77777777" w:rsidR="00674BF5" w:rsidRPr="002A677E" w:rsidRDefault="00754ADC" w:rsidP="00B055FF">
            <w:pPr>
              <w:pStyle w:val="InstructionsText"/>
            </w:pPr>
            <w:r w:rsidRPr="002A677E">
              <w:t>0</w:t>
            </w:r>
            <w:r w:rsidR="00674BF5" w:rsidRPr="002A677E">
              <w:t>430</w:t>
            </w:r>
          </w:p>
        </w:tc>
        <w:tc>
          <w:tcPr>
            <w:tcW w:w="7049" w:type="dxa"/>
          </w:tcPr>
          <w:p w14:paraId="0E68F497" w14:textId="77777777" w:rsidR="00674BF5" w:rsidRPr="002A677E" w:rsidRDefault="00674BF5" w:rsidP="00B055FF">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6B7BF87B" w14:textId="004DC404" w:rsidR="00674BF5" w:rsidRPr="002A677E" w:rsidRDefault="0049092A" w:rsidP="00B055FF">
            <w:pPr>
              <w:pStyle w:val="InstructionsText"/>
            </w:pPr>
            <w:r w:rsidRPr="002A677E">
              <w:t>Article 4(1)</w:t>
            </w:r>
            <w:r w:rsidR="00B83DDE">
              <w:t>, p</w:t>
            </w:r>
            <w:r w:rsidRPr="002A677E">
              <w:t>oint (114)</w:t>
            </w:r>
            <w:r w:rsidR="00BE1277">
              <w:t>,</w:t>
            </w:r>
            <w:r w:rsidR="00674BF5" w:rsidRPr="002A677E">
              <w:t xml:space="preserve"> and Article 69 </w:t>
            </w:r>
            <w:r w:rsidR="00985B99" w:rsidRPr="001235ED">
              <w:rPr>
                <w:lang w:val="en-US"/>
              </w:rPr>
              <w:t>of Regulation (EU) No 575/2013</w:t>
            </w:r>
          </w:p>
          <w:p w14:paraId="0DF8664C" w14:textId="29F8C09F" w:rsidR="00674BF5" w:rsidRPr="002A677E" w:rsidRDefault="00674BF5" w:rsidP="00B055FF">
            <w:pPr>
              <w:pStyle w:val="InstructionsText"/>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1B08B8CE" w14:textId="77777777" w:rsidTr="00674BF5">
        <w:tc>
          <w:tcPr>
            <w:tcW w:w="1474" w:type="dxa"/>
          </w:tcPr>
          <w:p w14:paraId="7A431DAA" w14:textId="77777777" w:rsidR="00674BF5" w:rsidRPr="002A677E" w:rsidRDefault="00754ADC" w:rsidP="00B055FF">
            <w:pPr>
              <w:pStyle w:val="InstructionsText"/>
            </w:pPr>
            <w:r w:rsidRPr="002A677E">
              <w:t>0</w:t>
            </w:r>
            <w:r w:rsidR="00674BF5" w:rsidRPr="002A677E">
              <w:t>431</w:t>
            </w:r>
          </w:p>
        </w:tc>
        <w:tc>
          <w:tcPr>
            <w:tcW w:w="7049" w:type="dxa"/>
          </w:tcPr>
          <w:p w14:paraId="7BD5EDD4" w14:textId="77777777" w:rsidR="00674BF5" w:rsidRPr="002A677E" w:rsidRDefault="00674BF5" w:rsidP="00B055FF">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911CD95" w14:textId="6AE05024" w:rsidR="00674BF5" w:rsidRPr="002A677E" w:rsidRDefault="00674BF5" w:rsidP="00B055FF">
            <w:pPr>
              <w:pStyle w:val="InstructionsText"/>
              <w:rPr>
                <w:rStyle w:val="InstructionsTabelleberschrift"/>
                <w:rFonts w:ascii="Times New Roman" w:hAnsi="Times New Roman"/>
                <w:sz w:val="24"/>
              </w:rPr>
            </w:pPr>
            <w:r w:rsidRPr="002A677E">
              <w:t>Article 4(1)</w:t>
            </w:r>
            <w:r w:rsidR="00B83DDE">
              <w:t>, p</w:t>
            </w:r>
            <w:r w:rsidR="0049092A" w:rsidRPr="002A677E">
              <w:t>oint (126)</w:t>
            </w:r>
            <w:r w:rsidR="00BE127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721AA0FC" w14:textId="77777777" w:rsidTr="00674BF5">
        <w:tc>
          <w:tcPr>
            <w:tcW w:w="1474" w:type="dxa"/>
          </w:tcPr>
          <w:p w14:paraId="38A66AFD" w14:textId="77777777" w:rsidR="00674BF5" w:rsidRPr="002A677E" w:rsidRDefault="00754ADC" w:rsidP="00B055FF">
            <w:pPr>
              <w:pStyle w:val="InstructionsText"/>
            </w:pPr>
            <w:r w:rsidRPr="002A677E">
              <w:t>0</w:t>
            </w:r>
            <w:r w:rsidR="00674BF5" w:rsidRPr="002A677E">
              <w:t>432</w:t>
            </w:r>
          </w:p>
        </w:tc>
        <w:tc>
          <w:tcPr>
            <w:tcW w:w="7049" w:type="dxa"/>
          </w:tcPr>
          <w:p w14:paraId="63632F92" w14:textId="77777777" w:rsidR="00674BF5" w:rsidRPr="002A677E" w:rsidRDefault="00674BF5" w:rsidP="00B055FF">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6F24CEB3" w14:textId="5F8BCD24" w:rsidR="00674BF5" w:rsidRPr="002A677E" w:rsidRDefault="0049092A" w:rsidP="00B055FF">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BE1277">
              <w:t xml:space="preserve">, </w:t>
            </w:r>
            <w:r w:rsidR="00674BF5" w:rsidRPr="002A677E">
              <w:t xml:space="preserve">and Articles 68 and 69 </w:t>
            </w:r>
            <w:r w:rsidR="00985B99" w:rsidRPr="001235ED">
              <w:rPr>
                <w:lang w:val="en-US"/>
              </w:rPr>
              <w:t>of Regulation (EU) No 575/2013</w:t>
            </w:r>
          </w:p>
        </w:tc>
      </w:tr>
      <w:tr w:rsidR="00674BF5" w:rsidRPr="002A677E" w14:paraId="06DAD4CA" w14:textId="77777777" w:rsidTr="00674BF5">
        <w:tc>
          <w:tcPr>
            <w:tcW w:w="1474" w:type="dxa"/>
          </w:tcPr>
          <w:p w14:paraId="029EDC69" w14:textId="77777777" w:rsidR="00674BF5" w:rsidRPr="002A677E" w:rsidRDefault="00754ADC" w:rsidP="00B055FF">
            <w:pPr>
              <w:pStyle w:val="InstructionsText"/>
            </w:pPr>
            <w:r w:rsidRPr="002A677E">
              <w:t>0</w:t>
            </w:r>
            <w:r w:rsidR="00674BF5" w:rsidRPr="002A677E">
              <w:t>433</w:t>
            </w:r>
          </w:p>
        </w:tc>
        <w:tc>
          <w:tcPr>
            <w:tcW w:w="7049" w:type="dxa"/>
          </w:tcPr>
          <w:p w14:paraId="237A5B2C" w14:textId="77777777" w:rsidR="00674BF5" w:rsidRPr="002A677E" w:rsidRDefault="00674BF5" w:rsidP="00B055FF">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28087537" w14:textId="078B7F83" w:rsidR="00674BF5" w:rsidRPr="002A677E" w:rsidRDefault="0049092A" w:rsidP="00B055FF">
            <w:pPr>
              <w:pStyle w:val="InstructionsText"/>
            </w:pPr>
            <w:r w:rsidRPr="002A677E">
              <w:t>Article 4(1)</w:t>
            </w:r>
            <w:r w:rsidR="00B83DDE">
              <w:t>, p</w:t>
            </w:r>
            <w:r w:rsidRPr="002A677E">
              <w:t>oint (126)</w:t>
            </w:r>
            <w:r w:rsidR="00FF1617">
              <w:t>,</w:t>
            </w:r>
            <w:r w:rsidR="00674BF5" w:rsidRPr="002A677E">
              <w:t xml:space="preserve"> and Article 69 </w:t>
            </w:r>
            <w:r w:rsidR="00985B99" w:rsidRPr="001235ED">
              <w:rPr>
                <w:lang w:val="en-US"/>
              </w:rPr>
              <w:t>of Regulation (EU) No 575/2013</w:t>
            </w:r>
            <w:r w:rsidR="002D31E5" w:rsidRPr="002A677E">
              <w:t>.</w:t>
            </w:r>
          </w:p>
          <w:p w14:paraId="67857B5F" w14:textId="723A25BA" w:rsidR="002D31E5" w:rsidRPr="002A677E" w:rsidRDefault="002D31E5" w:rsidP="00B055FF">
            <w:pPr>
              <w:pStyle w:val="InstructionsText"/>
              <w:rPr>
                <w:rStyle w:val="InstructionsTabelleberschrift"/>
                <w:rFonts w:ascii="Times New Roman" w:hAnsi="Times New Roman"/>
                <w:b w:val="0"/>
                <w:bCs w:val="0"/>
                <w:sz w:val="24"/>
                <w:u w:val="none"/>
              </w:rPr>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C03F156" w14:textId="77777777" w:rsidTr="00674BF5">
        <w:tc>
          <w:tcPr>
            <w:tcW w:w="1474" w:type="dxa"/>
          </w:tcPr>
          <w:p w14:paraId="142204BB" w14:textId="77777777" w:rsidR="00674BF5" w:rsidRPr="002A677E" w:rsidRDefault="00754ADC" w:rsidP="00B055FF">
            <w:pPr>
              <w:pStyle w:val="InstructionsText"/>
            </w:pPr>
            <w:r w:rsidRPr="002A677E">
              <w:lastRenderedPageBreak/>
              <w:t>0</w:t>
            </w:r>
            <w:r w:rsidR="00674BF5" w:rsidRPr="002A677E">
              <w:t>440</w:t>
            </w:r>
          </w:p>
        </w:tc>
        <w:tc>
          <w:tcPr>
            <w:tcW w:w="7049" w:type="dxa"/>
          </w:tcPr>
          <w:p w14:paraId="781C2803" w14:textId="77777777" w:rsidR="00674BF5" w:rsidRPr="002A677E" w:rsidRDefault="00674BF5" w:rsidP="00B055FF">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6B37F020" w14:textId="644EC406" w:rsidR="00674BF5" w:rsidRPr="002A677E" w:rsidRDefault="00674BF5" w:rsidP="00B055FF">
            <w:pPr>
              <w:pStyle w:val="InstructionsText"/>
            </w:pPr>
            <w:r w:rsidRPr="002A677E">
              <w:t xml:space="preserve">Articles 44, 45, 47 and 49 </w:t>
            </w:r>
            <w:r w:rsidR="00985B99" w:rsidRPr="001235ED">
              <w:rPr>
                <w:lang w:val="en-US"/>
              </w:rPr>
              <w:t>of Regulation (EU) No 575/2013</w:t>
            </w:r>
          </w:p>
        </w:tc>
      </w:tr>
      <w:tr w:rsidR="00674BF5" w:rsidRPr="002A677E" w14:paraId="01BDBB53" w14:textId="77777777" w:rsidTr="00674BF5">
        <w:tc>
          <w:tcPr>
            <w:tcW w:w="1474" w:type="dxa"/>
          </w:tcPr>
          <w:p w14:paraId="1E4E57DF" w14:textId="77777777" w:rsidR="00674BF5" w:rsidRPr="002A677E" w:rsidRDefault="00754ADC" w:rsidP="00B055FF">
            <w:pPr>
              <w:pStyle w:val="InstructionsText"/>
            </w:pPr>
            <w:r w:rsidRPr="002A677E">
              <w:t>0</w:t>
            </w:r>
            <w:r w:rsidR="00674BF5" w:rsidRPr="002A677E">
              <w:t>450</w:t>
            </w:r>
          </w:p>
        </w:tc>
        <w:tc>
          <w:tcPr>
            <w:tcW w:w="7049" w:type="dxa"/>
          </w:tcPr>
          <w:p w14:paraId="3E8DC181" w14:textId="77777777" w:rsidR="00674BF5" w:rsidRPr="002A677E" w:rsidRDefault="00674BF5" w:rsidP="00B055FF">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5F45543E" w14:textId="3CC2FAFD" w:rsidR="00674BF5" w:rsidRPr="002A677E" w:rsidRDefault="00674BF5" w:rsidP="00B055FF">
            <w:pPr>
              <w:pStyle w:val="InstructionsText"/>
            </w:pPr>
            <w:r w:rsidRPr="002A677E">
              <w:t xml:space="preserve">Articles 44, 45, 47 and 49 </w:t>
            </w:r>
            <w:r w:rsidR="00985B99" w:rsidRPr="001235ED">
              <w:rPr>
                <w:lang w:val="en-US"/>
              </w:rPr>
              <w:t>of Regulation (EU) No 575/2013</w:t>
            </w:r>
          </w:p>
        </w:tc>
      </w:tr>
      <w:tr w:rsidR="00674BF5" w:rsidRPr="002A677E" w14:paraId="4172C63E" w14:textId="77777777" w:rsidTr="00674BF5">
        <w:tc>
          <w:tcPr>
            <w:tcW w:w="1474" w:type="dxa"/>
          </w:tcPr>
          <w:p w14:paraId="66C808BC" w14:textId="77777777" w:rsidR="00674BF5" w:rsidRPr="002A677E" w:rsidRDefault="00754ADC" w:rsidP="00B055FF">
            <w:pPr>
              <w:pStyle w:val="InstructionsText"/>
            </w:pPr>
            <w:r w:rsidRPr="002A677E">
              <w:t>0</w:t>
            </w:r>
            <w:r w:rsidR="00674BF5" w:rsidRPr="002A677E">
              <w:t>460</w:t>
            </w:r>
          </w:p>
        </w:tc>
        <w:tc>
          <w:tcPr>
            <w:tcW w:w="7049" w:type="dxa"/>
          </w:tcPr>
          <w:p w14:paraId="23040D3C" w14:textId="77777777" w:rsidR="00674BF5" w:rsidRPr="002A677E" w:rsidRDefault="00674BF5" w:rsidP="00B055FF">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6D7C87B8" w14:textId="1F238977" w:rsidR="00674BF5" w:rsidRPr="002A677E" w:rsidRDefault="00674BF5" w:rsidP="00B055FF">
            <w:pPr>
              <w:pStyle w:val="InstructionsText"/>
            </w:pPr>
            <w:r w:rsidRPr="002A677E">
              <w:t xml:space="preserve">Articles 44, 45, 47 and 49 </w:t>
            </w:r>
            <w:r w:rsidR="00985B99" w:rsidRPr="001235ED">
              <w:rPr>
                <w:lang w:val="en-US"/>
              </w:rPr>
              <w:t>of Regulation (EU) No 575/2013</w:t>
            </w:r>
          </w:p>
          <w:p w14:paraId="5D6F7E46" w14:textId="77777777" w:rsidR="00674BF5" w:rsidRPr="002A677E" w:rsidRDefault="00674BF5" w:rsidP="00B055FF">
            <w:pPr>
              <w:pStyle w:val="InstructionsText"/>
            </w:pPr>
            <w:r w:rsidRPr="002A677E">
              <w:t>Direct holdings of CET1 capital of financial sector entities where the institution has a significant investment, excluding:</w:t>
            </w:r>
          </w:p>
          <w:p w14:paraId="194C3AF1" w14:textId="77777777" w:rsidR="00674BF5" w:rsidRPr="002A677E" w:rsidRDefault="00674BF5" w:rsidP="00B055FF">
            <w:pPr>
              <w:pStyle w:val="InstructionsText"/>
            </w:pPr>
            <w:r w:rsidRPr="002A677E">
              <w:t>a)</w:t>
            </w:r>
            <w:r w:rsidRPr="002A677E">
              <w:tab/>
              <w:t xml:space="preserve">Underwriting positions held for 5 working days or fewer; </w:t>
            </w:r>
          </w:p>
          <w:p w14:paraId="1C7DFE87" w14:textId="77777777" w:rsidR="00674BF5" w:rsidRPr="002A677E" w:rsidRDefault="00674BF5" w:rsidP="00B055FF">
            <w:pPr>
              <w:pStyle w:val="InstructionsText"/>
            </w:pPr>
            <w:r w:rsidRPr="002A677E">
              <w:t>b)</w:t>
            </w:r>
            <w:r w:rsidRPr="002A677E">
              <w:tab/>
              <w:t xml:space="preserve">The amounts relating to the investments for which any alternative in Article 49 is applied; and </w:t>
            </w:r>
          </w:p>
          <w:p w14:paraId="289A45C1" w14:textId="6EC76E90" w:rsidR="00674BF5" w:rsidRPr="002A677E" w:rsidRDefault="00674BF5" w:rsidP="00B055FF">
            <w:pPr>
              <w:pStyle w:val="InstructionsText"/>
            </w:pPr>
            <w:r w:rsidRPr="002A677E">
              <w:t>c)</w:t>
            </w:r>
            <w:r w:rsidRPr="002A677E">
              <w:tab/>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p>
        </w:tc>
      </w:tr>
      <w:tr w:rsidR="00674BF5" w:rsidRPr="002A677E" w14:paraId="23D8B08B" w14:textId="77777777" w:rsidTr="00674BF5">
        <w:tc>
          <w:tcPr>
            <w:tcW w:w="1474" w:type="dxa"/>
          </w:tcPr>
          <w:p w14:paraId="6B2C1D26" w14:textId="77777777" w:rsidR="00674BF5" w:rsidRPr="002A677E" w:rsidRDefault="00754ADC" w:rsidP="00B055FF">
            <w:pPr>
              <w:pStyle w:val="InstructionsText"/>
            </w:pPr>
            <w:r w:rsidRPr="002A677E">
              <w:t>0</w:t>
            </w:r>
            <w:r w:rsidR="00674BF5" w:rsidRPr="002A677E">
              <w:t>470</w:t>
            </w:r>
          </w:p>
        </w:tc>
        <w:tc>
          <w:tcPr>
            <w:tcW w:w="7049" w:type="dxa"/>
          </w:tcPr>
          <w:p w14:paraId="166738D6" w14:textId="77777777" w:rsidR="00674BF5" w:rsidRPr="002A677E" w:rsidRDefault="00674BF5" w:rsidP="00B055FF">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10FC314D" w14:textId="136D8EAB" w:rsidR="00674BF5" w:rsidRPr="002A677E" w:rsidRDefault="00674BF5" w:rsidP="00B055FF">
            <w:pPr>
              <w:pStyle w:val="InstructionsText"/>
            </w:pPr>
            <w:r w:rsidRPr="002A677E">
              <w:t xml:space="preserve">Article 45 </w:t>
            </w:r>
            <w:r w:rsidR="00985B99" w:rsidRPr="001235ED">
              <w:rPr>
                <w:lang w:val="en-US"/>
              </w:rPr>
              <w:t>of Regulation (EU) No 575/2013</w:t>
            </w:r>
          </w:p>
          <w:p w14:paraId="35FC1C5B" w14:textId="17B28638" w:rsidR="00674BF5" w:rsidRPr="002A677E" w:rsidRDefault="00674BF5" w:rsidP="00B055FF">
            <w:pPr>
              <w:pStyle w:val="InstructionsText"/>
            </w:pPr>
            <w:r w:rsidRPr="002A677E">
              <w:t>Article 45</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4008C1C" w14:textId="77777777" w:rsidTr="00674BF5">
        <w:tc>
          <w:tcPr>
            <w:tcW w:w="1474" w:type="dxa"/>
          </w:tcPr>
          <w:p w14:paraId="4AF98409" w14:textId="77777777" w:rsidR="00674BF5" w:rsidRPr="002A677E" w:rsidRDefault="00754ADC" w:rsidP="00B055FF">
            <w:pPr>
              <w:pStyle w:val="InstructionsText"/>
            </w:pPr>
            <w:r w:rsidRPr="002A677E">
              <w:t>0</w:t>
            </w:r>
            <w:r w:rsidR="00674BF5" w:rsidRPr="002A677E">
              <w:t>480</w:t>
            </w:r>
          </w:p>
        </w:tc>
        <w:tc>
          <w:tcPr>
            <w:tcW w:w="7049" w:type="dxa"/>
          </w:tcPr>
          <w:p w14:paraId="614B284E" w14:textId="77777777" w:rsidR="00674BF5" w:rsidRPr="002A677E" w:rsidRDefault="00674BF5" w:rsidP="00B055FF">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1B562CC7" w14:textId="0DA77585" w:rsidR="00674BF5" w:rsidRPr="002A677E" w:rsidRDefault="00674BF5" w:rsidP="00B055FF">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09D859CD" w14:textId="77777777" w:rsidTr="00674BF5">
        <w:tc>
          <w:tcPr>
            <w:tcW w:w="1474" w:type="dxa"/>
          </w:tcPr>
          <w:p w14:paraId="340BE264" w14:textId="77777777" w:rsidR="00674BF5" w:rsidRPr="002A677E" w:rsidRDefault="00754ADC" w:rsidP="00B055FF">
            <w:pPr>
              <w:pStyle w:val="InstructionsText"/>
            </w:pPr>
            <w:r w:rsidRPr="002A677E">
              <w:t>0</w:t>
            </w:r>
            <w:r w:rsidR="00674BF5" w:rsidRPr="002A677E">
              <w:t>490</w:t>
            </w:r>
          </w:p>
        </w:tc>
        <w:tc>
          <w:tcPr>
            <w:tcW w:w="7049" w:type="dxa"/>
          </w:tcPr>
          <w:p w14:paraId="46F8F676" w14:textId="77777777" w:rsidR="00674BF5" w:rsidRPr="002A677E" w:rsidRDefault="00674BF5" w:rsidP="00B055FF">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5813E86E" w14:textId="5F8831BD" w:rsidR="00674BF5" w:rsidRPr="002A677E" w:rsidRDefault="0049092A" w:rsidP="00B055FF">
            <w:pPr>
              <w:pStyle w:val="InstructionsText"/>
            </w:pPr>
            <w:r w:rsidRPr="002A677E">
              <w:t>Article 4(1)</w:t>
            </w:r>
            <w:r w:rsidR="00B83DDE">
              <w:t>, p</w:t>
            </w:r>
            <w:r w:rsidRPr="002A677E">
              <w:t>oint (114)</w:t>
            </w:r>
            <w:r w:rsidR="00BE1277">
              <w:t>,</w:t>
            </w:r>
            <w:r w:rsidRPr="002A677E">
              <w:t xml:space="preserve"> </w:t>
            </w:r>
            <w:r w:rsidR="00674BF5" w:rsidRPr="002A677E">
              <w:t xml:space="preserve">and Articles 44 and 45 </w:t>
            </w:r>
            <w:r w:rsidR="00985B99" w:rsidRPr="001235ED">
              <w:rPr>
                <w:lang w:val="en-US"/>
              </w:rPr>
              <w:t>of Regulation (EU) No 575/2013</w:t>
            </w:r>
          </w:p>
          <w:p w14:paraId="0EC89C74" w14:textId="77777777" w:rsidR="00674BF5" w:rsidRPr="002A677E" w:rsidRDefault="00674BF5" w:rsidP="00B055FF">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126D579" w14:textId="3E9C4FE1" w:rsidR="00674BF5" w:rsidRPr="002A677E" w:rsidRDefault="00674BF5" w:rsidP="00B055FF">
            <w:pPr>
              <w:pStyle w:val="InstructionsText"/>
            </w:pPr>
            <w:r w:rsidRPr="002A677E">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D7D399B" w14:textId="77777777" w:rsidTr="00674BF5">
        <w:tc>
          <w:tcPr>
            <w:tcW w:w="1474" w:type="dxa"/>
          </w:tcPr>
          <w:p w14:paraId="4BF9D4F4" w14:textId="77777777" w:rsidR="00674BF5" w:rsidRPr="002A677E" w:rsidRDefault="00754ADC" w:rsidP="00B055FF">
            <w:pPr>
              <w:pStyle w:val="InstructionsText"/>
            </w:pPr>
            <w:r w:rsidRPr="002A677E">
              <w:lastRenderedPageBreak/>
              <w:t>0</w:t>
            </w:r>
            <w:r w:rsidR="00674BF5" w:rsidRPr="002A677E">
              <w:t>500</w:t>
            </w:r>
          </w:p>
        </w:tc>
        <w:tc>
          <w:tcPr>
            <w:tcW w:w="7049" w:type="dxa"/>
          </w:tcPr>
          <w:p w14:paraId="4A6B796B" w14:textId="77777777" w:rsidR="00674BF5" w:rsidRPr="002A677E" w:rsidRDefault="00674BF5" w:rsidP="00B055FF">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181DE37A" w14:textId="6C543A3E" w:rsidR="00674BF5" w:rsidRPr="002A677E" w:rsidRDefault="0049092A" w:rsidP="00B055FF">
            <w:pPr>
              <w:pStyle w:val="InstructionsText"/>
            </w:pPr>
            <w:r w:rsidRPr="002A677E">
              <w:t>Article 4(1)</w:t>
            </w:r>
            <w:r w:rsidR="00B83DDE">
              <w:t>, p</w:t>
            </w:r>
            <w:r w:rsidRPr="002A677E">
              <w:t>oint (114)</w:t>
            </w:r>
            <w:r w:rsidR="00FF1617">
              <w:t>,</w:t>
            </w:r>
            <w:r w:rsidRPr="002A677E">
              <w:t xml:space="preserve"> </w:t>
            </w:r>
            <w:r w:rsidR="00674BF5" w:rsidRPr="002A677E">
              <w:t xml:space="preserve">and Article 45 </w:t>
            </w:r>
            <w:r w:rsidR="00985B99" w:rsidRPr="001235ED">
              <w:rPr>
                <w:lang w:val="en-US"/>
              </w:rPr>
              <w:t>of Regulation (EU) No 575/2013</w:t>
            </w:r>
          </w:p>
          <w:p w14:paraId="4DAC7E7C" w14:textId="6B211980" w:rsidR="00674BF5" w:rsidRPr="002A677E" w:rsidRDefault="0049092A" w:rsidP="00B055FF">
            <w:pPr>
              <w:pStyle w:val="InstructionsText"/>
            </w:pPr>
            <w:r w:rsidRPr="002A677E">
              <w:t>A</w:t>
            </w:r>
            <w:r w:rsidR="00674BF5" w:rsidRPr="002A677E">
              <w:t>rticle 45</w:t>
            </w:r>
            <w:r w:rsidR="00B83DDE">
              <w:t>, p</w:t>
            </w:r>
            <w:r w:rsidRPr="002A677E">
              <w:t>oint (a)</w:t>
            </w:r>
            <w:r w:rsidR="00CF5957">
              <w:t>,</w:t>
            </w:r>
            <w:r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49921B08" w14:textId="77777777" w:rsidTr="00674BF5">
        <w:tc>
          <w:tcPr>
            <w:tcW w:w="1474" w:type="dxa"/>
          </w:tcPr>
          <w:p w14:paraId="7817D1FC" w14:textId="77777777" w:rsidR="00674BF5" w:rsidRPr="002A677E" w:rsidRDefault="00754ADC" w:rsidP="00B055FF">
            <w:pPr>
              <w:pStyle w:val="InstructionsText"/>
            </w:pPr>
            <w:r w:rsidRPr="002A677E">
              <w:t>0</w:t>
            </w:r>
            <w:r w:rsidR="00674BF5" w:rsidRPr="002A677E">
              <w:t>501</w:t>
            </w:r>
          </w:p>
        </w:tc>
        <w:tc>
          <w:tcPr>
            <w:tcW w:w="7049" w:type="dxa"/>
          </w:tcPr>
          <w:p w14:paraId="44DFB94B" w14:textId="77777777" w:rsidR="00674BF5" w:rsidRPr="002A677E" w:rsidRDefault="00674BF5" w:rsidP="00B055FF">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55D438C1" w14:textId="764B4EF0" w:rsidR="00674BF5" w:rsidRPr="002A677E" w:rsidRDefault="00674BF5" w:rsidP="00B055FF">
            <w:pPr>
              <w:pStyle w:val="InstructionsText"/>
            </w:pPr>
            <w:r w:rsidRPr="002A677E">
              <w:t>Article 4(1)</w:t>
            </w:r>
            <w:r w:rsidR="00B83DDE">
              <w:t>, p</w:t>
            </w:r>
            <w:r w:rsidR="0049092A" w:rsidRPr="002A677E">
              <w:t>oint (126)</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10AB1F83" w14:textId="77777777" w:rsidTr="00674BF5">
        <w:tc>
          <w:tcPr>
            <w:tcW w:w="1474" w:type="dxa"/>
          </w:tcPr>
          <w:p w14:paraId="0523D05C" w14:textId="77777777" w:rsidR="00674BF5" w:rsidRPr="002A677E" w:rsidRDefault="00754ADC" w:rsidP="00B055FF">
            <w:pPr>
              <w:pStyle w:val="InstructionsText"/>
            </w:pPr>
            <w:r w:rsidRPr="002A677E">
              <w:t>0</w:t>
            </w:r>
            <w:r w:rsidR="00674BF5" w:rsidRPr="002A677E">
              <w:t>502</w:t>
            </w:r>
          </w:p>
        </w:tc>
        <w:tc>
          <w:tcPr>
            <w:tcW w:w="7049" w:type="dxa"/>
          </w:tcPr>
          <w:p w14:paraId="49FD13B7" w14:textId="77777777" w:rsidR="00674BF5" w:rsidRPr="002A677E" w:rsidRDefault="00674BF5" w:rsidP="00B055FF">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0CEA3976" w14:textId="4220351D" w:rsidR="00674BF5" w:rsidRPr="002A677E" w:rsidRDefault="0049092A" w:rsidP="00B055FF">
            <w:pPr>
              <w:pStyle w:val="InstructionsText"/>
            </w:pPr>
            <w:r w:rsidRPr="002A677E">
              <w:t>Article 4(1)</w:t>
            </w:r>
            <w:r w:rsidR="00B83DDE">
              <w:t>, p</w:t>
            </w:r>
            <w:r w:rsidRPr="002A677E">
              <w:t>oint (126)</w:t>
            </w:r>
            <w:r w:rsidR="00FF1617">
              <w:t>,</w:t>
            </w:r>
            <w:r w:rsidRPr="002A677E">
              <w:t xml:space="preserve"> </w:t>
            </w:r>
            <w:r w:rsidR="00674BF5" w:rsidRPr="002A677E">
              <w:t xml:space="preserve">and Articles 44 and 45 </w:t>
            </w:r>
            <w:r w:rsidR="00985B99" w:rsidRPr="001235ED">
              <w:rPr>
                <w:lang w:val="en-US"/>
              </w:rPr>
              <w:t>of Regulation (EU) No 575/2013</w:t>
            </w:r>
          </w:p>
        </w:tc>
      </w:tr>
      <w:tr w:rsidR="00674BF5" w:rsidRPr="002A677E" w14:paraId="7A3FAE46" w14:textId="77777777" w:rsidTr="00674BF5">
        <w:tc>
          <w:tcPr>
            <w:tcW w:w="1474" w:type="dxa"/>
          </w:tcPr>
          <w:p w14:paraId="0FE4AE8C" w14:textId="77777777" w:rsidR="00674BF5" w:rsidRPr="002A677E" w:rsidRDefault="00754ADC" w:rsidP="00B055FF">
            <w:pPr>
              <w:pStyle w:val="InstructionsText"/>
            </w:pPr>
            <w:r w:rsidRPr="002A677E">
              <w:t>0</w:t>
            </w:r>
            <w:r w:rsidR="00674BF5" w:rsidRPr="002A677E">
              <w:t>503</w:t>
            </w:r>
          </w:p>
        </w:tc>
        <w:tc>
          <w:tcPr>
            <w:tcW w:w="7049" w:type="dxa"/>
          </w:tcPr>
          <w:p w14:paraId="5308EF0D" w14:textId="77777777" w:rsidR="00674BF5" w:rsidRPr="002A677E" w:rsidRDefault="00674BF5" w:rsidP="00B055FF">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18C7966C" w14:textId="42656B0D" w:rsidR="00674BF5" w:rsidRPr="002A677E" w:rsidRDefault="0049092A" w:rsidP="00B055FF">
            <w:pPr>
              <w:pStyle w:val="InstructionsText"/>
            </w:pPr>
            <w:r w:rsidRPr="002A677E">
              <w:t>Article 4(1)</w:t>
            </w:r>
            <w:r w:rsidR="00B83DDE">
              <w:t>, p</w:t>
            </w:r>
            <w:r w:rsidRPr="002A677E">
              <w:t>oint (126)</w:t>
            </w:r>
            <w:r w:rsidR="00FF1617">
              <w:t>,</w:t>
            </w:r>
            <w:r w:rsidR="00674BF5" w:rsidRPr="002A677E">
              <w:t xml:space="preserve"> and Article 45 </w:t>
            </w:r>
            <w:r w:rsidR="00985B99" w:rsidRPr="001235ED">
              <w:rPr>
                <w:lang w:val="en-US"/>
              </w:rPr>
              <w:t>of Regulation (EU) No 575/2013</w:t>
            </w:r>
            <w:r w:rsidR="002D31E5" w:rsidRPr="002A677E">
              <w:t>.</w:t>
            </w:r>
          </w:p>
          <w:p w14:paraId="3BE278C3" w14:textId="47C8A1E6" w:rsidR="002D31E5" w:rsidRPr="002A677E" w:rsidRDefault="0049092A" w:rsidP="00B055FF">
            <w:pPr>
              <w:pStyle w:val="InstructionsText"/>
            </w:pPr>
            <w:r w:rsidRPr="002A677E">
              <w:t>Article 45</w:t>
            </w:r>
            <w:r w:rsidR="00B83DDE">
              <w:t>, p</w:t>
            </w:r>
            <w:r w:rsidRPr="002A677E">
              <w:t>oint (a)</w:t>
            </w:r>
            <w:r w:rsidR="00CF5957">
              <w:t>,</w:t>
            </w:r>
            <w:r w:rsidRPr="002A677E">
              <w:t xml:space="preserve"> </w:t>
            </w:r>
            <w:r w:rsidR="00985B99" w:rsidRPr="001235ED">
              <w:rPr>
                <w:lang w:val="en-US"/>
              </w:rPr>
              <w:t>of Regulation (EU) No 575/2013</w:t>
            </w:r>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2A677E" w14:paraId="4F901998" w14:textId="77777777" w:rsidTr="00674BF5">
        <w:tc>
          <w:tcPr>
            <w:tcW w:w="1474" w:type="dxa"/>
          </w:tcPr>
          <w:p w14:paraId="780DA0AC" w14:textId="77777777" w:rsidR="00916197" w:rsidRPr="002A677E" w:rsidRDefault="00916197" w:rsidP="00B055FF">
            <w:pPr>
              <w:pStyle w:val="InstructionsText"/>
            </w:pPr>
            <w:r w:rsidRPr="002A677E">
              <w:t>0504</w:t>
            </w:r>
          </w:p>
        </w:tc>
        <w:tc>
          <w:tcPr>
            <w:tcW w:w="7049" w:type="dxa"/>
          </w:tcPr>
          <w:p w14:paraId="3DD9E065" w14:textId="58C65762" w:rsidR="00916197" w:rsidRPr="002A677E" w:rsidRDefault="0091619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rsidR="00B856D5">
              <w:t> </w:t>
            </w:r>
            <w:r w:rsidRPr="002A677E">
              <w:rPr>
                <w:rStyle w:val="InstructionsTabelleberschrift"/>
                <w:rFonts w:ascii="Times New Roman" w:hAnsi="Times New Roman"/>
                <w:sz w:val="24"/>
              </w:rPr>
              <w:t>%</w:t>
            </w:r>
          </w:p>
          <w:p w14:paraId="6A824A8C" w14:textId="17D58578" w:rsidR="00916197" w:rsidRPr="002A677E" w:rsidRDefault="00916197" w:rsidP="00B055FF">
            <w:pPr>
              <w:pStyle w:val="InstructionsText"/>
            </w:pPr>
            <w:r w:rsidRPr="002A677E">
              <w:t xml:space="preserve">Article 48(4) </w:t>
            </w:r>
            <w:r w:rsidR="00985B99" w:rsidRPr="001235ED">
              <w:rPr>
                <w:lang w:val="en-US"/>
              </w:rPr>
              <w:t>of Regulation (EU) No 575/2013</w:t>
            </w:r>
          </w:p>
          <w:p w14:paraId="2372BE1E" w14:textId="4C134170" w:rsidR="00916197" w:rsidRPr="002A677E" w:rsidRDefault="00916197" w:rsidP="00B055FF">
            <w:pPr>
              <w:pStyle w:val="InstructionsText"/>
            </w:pPr>
            <w:r w:rsidRPr="002A677E">
              <w:t>The amount of significant investments in CET1 capital of financial sector entities</w:t>
            </w:r>
            <w:r w:rsidR="00EB53AD" w:rsidRPr="002A677E">
              <w:t xml:space="preserve"> that are not deducted pur</w:t>
            </w:r>
            <w:r w:rsidRPr="002A677E">
              <w:t xml:space="preserve">suant to Article 48(1) </w:t>
            </w:r>
            <w:r w:rsidR="00985B99" w:rsidRPr="001235ED">
              <w:rPr>
                <w:lang w:val="en-US"/>
              </w:rPr>
              <w:t>of Regulation (EU) No 575/2013</w:t>
            </w:r>
            <w:r w:rsidRPr="002A677E">
              <w:t>, but subject to a risk weight of 250</w:t>
            </w:r>
            <w:r w:rsidR="00B856D5">
              <w:t> </w:t>
            </w:r>
            <w:r w:rsidRPr="002A677E">
              <w:t xml:space="preserve">% in accordance with Article 48(4) </w:t>
            </w:r>
            <w:r w:rsidR="00985B99" w:rsidRPr="001235ED">
              <w:rPr>
                <w:lang w:val="en-US"/>
              </w:rPr>
              <w:t>of that Regulation</w:t>
            </w:r>
            <w:r w:rsidRPr="002A677E">
              <w:t>.</w:t>
            </w:r>
          </w:p>
          <w:p w14:paraId="03F455E6" w14:textId="77777777" w:rsidR="00916197" w:rsidRPr="002A677E" w:rsidRDefault="00916197" w:rsidP="00B055FF">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674BF5" w:rsidRPr="002A677E" w14:paraId="7E7D9F04" w14:textId="77777777" w:rsidTr="00674BF5">
        <w:tc>
          <w:tcPr>
            <w:tcW w:w="1474" w:type="dxa"/>
          </w:tcPr>
          <w:p w14:paraId="6632A92B" w14:textId="77777777" w:rsidR="00674BF5" w:rsidRPr="002A677E" w:rsidRDefault="00754ADC" w:rsidP="00B055FF">
            <w:pPr>
              <w:pStyle w:val="InstructionsText"/>
            </w:pPr>
            <w:r w:rsidRPr="002A677E">
              <w:t>0</w:t>
            </w:r>
            <w:r w:rsidR="00674BF5" w:rsidRPr="002A677E">
              <w:t>510</w:t>
            </w:r>
          </w:p>
        </w:tc>
        <w:tc>
          <w:tcPr>
            <w:tcW w:w="7049" w:type="dxa"/>
          </w:tcPr>
          <w:p w14:paraId="4090C55E" w14:textId="77777777" w:rsidR="00674BF5" w:rsidRPr="002A677E" w:rsidRDefault="00674BF5" w:rsidP="00B055FF">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CF06C76" w14:textId="793BD00A" w:rsidR="00674BF5" w:rsidRPr="002A677E" w:rsidRDefault="00674BF5" w:rsidP="00B055FF">
            <w:pPr>
              <w:pStyle w:val="InstructionsText"/>
            </w:pPr>
            <w:r w:rsidRPr="002A677E">
              <w:t xml:space="preserve">Articles 58 and 59 </w:t>
            </w:r>
            <w:r w:rsidR="00985B99" w:rsidRPr="001235ED">
              <w:rPr>
                <w:lang w:val="en-US"/>
              </w:rPr>
              <w:t>of Regulation (EU) No 575/2013</w:t>
            </w:r>
          </w:p>
        </w:tc>
      </w:tr>
      <w:tr w:rsidR="00674BF5" w:rsidRPr="002A677E" w14:paraId="5085F8C1" w14:textId="77777777" w:rsidTr="00674BF5">
        <w:tc>
          <w:tcPr>
            <w:tcW w:w="1474" w:type="dxa"/>
          </w:tcPr>
          <w:p w14:paraId="344A467A" w14:textId="77777777" w:rsidR="00674BF5" w:rsidRPr="002A677E" w:rsidRDefault="00754ADC" w:rsidP="00B055FF">
            <w:pPr>
              <w:pStyle w:val="InstructionsText"/>
            </w:pPr>
            <w:r w:rsidRPr="002A677E">
              <w:t>0</w:t>
            </w:r>
            <w:r w:rsidR="00674BF5" w:rsidRPr="002A677E">
              <w:t>520</w:t>
            </w:r>
          </w:p>
        </w:tc>
        <w:tc>
          <w:tcPr>
            <w:tcW w:w="7049" w:type="dxa"/>
          </w:tcPr>
          <w:p w14:paraId="207E9110" w14:textId="77777777" w:rsidR="00674BF5" w:rsidRPr="002A677E" w:rsidRDefault="00674BF5" w:rsidP="00B055FF">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328FC504" w14:textId="06A8FC95" w:rsidR="00674BF5" w:rsidRPr="002A677E" w:rsidRDefault="00674BF5" w:rsidP="00B055FF">
            <w:pPr>
              <w:pStyle w:val="InstructionsText"/>
            </w:pPr>
            <w:r w:rsidRPr="002A677E">
              <w:t xml:space="preserve">Articles 58 and 59 </w:t>
            </w:r>
            <w:r w:rsidR="00985B99" w:rsidRPr="001235ED">
              <w:rPr>
                <w:lang w:val="en-US"/>
              </w:rPr>
              <w:t>of Regulation (EU) No 575/2013</w:t>
            </w:r>
          </w:p>
        </w:tc>
      </w:tr>
      <w:tr w:rsidR="00674BF5" w:rsidRPr="002A677E" w14:paraId="5153A666" w14:textId="77777777" w:rsidTr="00674BF5">
        <w:tc>
          <w:tcPr>
            <w:tcW w:w="1474" w:type="dxa"/>
          </w:tcPr>
          <w:p w14:paraId="3EA4D6D6" w14:textId="77777777" w:rsidR="00674BF5" w:rsidRPr="002A677E" w:rsidRDefault="00754ADC" w:rsidP="00B055FF">
            <w:pPr>
              <w:pStyle w:val="InstructionsText"/>
            </w:pPr>
            <w:r w:rsidRPr="002A677E">
              <w:lastRenderedPageBreak/>
              <w:t>0</w:t>
            </w:r>
            <w:r w:rsidR="00674BF5" w:rsidRPr="002A677E">
              <w:t>530</w:t>
            </w:r>
          </w:p>
        </w:tc>
        <w:tc>
          <w:tcPr>
            <w:tcW w:w="7049" w:type="dxa"/>
          </w:tcPr>
          <w:p w14:paraId="54D29799" w14:textId="77777777" w:rsidR="00674BF5" w:rsidRPr="002A677E" w:rsidRDefault="00674BF5" w:rsidP="00B055FF">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2E0EA9D7" w14:textId="1BEE97CE" w:rsidR="00674BF5" w:rsidRPr="002A677E" w:rsidRDefault="00674BF5" w:rsidP="00B055FF">
            <w:pPr>
              <w:pStyle w:val="InstructionsText"/>
            </w:pPr>
            <w:r w:rsidRPr="002A677E">
              <w:t xml:space="preserve">Article 58 </w:t>
            </w:r>
            <w:r w:rsidR="00985B99" w:rsidRPr="001235ED">
              <w:rPr>
                <w:lang w:val="en-US"/>
              </w:rPr>
              <w:t>of Regulation (EU) No 575/2013</w:t>
            </w:r>
          </w:p>
          <w:p w14:paraId="03966E1B" w14:textId="77777777" w:rsidR="00674BF5" w:rsidRPr="002A677E" w:rsidRDefault="00674BF5" w:rsidP="00B055FF">
            <w:pPr>
              <w:pStyle w:val="InstructionsText"/>
            </w:pPr>
            <w:r w:rsidRPr="002A677E">
              <w:t>Direct holdings of AT1 capital of financial sector entities where the institution has a significant investment, excluding:</w:t>
            </w:r>
          </w:p>
          <w:p w14:paraId="3D0AC2D9" w14:textId="5B5EA22C" w:rsidR="00674BF5" w:rsidRPr="002A677E" w:rsidRDefault="00674BF5" w:rsidP="00B055FF">
            <w:pPr>
              <w:pStyle w:val="InstructionsText"/>
            </w:pPr>
            <w:r w:rsidRPr="002A677E">
              <w:t>a)</w:t>
            </w:r>
            <w:r w:rsidRPr="002A677E">
              <w:tab/>
              <w:t>Underwriting positions held for 5 working days or fewer (Article 56</w:t>
            </w:r>
            <w:r w:rsidR="00B83DDE">
              <w:t>, p</w:t>
            </w:r>
            <w:r w:rsidR="0049092A" w:rsidRPr="002A677E">
              <w:t>oint (d)</w:t>
            </w:r>
            <w:r w:rsidR="00BE1277">
              <w:t>,</w:t>
            </w:r>
            <w:r w:rsidR="0049092A" w:rsidRPr="002A677E">
              <w:t xml:space="preserve"> </w:t>
            </w:r>
            <w:r w:rsidR="00985B99" w:rsidRPr="001235ED">
              <w:rPr>
                <w:lang w:val="en-US"/>
              </w:rPr>
              <w:t>of Regulation (EU) No 575/2013</w:t>
            </w:r>
            <w:r w:rsidRPr="002A677E">
              <w:t>); and</w:t>
            </w:r>
          </w:p>
          <w:p w14:paraId="60E1CBC8" w14:textId="1149D5D1" w:rsidR="00674BF5" w:rsidRPr="002A677E" w:rsidRDefault="00674BF5" w:rsidP="00B055FF">
            <w:pPr>
              <w:pStyle w:val="InstructionsText"/>
            </w:pPr>
            <w:r w:rsidRPr="002A677E">
              <w:t>b)</w:t>
            </w:r>
            <w:r w:rsidRPr="002A677E">
              <w:tab/>
              <w:t xml:space="preserve">Holdings which are treated as reciprocal cross holdings in accordance with </w:t>
            </w:r>
            <w:r w:rsidR="0049092A" w:rsidRPr="002A677E">
              <w:t>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Pr="002A677E">
              <w:t>.</w:t>
            </w:r>
          </w:p>
        </w:tc>
      </w:tr>
      <w:tr w:rsidR="00674BF5" w:rsidRPr="002A677E" w14:paraId="1157D67B" w14:textId="77777777" w:rsidTr="00674BF5">
        <w:tc>
          <w:tcPr>
            <w:tcW w:w="1474" w:type="dxa"/>
          </w:tcPr>
          <w:p w14:paraId="112382BB" w14:textId="77777777" w:rsidR="00674BF5" w:rsidRPr="002A677E" w:rsidRDefault="00754ADC" w:rsidP="00B055FF">
            <w:pPr>
              <w:pStyle w:val="InstructionsText"/>
            </w:pPr>
            <w:r w:rsidRPr="002A677E">
              <w:t>0</w:t>
            </w:r>
            <w:r w:rsidR="00674BF5" w:rsidRPr="002A677E">
              <w:t>540</w:t>
            </w:r>
          </w:p>
        </w:tc>
        <w:tc>
          <w:tcPr>
            <w:tcW w:w="7049" w:type="dxa"/>
          </w:tcPr>
          <w:p w14:paraId="1A5AF416" w14:textId="77777777" w:rsidR="00674BF5" w:rsidRPr="002A677E" w:rsidRDefault="00674BF5" w:rsidP="00B055FF">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2E52B3A7" w14:textId="4E8493DF" w:rsidR="00674BF5" w:rsidRPr="002A677E" w:rsidRDefault="00674BF5" w:rsidP="00B055FF">
            <w:pPr>
              <w:pStyle w:val="InstructionsText"/>
            </w:pPr>
            <w:r w:rsidRPr="002A677E">
              <w:t xml:space="preserve">Article 59 </w:t>
            </w:r>
            <w:r w:rsidR="00985B99" w:rsidRPr="001235ED">
              <w:rPr>
                <w:lang w:val="en-US"/>
              </w:rPr>
              <w:t>of Regulation (EU) No 575/2013</w:t>
            </w:r>
          </w:p>
          <w:p w14:paraId="35C2E855" w14:textId="7CEF55BD" w:rsidR="00674BF5" w:rsidRPr="002A677E" w:rsidRDefault="0049092A" w:rsidP="00B055FF">
            <w:pPr>
              <w:pStyle w:val="InstructionsText"/>
            </w:pPr>
            <w:r w:rsidRPr="002A677E">
              <w:t>Article 59</w:t>
            </w:r>
            <w:r w:rsidR="00B83DDE">
              <w:t>, p</w:t>
            </w:r>
            <w:r w:rsidR="00674BF5" w:rsidRPr="002A677E">
              <w:t>oint (a)</w:t>
            </w:r>
            <w:r w:rsidR="00CF5957">
              <w:t>,</w:t>
            </w:r>
            <w:r w:rsidR="00674BF5"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D938033" w14:textId="77777777" w:rsidTr="00674BF5">
        <w:tc>
          <w:tcPr>
            <w:tcW w:w="1474" w:type="dxa"/>
          </w:tcPr>
          <w:p w14:paraId="71CBD8BD" w14:textId="77777777" w:rsidR="00674BF5" w:rsidRPr="002A677E" w:rsidRDefault="00754ADC" w:rsidP="00B055FF">
            <w:pPr>
              <w:pStyle w:val="InstructionsText"/>
            </w:pPr>
            <w:r w:rsidRPr="002A677E">
              <w:t>0</w:t>
            </w:r>
            <w:r w:rsidR="00674BF5" w:rsidRPr="002A677E">
              <w:t>550</w:t>
            </w:r>
          </w:p>
        </w:tc>
        <w:tc>
          <w:tcPr>
            <w:tcW w:w="7049" w:type="dxa"/>
          </w:tcPr>
          <w:p w14:paraId="3446C35F" w14:textId="77777777" w:rsidR="00674BF5" w:rsidRPr="002A677E" w:rsidRDefault="00674BF5" w:rsidP="00B055FF">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19C1DEF8" w14:textId="7A1275FC" w:rsidR="00674BF5" w:rsidRPr="002A677E" w:rsidRDefault="00674BF5" w:rsidP="00B055FF">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5B7A4C" w14:textId="77777777" w:rsidTr="00674BF5">
        <w:tc>
          <w:tcPr>
            <w:tcW w:w="1474" w:type="dxa"/>
          </w:tcPr>
          <w:p w14:paraId="5EA9EF87" w14:textId="77777777" w:rsidR="00674BF5" w:rsidRPr="002A677E" w:rsidRDefault="00754ADC" w:rsidP="00B055FF">
            <w:pPr>
              <w:pStyle w:val="InstructionsText"/>
            </w:pPr>
            <w:r w:rsidRPr="002A677E">
              <w:t>0</w:t>
            </w:r>
            <w:r w:rsidR="00674BF5" w:rsidRPr="002A677E">
              <w:t>560</w:t>
            </w:r>
          </w:p>
        </w:tc>
        <w:tc>
          <w:tcPr>
            <w:tcW w:w="7049" w:type="dxa"/>
          </w:tcPr>
          <w:p w14:paraId="3857076D" w14:textId="77777777" w:rsidR="00674BF5" w:rsidRPr="002A677E" w:rsidRDefault="00674BF5" w:rsidP="00B055FF">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DC4C453" w14:textId="76F7C40D" w:rsidR="00674BF5" w:rsidRPr="002A677E" w:rsidRDefault="0049092A" w:rsidP="00B055FF">
            <w:pPr>
              <w:pStyle w:val="InstructionsText"/>
            </w:pPr>
            <w:r w:rsidRPr="002A677E">
              <w:t>Article 4(1)</w:t>
            </w:r>
            <w:r w:rsidR="00B83DDE">
              <w:t>, p</w:t>
            </w:r>
            <w:r w:rsidRPr="002A677E">
              <w:t>oint (114)</w:t>
            </w:r>
            <w:r w:rsidR="00FF1617">
              <w:t>,</w:t>
            </w:r>
            <w:r w:rsidR="00674BF5" w:rsidRPr="002A677E">
              <w:t xml:space="preserve"> and Articles 58 and 59 </w:t>
            </w:r>
            <w:r w:rsidR="00985B99" w:rsidRPr="001235ED">
              <w:rPr>
                <w:lang w:val="en-US"/>
              </w:rPr>
              <w:t>of Regulation (EU) No 575/2013</w:t>
            </w:r>
          </w:p>
          <w:p w14:paraId="00AC9B4B" w14:textId="77777777" w:rsidR="00674BF5" w:rsidRPr="002A677E" w:rsidRDefault="00674BF5" w:rsidP="00B055FF">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8CE3887" w14:textId="1FE7B656" w:rsidR="00674BF5" w:rsidRPr="002A677E" w:rsidRDefault="00674BF5" w:rsidP="00B055FF">
            <w:pPr>
              <w:pStyle w:val="InstructionsText"/>
            </w:pPr>
            <w:r w:rsidRPr="002A677E">
              <w:t>Holdings which are treated as reciprocal cross holdings in accordance with 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7D4114F" w14:textId="77777777" w:rsidTr="00674BF5">
        <w:tc>
          <w:tcPr>
            <w:tcW w:w="1474" w:type="dxa"/>
          </w:tcPr>
          <w:p w14:paraId="426F802A" w14:textId="77777777" w:rsidR="00674BF5" w:rsidRPr="002A677E" w:rsidRDefault="00754ADC" w:rsidP="00B055FF">
            <w:pPr>
              <w:pStyle w:val="InstructionsText"/>
            </w:pPr>
            <w:r w:rsidRPr="002A677E">
              <w:t>0</w:t>
            </w:r>
            <w:r w:rsidR="00674BF5" w:rsidRPr="002A677E">
              <w:t>570</w:t>
            </w:r>
          </w:p>
        </w:tc>
        <w:tc>
          <w:tcPr>
            <w:tcW w:w="7049" w:type="dxa"/>
          </w:tcPr>
          <w:p w14:paraId="4A949AD5" w14:textId="77777777" w:rsidR="00674BF5" w:rsidRPr="002A677E" w:rsidRDefault="00674BF5" w:rsidP="00B055FF">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204B379" w14:textId="6FB9278C" w:rsidR="00674BF5" w:rsidRPr="002A677E" w:rsidRDefault="0049092A" w:rsidP="00B055FF">
            <w:pPr>
              <w:pStyle w:val="InstructionsText"/>
            </w:pPr>
            <w:r w:rsidRPr="002A677E">
              <w:t>Article 4(1)</w:t>
            </w:r>
            <w:r w:rsidR="00B83DDE">
              <w:t>, p</w:t>
            </w:r>
            <w:r w:rsidRPr="002A677E">
              <w:t>oint (114)</w:t>
            </w:r>
            <w:r w:rsidR="00FF1617">
              <w:t>,</w:t>
            </w:r>
            <w:r w:rsidRPr="002A677E">
              <w:t xml:space="preserve"> </w:t>
            </w:r>
            <w:r w:rsidR="00674BF5" w:rsidRPr="002A677E">
              <w:t xml:space="preserve">and Article 59 </w:t>
            </w:r>
            <w:r w:rsidR="00985B99" w:rsidRPr="001235ED">
              <w:rPr>
                <w:lang w:val="en-US"/>
              </w:rPr>
              <w:t>of Regulation (EU) No 575/2013</w:t>
            </w:r>
          </w:p>
          <w:p w14:paraId="4965F77B" w14:textId="1C7F55ED" w:rsidR="00674BF5" w:rsidRPr="002A677E" w:rsidRDefault="00674BF5" w:rsidP="00B055FF">
            <w:pPr>
              <w:pStyle w:val="InstructionsText"/>
            </w:pPr>
            <w:r w:rsidRPr="002A677E">
              <w:t>Article 59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 xml:space="preserve">date of the short is either the same or later than the maturity </w:t>
            </w:r>
            <w:r w:rsidR="00922F04" w:rsidRPr="002A677E">
              <w:lastRenderedPageBreak/>
              <w:t>date of the long position or the residual maturity of the short position is at least one year.</w:t>
            </w:r>
          </w:p>
        </w:tc>
      </w:tr>
      <w:tr w:rsidR="00674BF5" w:rsidRPr="002A677E" w14:paraId="3930E4FE" w14:textId="77777777" w:rsidTr="00674BF5">
        <w:tc>
          <w:tcPr>
            <w:tcW w:w="1474" w:type="dxa"/>
          </w:tcPr>
          <w:p w14:paraId="4DA8E58E" w14:textId="77777777" w:rsidR="00674BF5" w:rsidRPr="002A677E" w:rsidRDefault="00754ADC" w:rsidP="00B055FF">
            <w:pPr>
              <w:pStyle w:val="InstructionsText"/>
            </w:pPr>
            <w:r w:rsidRPr="002A677E">
              <w:lastRenderedPageBreak/>
              <w:t>0</w:t>
            </w:r>
            <w:r w:rsidR="00674BF5" w:rsidRPr="002A677E">
              <w:t>571</w:t>
            </w:r>
          </w:p>
        </w:tc>
        <w:tc>
          <w:tcPr>
            <w:tcW w:w="7049" w:type="dxa"/>
          </w:tcPr>
          <w:p w14:paraId="637B5AF7" w14:textId="77777777" w:rsidR="00674BF5" w:rsidRPr="002A677E" w:rsidRDefault="00674BF5" w:rsidP="00B055FF">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0E5DA288" w14:textId="2D2F10A2" w:rsidR="00674BF5" w:rsidRPr="002A677E" w:rsidRDefault="00674BF5" w:rsidP="00B055FF">
            <w:pPr>
              <w:pStyle w:val="InstructionsText"/>
              <w:rPr>
                <w:rStyle w:val="InstructionsTabelleberschrift"/>
                <w:rFonts w:ascii="Times New Roman" w:hAnsi="Times New Roman"/>
                <w:b w:val="0"/>
                <w:bCs w:val="0"/>
                <w:sz w:val="24"/>
                <w:u w:val="none"/>
              </w:rPr>
            </w:pPr>
            <w:r w:rsidRPr="002A677E">
              <w:t>Article 4(1)</w:t>
            </w:r>
            <w:r w:rsidR="00B83DDE">
              <w:t>, p</w:t>
            </w:r>
            <w:r w:rsidR="002E796C" w:rsidRPr="002A677E">
              <w:t>oint (126)</w:t>
            </w:r>
            <w:r w:rsidR="00FF1617">
              <w:t>,</w:t>
            </w:r>
            <w:r w:rsidR="002E796C" w:rsidRPr="002A677E">
              <w:t xml:space="preserve"> </w:t>
            </w:r>
            <w:r w:rsidRPr="002A677E">
              <w:t xml:space="preserve">and Articles 58 and 59 </w:t>
            </w:r>
            <w:r w:rsidR="00985B99" w:rsidRPr="001235ED">
              <w:rPr>
                <w:lang w:val="en-US"/>
              </w:rPr>
              <w:t>of Regulation (EU) No 575/2013</w:t>
            </w:r>
          </w:p>
        </w:tc>
      </w:tr>
      <w:tr w:rsidR="00674BF5" w:rsidRPr="002A677E" w14:paraId="13B53680" w14:textId="77777777" w:rsidTr="00674BF5">
        <w:tc>
          <w:tcPr>
            <w:tcW w:w="1474" w:type="dxa"/>
          </w:tcPr>
          <w:p w14:paraId="23CDB6D9" w14:textId="77777777" w:rsidR="00674BF5" w:rsidRPr="002A677E" w:rsidRDefault="00754ADC" w:rsidP="00B055FF">
            <w:pPr>
              <w:pStyle w:val="InstructionsText"/>
            </w:pPr>
            <w:r w:rsidRPr="002A677E">
              <w:t>0</w:t>
            </w:r>
            <w:r w:rsidR="00674BF5" w:rsidRPr="002A677E">
              <w:t>572</w:t>
            </w:r>
          </w:p>
        </w:tc>
        <w:tc>
          <w:tcPr>
            <w:tcW w:w="7049" w:type="dxa"/>
          </w:tcPr>
          <w:p w14:paraId="25EC5CC1" w14:textId="77777777" w:rsidR="00674BF5" w:rsidRPr="002A677E" w:rsidRDefault="00674BF5" w:rsidP="00B055FF">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77AF1B3F" w14:textId="019DEA8D" w:rsidR="00674BF5" w:rsidRPr="002A677E" w:rsidRDefault="002E796C" w:rsidP="00B055FF">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Pr="001235ED">
              <w:t xml:space="preserve"> </w:t>
            </w:r>
            <w:r w:rsidR="00674BF5" w:rsidRPr="002A677E">
              <w:t xml:space="preserve">and Articles 58 and 59 </w:t>
            </w:r>
            <w:r w:rsidR="00985B99" w:rsidRPr="001235ED">
              <w:rPr>
                <w:lang w:val="en-US"/>
              </w:rPr>
              <w:t>of Regulation (EU) No 575/2013</w:t>
            </w:r>
          </w:p>
        </w:tc>
      </w:tr>
      <w:tr w:rsidR="00674BF5" w:rsidRPr="002A677E" w14:paraId="715A91A4" w14:textId="77777777" w:rsidTr="00674BF5">
        <w:tc>
          <w:tcPr>
            <w:tcW w:w="1474" w:type="dxa"/>
          </w:tcPr>
          <w:p w14:paraId="29F894A8" w14:textId="77777777" w:rsidR="00674BF5" w:rsidRPr="002A677E" w:rsidRDefault="00754ADC" w:rsidP="00B055FF">
            <w:pPr>
              <w:pStyle w:val="InstructionsText"/>
            </w:pPr>
            <w:r w:rsidRPr="002A677E">
              <w:t>0</w:t>
            </w:r>
            <w:r w:rsidR="00674BF5" w:rsidRPr="002A677E">
              <w:t>573</w:t>
            </w:r>
          </w:p>
        </w:tc>
        <w:tc>
          <w:tcPr>
            <w:tcW w:w="7049" w:type="dxa"/>
          </w:tcPr>
          <w:p w14:paraId="406BC7CC" w14:textId="77777777" w:rsidR="00674BF5" w:rsidRPr="002A677E" w:rsidRDefault="00674BF5" w:rsidP="00B055FF">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1DCC3FD" w14:textId="223BD294" w:rsidR="00674BF5" w:rsidRPr="002A677E" w:rsidRDefault="002E796C" w:rsidP="00B055FF">
            <w:pPr>
              <w:pStyle w:val="InstructionsText"/>
            </w:pPr>
            <w:r w:rsidRPr="002A677E">
              <w:t>Article 4(1)</w:t>
            </w:r>
            <w:r w:rsidR="00B83DDE">
              <w:t>, p</w:t>
            </w:r>
            <w:r w:rsidRPr="002A677E">
              <w:t>oint (126)</w:t>
            </w:r>
            <w:r w:rsidR="00FF1617">
              <w:t>,</w:t>
            </w:r>
            <w:r w:rsidRPr="002A677E">
              <w:t xml:space="preserve"> </w:t>
            </w:r>
            <w:r w:rsidR="00674BF5" w:rsidRPr="002A677E">
              <w:t xml:space="preserve">and Article 59 </w:t>
            </w:r>
            <w:r w:rsidR="00985B99" w:rsidRPr="001235ED">
              <w:rPr>
                <w:lang w:val="en-US"/>
              </w:rPr>
              <w:t>of Regulation (EU) No 575/2013</w:t>
            </w:r>
            <w:r w:rsidR="002D31E5" w:rsidRPr="002A677E">
              <w:t>.</w:t>
            </w:r>
          </w:p>
          <w:p w14:paraId="0D578373" w14:textId="1A291C36" w:rsidR="002D31E5" w:rsidRPr="002A677E" w:rsidRDefault="002E796C" w:rsidP="00B055FF">
            <w:pPr>
              <w:pStyle w:val="InstructionsText"/>
              <w:rPr>
                <w:rStyle w:val="InstructionsTabelleberschrift"/>
                <w:rFonts w:ascii="Times New Roman" w:hAnsi="Times New Roman"/>
                <w:b w:val="0"/>
                <w:bCs w:val="0"/>
                <w:sz w:val="24"/>
                <w:u w:val="none"/>
              </w:rPr>
            </w:pPr>
            <w:r w:rsidRPr="001235ED">
              <w:t>Article 59</w:t>
            </w:r>
            <w:r w:rsidR="00B83DDE">
              <w:t>, p</w:t>
            </w:r>
            <w:r w:rsidRPr="001235ED">
              <w:t>oint (a)</w:t>
            </w:r>
            <w:r w:rsidR="00985B99" w:rsidRPr="001235ED">
              <w:rPr>
                <w:lang w:val="en-US"/>
              </w:rPr>
              <w:t xml:space="preserve">of Regulation (EU) No 575/2013 </w:t>
            </w:r>
            <w:r w:rsidR="002D31E5"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70669741" w14:textId="77777777" w:rsidTr="00674BF5">
        <w:tc>
          <w:tcPr>
            <w:tcW w:w="1474" w:type="dxa"/>
          </w:tcPr>
          <w:p w14:paraId="3A92409F" w14:textId="77777777" w:rsidR="00674BF5" w:rsidRPr="002A677E" w:rsidRDefault="00754ADC" w:rsidP="00B055FF">
            <w:pPr>
              <w:pStyle w:val="InstructionsText"/>
            </w:pPr>
            <w:r w:rsidRPr="002A677E">
              <w:t>0</w:t>
            </w:r>
            <w:r w:rsidR="00674BF5" w:rsidRPr="002A677E">
              <w:t>580</w:t>
            </w:r>
          </w:p>
        </w:tc>
        <w:tc>
          <w:tcPr>
            <w:tcW w:w="7049" w:type="dxa"/>
          </w:tcPr>
          <w:p w14:paraId="17C5EEA7" w14:textId="77777777" w:rsidR="00674BF5" w:rsidRPr="002A677E" w:rsidRDefault="00674BF5" w:rsidP="00B055FF">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1F613CCF" w14:textId="2477AC9C" w:rsidR="00674BF5" w:rsidRPr="002A677E" w:rsidRDefault="00674BF5" w:rsidP="00B055FF">
            <w:pPr>
              <w:pStyle w:val="InstructionsText"/>
            </w:pPr>
            <w:r w:rsidRPr="002A677E">
              <w:t xml:space="preserve">Articles 68 and 69 </w:t>
            </w:r>
            <w:r w:rsidR="00985B99" w:rsidRPr="001235ED">
              <w:rPr>
                <w:lang w:val="en-US"/>
              </w:rPr>
              <w:t>of Regulation (EU) No 575/2013</w:t>
            </w:r>
          </w:p>
        </w:tc>
      </w:tr>
      <w:tr w:rsidR="00674BF5" w:rsidRPr="002A677E" w14:paraId="0FE5B262" w14:textId="77777777" w:rsidTr="00674BF5">
        <w:tc>
          <w:tcPr>
            <w:tcW w:w="1474" w:type="dxa"/>
          </w:tcPr>
          <w:p w14:paraId="2AC59273" w14:textId="77777777" w:rsidR="00674BF5" w:rsidRPr="002A677E" w:rsidRDefault="00754ADC" w:rsidP="00B055FF">
            <w:pPr>
              <w:pStyle w:val="InstructionsText"/>
            </w:pPr>
            <w:r w:rsidRPr="002A677E">
              <w:t>0</w:t>
            </w:r>
            <w:r w:rsidR="00674BF5" w:rsidRPr="002A677E">
              <w:t>590</w:t>
            </w:r>
          </w:p>
        </w:tc>
        <w:tc>
          <w:tcPr>
            <w:tcW w:w="7049" w:type="dxa"/>
          </w:tcPr>
          <w:p w14:paraId="789006BD" w14:textId="77777777" w:rsidR="00674BF5" w:rsidRPr="002A677E" w:rsidRDefault="00674BF5" w:rsidP="00B055FF">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485F6D02" w14:textId="1E25A282" w:rsidR="00674BF5" w:rsidRPr="002A677E" w:rsidRDefault="00674BF5" w:rsidP="00B055FF">
            <w:pPr>
              <w:pStyle w:val="InstructionsText"/>
            </w:pPr>
            <w:r w:rsidRPr="002A677E">
              <w:t xml:space="preserve">Articles 68 and 69 </w:t>
            </w:r>
            <w:r w:rsidR="00985B99" w:rsidRPr="001235ED">
              <w:rPr>
                <w:lang w:val="en-US"/>
              </w:rPr>
              <w:t>of Regulation (EU) No 575/2013</w:t>
            </w:r>
          </w:p>
        </w:tc>
      </w:tr>
      <w:tr w:rsidR="00674BF5" w:rsidRPr="002A677E" w14:paraId="7B40985A" w14:textId="77777777" w:rsidTr="00674BF5">
        <w:tc>
          <w:tcPr>
            <w:tcW w:w="1474" w:type="dxa"/>
          </w:tcPr>
          <w:p w14:paraId="79F9061B" w14:textId="77777777" w:rsidR="00674BF5" w:rsidRPr="002A677E" w:rsidRDefault="00754ADC" w:rsidP="00B055FF">
            <w:pPr>
              <w:pStyle w:val="InstructionsText"/>
            </w:pPr>
            <w:r w:rsidRPr="002A677E">
              <w:t>0</w:t>
            </w:r>
            <w:r w:rsidR="00674BF5" w:rsidRPr="002A677E">
              <w:t>600</w:t>
            </w:r>
          </w:p>
        </w:tc>
        <w:tc>
          <w:tcPr>
            <w:tcW w:w="7049" w:type="dxa"/>
          </w:tcPr>
          <w:p w14:paraId="616C35F7" w14:textId="77777777" w:rsidR="00674BF5" w:rsidRPr="002A677E" w:rsidRDefault="00674BF5" w:rsidP="00B055FF">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F5F1DD3" w14:textId="24D813CB" w:rsidR="00674BF5" w:rsidRPr="002A677E" w:rsidRDefault="00674BF5" w:rsidP="00B055FF">
            <w:pPr>
              <w:pStyle w:val="InstructionsText"/>
            </w:pPr>
            <w:r w:rsidRPr="002A677E">
              <w:t xml:space="preserve">Article 68 </w:t>
            </w:r>
            <w:r w:rsidR="00985B99" w:rsidRPr="001235ED">
              <w:rPr>
                <w:lang w:val="en-US"/>
              </w:rPr>
              <w:t>of Regulation (EU) No 575/2013</w:t>
            </w:r>
          </w:p>
          <w:p w14:paraId="4F07DA01" w14:textId="77777777" w:rsidR="00674BF5" w:rsidRPr="002A677E" w:rsidRDefault="00674BF5" w:rsidP="00B055FF">
            <w:pPr>
              <w:pStyle w:val="InstructionsText"/>
            </w:pPr>
            <w:r w:rsidRPr="002A677E">
              <w:t>Direct holdings of T2 capital of financial sector entities where the institution has a significant investment, excluding:</w:t>
            </w:r>
          </w:p>
          <w:p w14:paraId="7B433499" w14:textId="58805A5C" w:rsidR="00674BF5" w:rsidRPr="002A677E" w:rsidRDefault="00674BF5" w:rsidP="00B055FF">
            <w:pPr>
              <w:pStyle w:val="InstructionsText"/>
            </w:pPr>
            <w:r w:rsidRPr="002A677E">
              <w:t>a)</w:t>
            </w:r>
            <w:r w:rsidRPr="002A677E">
              <w:tab/>
              <w:t>Underwriting positions held for 5 working days or fewer (Article 66</w:t>
            </w:r>
            <w:r w:rsidR="00B83DDE">
              <w:t>, p</w:t>
            </w:r>
            <w:r w:rsidR="002E796C" w:rsidRPr="002A677E">
              <w:t>oint (d)</w:t>
            </w:r>
            <w:r w:rsidR="00BE1277">
              <w:t>,</w:t>
            </w:r>
            <w:r w:rsidR="002E796C" w:rsidRPr="002A677E">
              <w:t xml:space="preserve"> </w:t>
            </w:r>
            <w:r w:rsidR="00985B99" w:rsidRPr="001235ED">
              <w:rPr>
                <w:lang w:val="en-US"/>
              </w:rPr>
              <w:t>of Regulation (EU) No 575/2013</w:t>
            </w:r>
            <w:r w:rsidRPr="002A677E">
              <w:t xml:space="preserve">); and </w:t>
            </w:r>
          </w:p>
          <w:p w14:paraId="5C45C26C" w14:textId="04927DC4" w:rsidR="00674BF5" w:rsidRPr="002A677E" w:rsidRDefault="00674BF5" w:rsidP="00B055FF">
            <w:pPr>
              <w:pStyle w:val="InstructionsText"/>
            </w:pPr>
            <w:r w:rsidRPr="002A677E">
              <w:t>b)</w:t>
            </w:r>
            <w:r w:rsidRPr="002A677E">
              <w:tab/>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08928553" w14:textId="77777777" w:rsidTr="00674BF5">
        <w:tc>
          <w:tcPr>
            <w:tcW w:w="1474" w:type="dxa"/>
          </w:tcPr>
          <w:p w14:paraId="78219CD8" w14:textId="77777777" w:rsidR="00674BF5" w:rsidRPr="002A677E" w:rsidRDefault="00754ADC" w:rsidP="00B055FF">
            <w:pPr>
              <w:pStyle w:val="InstructionsText"/>
            </w:pPr>
            <w:r w:rsidRPr="002A677E">
              <w:t>0</w:t>
            </w:r>
            <w:r w:rsidR="00674BF5" w:rsidRPr="002A677E">
              <w:t>610</w:t>
            </w:r>
          </w:p>
        </w:tc>
        <w:tc>
          <w:tcPr>
            <w:tcW w:w="7049" w:type="dxa"/>
          </w:tcPr>
          <w:p w14:paraId="3C8AF6E4" w14:textId="77777777" w:rsidR="00674BF5" w:rsidRPr="002A677E" w:rsidRDefault="00674BF5" w:rsidP="00B055FF">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3A2E5C60" w14:textId="2693AAEE" w:rsidR="00674BF5" w:rsidRPr="002A677E" w:rsidRDefault="00674BF5" w:rsidP="00B055FF">
            <w:pPr>
              <w:pStyle w:val="InstructionsText"/>
            </w:pPr>
            <w:r w:rsidRPr="002A677E">
              <w:t xml:space="preserve">Article 69 </w:t>
            </w:r>
            <w:r w:rsidR="00985B99" w:rsidRPr="001235ED">
              <w:rPr>
                <w:lang w:val="en-US"/>
              </w:rPr>
              <w:t>of Regulation (EU) No 575/2013</w:t>
            </w:r>
          </w:p>
          <w:p w14:paraId="1F9A96A9" w14:textId="084C7281" w:rsidR="00674BF5" w:rsidRPr="002A677E" w:rsidRDefault="00674BF5" w:rsidP="00B055FF">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 xml:space="preserve">date of the short is either the same or later than the maturity </w:t>
            </w:r>
            <w:r w:rsidR="00922F04" w:rsidRPr="002A677E">
              <w:lastRenderedPageBreak/>
              <w:t>date of the long position or the residual maturity of the short position is at least one year.</w:t>
            </w:r>
          </w:p>
        </w:tc>
      </w:tr>
      <w:tr w:rsidR="00674BF5" w:rsidRPr="002A677E" w14:paraId="2E906DD8" w14:textId="77777777" w:rsidTr="00674BF5">
        <w:tc>
          <w:tcPr>
            <w:tcW w:w="1474" w:type="dxa"/>
          </w:tcPr>
          <w:p w14:paraId="78116FE8" w14:textId="77777777" w:rsidR="00674BF5" w:rsidRPr="002A677E" w:rsidRDefault="00754ADC" w:rsidP="00B055FF">
            <w:pPr>
              <w:pStyle w:val="InstructionsText"/>
            </w:pPr>
            <w:r w:rsidRPr="002A677E">
              <w:lastRenderedPageBreak/>
              <w:t>0</w:t>
            </w:r>
            <w:r w:rsidR="00674BF5" w:rsidRPr="002A677E">
              <w:t>620</w:t>
            </w:r>
          </w:p>
        </w:tc>
        <w:tc>
          <w:tcPr>
            <w:tcW w:w="7049" w:type="dxa"/>
          </w:tcPr>
          <w:p w14:paraId="4FFEFE4F" w14:textId="77777777" w:rsidR="00674BF5" w:rsidRPr="002A677E" w:rsidRDefault="00674BF5" w:rsidP="00B055FF">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46EED40" w14:textId="61BE91EE" w:rsidR="00674BF5" w:rsidRPr="002A677E" w:rsidRDefault="0049092A" w:rsidP="00B055FF">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tc>
      </w:tr>
      <w:tr w:rsidR="00674BF5" w:rsidRPr="002A677E" w14:paraId="78873A55" w14:textId="77777777" w:rsidTr="00674BF5">
        <w:tc>
          <w:tcPr>
            <w:tcW w:w="1474" w:type="dxa"/>
          </w:tcPr>
          <w:p w14:paraId="75D2B6C8" w14:textId="77777777" w:rsidR="00674BF5" w:rsidRPr="002A677E" w:rsidRDefault="00754ADC" w:rsidP="00B055FF">
            <w:pPr>
              <w:pStyle w:val="InstructionsText"/>
            </w:pPr>
            <w:r w:rsidRPr="002A677E">
              <w:t>0</w:t>
            </w:r>
            <w:r w:rsidR="00674BF5" w:rsidRPr="002A677E">
              <w:t>630</w:t>
            </w:r>
          </w:p>
        </w:tc>
        <w:tc>
          <w:tcPr>
            <w:tcW w:w="7049" w:type="dxa"/>
          </w:tcPr>
          <w:p w14:paraId="2FBB0327" w14:textId="77777777" w:rsidR="00674BF5" w:rsidRPr="002A677E" w:rsidRDefault="00674BF5" w:rsidP="00B055FF">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3474C99C" w14:textId="66F14621" w:rsidR="00674BF5" w:rsidRPr="002A677E" w:rsidRDefault="0049092A" w:rsidP="00B055FF">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7F67225C" w14:textId="77777777" w:rsidR="00674BF5" w:rsidRPr="002A677E" w:rsidRDefault="00674BF5" w:rsidP="00B055FF">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329E2892" w14:textId="028F5FCE" w:rsidR="00674BF5" w:rsidRPr="002A677E" w:rsidRDefault="00674BF5" w:rsidP="00B055FF">
            <w:pPr>
              <w:pStyle w:val="InstructionsText"/>
            </w:pPr>
            <w:r w:rsidRPr="002A677E">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E5CB9DD" w14:textId="77777777" w:rsidTr="00674BF5">
        <w:tc>
          <w:tcPr>
            <w:tcW w:w="1474" w:type="dxa"/>
          </w:tcPr>
          <w:p w14:paraId="76D5D226" w14:textId="77777777" w:rsidR="00674BF5" w:rsidRPr="002A677E" w:rsidRDefault="00754ADC" w:rsidP="00B055FF">
            <w:pPr>
              <w:pStyle w:val="InstructionsText"/>
            </w:pPr>
            <w:r w:rsidRPr="002A677E">
              <w:t>0</w:t>
            </w:r>
            <w:r w:rsidR="00674BF5" w:rsidRPr="002A677E">
              <w:t>640</w:t>
            </w:r>
          </w:p>
        </w:tc>
        <w:tc>
          <w:tcPr>
            <w:tcW w:w="7049" w:type="dxa"/>
          </w:tcPr>
          <w:p w14:paraId="03EC0501" w14:textId="77777777" w:rsidR="00674BF5" w:rsidRPr="002A677E" w:rsidRDefault="00674BF5" w:rsidP="00B055FF">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10889AF5" w14:textId="362C1644" w:rsidR="00674BF5" w:rsidRPr="002A677E" w:rsidRDefault="0049092A" w:rsidP="00B055FF">
            <w:pPr>
              <w:pStyle w:val="InstructionsText"/>
            </w:pPr>
            <w:r w:rsidRPr="002A677E">
              <w:t>Article 4(1)</w:t>
            </w:r>
            <w:r w:rsidR="00B83DDE">
              <w:t>, p</w:t>
            </w:r>
            <w:r w:rsidRPr="002A677E">
              <w:t>oint (114)</w:t>
            </w:r>
            <w:r w:rsidR="00FF1617">
              <w:t>,</w:t>
            </w:r>
            <w:r w:rsidR="00674BF5" w:rsidRPr="002A677E">
              <w:t xml:space="preserve"> and Article 69 </w:t>
            </w:r>
            <w:r w:rsidR="00985B99" w:rsidRPr="001235ED">
              <w:rPr>
                <w:lang w:val="en-US"/>
              </w:rPr>
              <w:t>of Regulation (EU) No 575/2013</w:t>
            </w:r>
          </w:p>
          <w:p w14:paraId="63AD6731" w14:textId="795A0359" w:rsidR="00674BF5" w:rsidRPr="002A677E" w:rsidRDefault="00674BF5" w:rsidP="00B055FF">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7C7E467E" w14:textId="77777777" w:rsidTr="00674BF5">
        <w:tc>
          <w:tcPr>
            <w:tcW w:w="1474" w:type="dxa"/>
          </w:tcPr>
          <w:p w14:paraId="16531ED1" w14:textId="77777777" w:rsidR="00674BF5" w:rsidRPr="002A677E" w:rsidRDefault="00754ADC" w:rsidP="00B055FF">
            <w:pPr>
              <w:pStyle w:val="InstructionsText"/>
            </w:pPr>
            <w:r w:rsidRPr="002A677E">
              <w:t>0</w:t>
            </w:r>
            <w:r w:rsidR="00674BF5" w:rsidRPr="002A677E">
              <w:t>641</w:t>
            </w:r>
          </w:p>
        </w:tc>
        <w:tc>
          <w:tcPr>
            <w:tcW w:w="7049" w:type="dxa"/>
            <w:vAlign w:val="center"/>
          </w:tcPr>
          <w:p w14:paraId="0DD1EF00" w14:textId="77777777" w:rsidR="00674BF5" w:rsidRPr="002A677E" w:rsidRDefault="00674BF5" w:rsidP="00B055FF">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49CA99E2" w14:textId="545EEF97" w:rsidR="00674BF5" w:rsidRPr="002A677E" w:rsidRDefault="002E796C" w:rsidP="00B055FF">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08FDBCB9" w14:textId="77777777" w:rsidTr="00674BF5">
        <w:tc>
          <w:tcPr>
            <w:tcW w:w="1474" w:type="dxa"/>
          </w:tcPr>
          <w:p w14:paraId="13635659" w14:textId="77777777" w:rsidR="00674BF5" w:rsidRPr="002A677E" w:rsidRDefault="00754ADC" w:rsidP="00B055FF">
            <w:pPr>
              <w:pStyle w:val="InstructionsText"/>
            </w:pPr>
            <w:r w:rsidRPr="002A677E">
              <w:t>0</w:t>
            </w:r>
            <w:r w:rsidR="00674BF5" w:rsidRPr="002A677E">
              <w:t>642</w:t>
            </w:r>
          </w:p>
        </w:tc>
        <w:tc>
          <w:tcPr>
            <w:tcW w:w="7049" w:type="dxa"/>
            <w:vAlign w:val="center"/>
          </w:tcPr>
          <w:p w14:paraId="64F4507F" w14:textId="77777777" w:rsidR="00674BF5" w:rsidRPr="002A677E" w:rsidRDefault="00674BF5" w:rsidP="00B055FF">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0BC112DF" w14:textId="591A593B" w:rsidR="00674BF5" w:rsidRPr="002A677E" w:rsidRDefault="002E796C" w:rsidP="00B055FF">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15BD4D78" w14:textId="77777777" w:rsidTr="00674BF5">
        <w:tc>
          <w:tcPr>
            <w:tcW w:w="1474" w:type="dxa"/>
          </w:tcPr>
          <w:p w14:paraId="093DB22B" w14:textId="77777777" w:rsidR="00674BF5" w:rsidRPr="002A677E" w:rsidRDefault="00754ADC" w:rsidP="00B055FF">
            <w:pPr>
              <w:pStyle w:val="InstructionsText"/>
            </w:pPr>
            <w:r w:rsidRPr="002A677E">
              <w:t>0</w:t>
            </w:r>
            <w:r w:rsidR="00674BF5" w:rsidRPr="002A677E">
              <w:t>643</w:t>
            </w:r>
          </w:p>
        </w:tc>
        <w:tc>
          <w:tcPr>
            <w:tcW w:w="7049" w:type="dxa"/>
            <w:vAlign w:val="center"/>
          </w:tcPr>
          <w:p w14:paraId="1EE8CE80" w14:textId="77777777" w:rsidR="00674BF5" w:rsidRPr="002A677E" w:rsidRDefault="00674BF5" w:rsidP="00B055FF">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6446C4C9" w14:textId="3875C46C" w:rsidR="00674BF5" w:rsidRPr="002A677E" w:rsidRDefault="002E796C" w:rsidP="00B055FF">
            <w:pPr>
              <w:pStyle w:val="InstructionsText"/>
            </w:pPr>
            <w:r w:rsidRPr="002A677E">
              <w:t>Article 4(1)</w:t>
            </w:r>
            <w:r w:rsidR="00B83DDE">
              <w:t>, p</w:t>
            </w:r>
            <w:r w:rsidRPr="002A677E">
              <w:t>oint (126)</w:t>
            </w:r>
            <w:r w:rsidR="00FF1617">
              <w:t>,</w:t>
            </w:r>
            <w:r w:rsidRPr="002A677E">
              <w:t xml:space="preserve"> </w:t>
            </w:r>
            <w:r w:rsidR="00674BF5" w:rsidRPr="002A677E">
              <w:t xml:space="preserve">and Article 69 </w:t>
            </w:r>
            <w:r w:rsidR="00985B99" w:rsidRPr="001235ED">
              <w:rPr>
                <w:lang w:val="en-US"/>
              </w:rPr>
              <w:t>of Regulation (EU) No 575/2013</w:t>
            </w:r>
            <w:r w:rsidR="002D31E5" w:rsidRPr="002A677E">
              <w:t>.</w:t>
            </w:r>
          </w:p>
          <w:p w14:paraId="09F84D62" w14:textId="7FAF3237" w:rsidR="002D31E5" w:rsidRPr="002A677E" w:rsidRDefault="002E796C" w:rsidP="00B055FF">
            <w:pPr>
              <w:pStyle w:val="InstructionsText"/>
              <w:rPr>
                <w:rStyle w:val="InstructionsTabelleberschrift"/>
                <w:rFonts w:ascii="Times New Roman" w:hAnsi="Times New Roman"/>
                <w:b w:val="0"/>
                <w:bCs w:val="0"/>
                <w:sz w:val="24"/>
                <w:u w:val="none"/>
              </w:rPr>
            </w:pPr>
            <w:r w:rsidRPr="001235ED">
              <w:t>Article 69</w:t>
            </w:r>
            <w:r w:rsidR="00B83DDE">
              <w:t>, p</w:t>
            </w:r>
            <w:r w:rsidRPr="001235ED">
              <w:t>oint (a)</w:t>
            </w:r>
            <w:r w:rsidR="00CF5957">
              <w:t>,</w:t>
            </w:r>
            <w:r w:rsidRPr="001235ED">
              <w:t xml:space="preserve"> </w:t>
            </w:r>
            <w:r w:rsidR="00985B99" w:rsidRPr="001235ED">
              <w:rPr>
                <w:lang w:val="en-US"/>
              </w:rPr>
              <w:t>of Regulation (EU) No 575/2013</w:t>
            </w:r>
            <w:r w:rsidR="00402284">
              <w:rPr>
                <w:lang w:val="en-US"/>
              </w:rPr>
              <w:t xml:space="preserve"> </w:t>
            </w:r>
            <w:r w:rsidR="002D31E5" w:rsidRPr="002A677E">
              <w:rPr>
                <w:rStyle w:val="InstructionsTabelleberschrift"/>
                <w:rFonts w:ascii="Times New Roman" w:hAnsi="Times New Roman"/>
                <w:b w:val="0"/>
                <w:sz w:val="24"/>
                <w:u w:val="none"/>
              </w:rPr>
              <w:t xml:space="preserve">allows offsetting short positions in the same underlying exposure provided the maturity date of the short position is either the same or later than the </w:t>
            </w:r>
            <w:r w:rsidR="002D31E5" w:rsidRPr="002A677E">
              <w:rPr>
                <w:rStyle w:val="InstructionsTabelleberschrift"/>
                <w:rFonts w:ascii="Times New Roman" w:hAnsi="Times New Roman"/>
                <w:b w:val="0"/>
                <w:sz w:val="24"/>
                <w:u w:val="none"/>
              </w:rPr>
              <w:lastRenderedPageBreak/>
              <w:t>maturity date of the long position or the residual maturity of the short position is at least one year.</w:t>
            </w:r>
          </w:p>
        </w:tc>
      </w:tr>
      <w:tr w:rsidR="00674BF5" w:rsidRPr="002A677E" w14:paraId="6FF47A12" w14:textId="77777777" w:rsidTr="00674BF5">
        <w:tc>
          <w:tcPr>
            <w:tcW w:w="1474" w:type="dxa"/>
          </w:tcPr>
          <w:p w14:paraId="1A51B629" w14:textId="77777777" w:rsidR="00674BF5" w:rsidRPr="002A677E" w:rsidRDefault="00754ADC" w:rsidP="00B055FF">
            <w:pPr>
              <w:pStyle w:val="InstructionsText"/>
            </w:pPr>
            <w:r w:rsidRPr="002A677E">
              <w:lastRenderedPageBreak/>
              <w:t>0</w:t>
            </w:r>
            <w:r w:rsidR="00674BF5" w:rsidRPr="002A677E">
              <w:t>650</w:t>
            </w:r>
          </w:p>
        </w:tc>
        <w:tc>
          <w:tcPr>
            <w:tcW w:w="7049" w:type="dxa"/>
          </w:tcPr>
          <w:p w14:paraId="4BC5F3E6" w14:textId="77777777" w:rsidR="00674BF5" w:rsidRPr="002A677E" w:rsidRDefault="00674BF5" w:rsidP="00B055FF">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042A9075" w14:textId="2A8564E9" w:rsidR="00674BF5" w:rsidRPr="002A677E" w:rsidRDefault="00674BF5" w:rsidP="00B055FF">
            <w:pPr>
              <w:pStyle w:val="InstructionsText"/>
            </w:pPr>
            <w:r w:rsidRPr="002A677E">
              <w:t xml:space="preserve">Articles 46(4), 48(4) and 49(4) </w:t>
            </w:r>
            <w:r w:rsidR="00985B99" w:rsidRPr="001235ED">
              <w:rPr>
                <w:lang w:val="en-US"/>
              </w:rPr>
              <w:t>of Regulation (EU) No 575/2013</w:t>
            </w:r>
          </w:p>
        </w:tc>
      </w:tr>
      <w:tr w:rsidR="00674BF5" w:rsidRPr="002A677E" w14:paraId="2E49EC51" w14:textId="77777777" w:rsidTr="00674BF5">
        <w:tc>
          <w:tcPr>
            <w:tcW w:w="1474" w:type="dxa"/>
          </w:tcPr>
          <w:p w14:paraId="10FBECC4" w14:textId="77777777" w:rsidR="00674BF5" w:rsidRPr="002A677E" w:rsidRDefault="00754ADC" w:rsidP="00B055FF">
            <w:pPr>
              <w:pStyle w:val="InstructionsText"/>
            </w:pPr>
            <w:r w:rsidRPr="002A677E">
              <w:t>0</w:t>
            </w:r>
            <w:r w:rsidR="00674BF5" w:rsidRPr="002A677E">
              <w:t>660</w:t>
            </w:r>
          </w:p>
        </w:tc>
        <w:tc>
          <w:tcPr>
            <w:tcW w:w="7049" w:type="dxa"/>
          </w:tcPr>
          <w:p w14:paraId="2BB6E828" w14:textId="77777777" w:rsidR="00674BF5" w:rsidRPr="002A677E" w:rsidRDefault="00674BF5" w:rsidP="00B055FF">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22F50EEA" w14:textId="5A7D0E38" w:rsidR="00674BF5" w:rsidRPr="002A677E" w:rsidRDefault="00674BF5" w:rsidP="00B055FF">
            <w:pPr>
              <w:pStyle w:val="InstructionsText"/>
            </w:pPr>
            <w:r w:rsidRPr="002A677E">
              <w:t xml:space="preserve">Article 60(4) </w:t>
            </w:r>
            <w:r w:rsidR="00985B99" w:rsidRPr="001235ED">
              <w:rPr>
                <w:lang w:val="en-US"/>
              </w:rPr>
              <w:t>of Regulation (EU) No 575/2013</w:t>
            </w:r>
          </w:p>
        </w:tc>
      </w:tr>
      <w:tr w:rsidR="00674BF5" w:rsidRPr="002A677E" w14:paraId="788FCBC0" w14:textId="77777777" w:rsidTr="00674BF5">
        <w:tc>
          <w:tcPr>
            <w:tcW w:w="1474" w:type="dxa"/>
          </w:tcPr>
          <w:p w14:paraId="64FBB9F0" w14:textId="77777777" w:rsidR="00674BF5" w:rsidRPr="002A677E" w:rsidRDefault="00754ADC" w:rsidP="00B055FF">
            <w:pPr>
              <w:pStyle w:val="InstructionsText"/>
            </w:pPr>
            <w:r w:rsidRPr="002A677E">
              <w:t>0</w:t>
            </w:r>
            <w:r w:rsidR="00674BF5" w:rsidRPr="002A677E">
              <w:t>670</w:t>
            </w:r>
          </w:p>
        </w:tc>
        <w:tc>
          <w:tcPr>
            <w:tcW w:w="7049" w:type="dxa"/>
          </w:tcPr>
          <w:p w14:paraId="28191636" w14:textId="77777777" w:rsidR="00674BF5" w:rsidRPr="002A677E" w:rsidRDefault="00674BF5" w:rsidP="00B055FF">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6575F047" w14:textId="0A975071" w:rsidR="00674BF5" w:rsidRPr="002A677E" w:rsidRDefault="00674BF5" w:rsidP="00B055FF">
            <w:pPr>
              <w:pStyle w:val="InstructionsText"/>
            </w:pPr>
            <w:r w:rsidRPr="002A677E">
              <w:t xml:space="preserve">Article 70(4) </w:t>
            </w:r>
            <w:r w:rsidR="00985B99" w:rsidRPr="001235ED">
              <w:rPr>
                <w:lang w:val="en-US"/>
              </w:rPr>
              <w:t>of Regulation (EU) No 575/2013</w:t>
            </w:r>
          </w:p>
        </w:tc>
      </w:tr>
      <w:tr w:rsidR="00674BF5" w:rsidRPr="002A677E" w14:paraId="1F3B2F17" w14:textId="77777777" w:rsidTr="00674BF5">
        <w:tc>
          <w:tcPr>
            <w:tcW w:w="1474" w:type="dxa"/>
          </w:tcPr>
          <w:p w14:paraId="3F887D89" w14:textId="77777777" w:rsidR="00674BF5" w:rsidRPr="002A677E" w:rsidRDefault="00754ADC" w:rsidP="00B055FF">
            <w:pPr>
              <w:pStyle w:val="InstructionsText"/>
            </w:pPr>
            <w:r w:rsidRPr="002A677E">
              <w:t>0</w:t>
            </w:r>
            <w:r w:rsidR="00674BF5" w:rsidRPr="002A677E">
              <w:t>680</w:t>
            </w:r>
          </w:p>
        </w:tc>
        <w:tc>
          <w:tcPr>
            <w:tcW w:w="7049" w:type="dxa"/>
          </w:tcPr>
          <w:p w14:paraId="7244C31D" w14:textId="77777777" w:rsidR="00674BF5" w:rsidRPr="002A677E" w:rsidRDefault="00674BF5" w:rsidP="00B055FF">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2FE2147" w14:textId="69F5A736" w:rsidR="00674BF5" w:rsidRPr="002A677E" w:rsidRDefault="00674BF5" w:rsidP="00B055FF">
            <w:pPr>
              <w:pStyle w:val="InstructionsText"/>
            </w:pPr>
            <w:r w:rsidRPr="002A677E">
              <w:t xml:space="preserve">Article 79 </w:t>
            </w:r>
            <w:r w:rsidR="00985B99" w:rsidRPr="001235ED">
              <w:rPr>
                <w:lang w:val="en-US"/>
              </w:rPr>
              <w:t>of Regulation (EU) No 575/2013</w:t>
            </w:r>
          </w:p>
          <w:p w14:paraId="7A4F7070" w14:textId="77777777" w:rsidR="00674BF5" w:rsidRPr="002A677E" w:rsidRDefault="00674BF5" w:rsidP="00B055FF">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4997C1C" w14:textId="77777777" w:rsidR="00674BF5" w:rsidRPr="002A677E" w:rsidRDefault="00674BF5" w:rsidP="00B055FF">
            <w:pPr>
              <w:pStyle w:val="InstructionsText"/>
            </w:pPr>
            <w:r w:rsidRPr="002A677E">
              <w:t>Note that those instruments shall also be reported on item 12.1.</w:t>
            </w:r>
          </w:p>
        </w:tc>
      </w:tr>
      <w:tr w:rsidR="00674BF5" w:rsidRPr="002A677E" w14:paraId="2EA1001D" w14:textId="77777777" w:rsidTr="00674BF5">
        <w:tc>
          <w:tcPr>
            <w:tcW w:w="1474" w:type="dxa"/>
          </w:tcPr>
          <w:p w14:paraId="3C8A54EE" w14:textId="77777777" w:rsidR="00674BF5" w:rsidRPr="002A677E" w:rsidRDefault="00754ADC" w:rsidP="00B055FF">
            <w:pPr>
              <w:pStyle w:val="InstructionsText"/>
            </w:pPr>
            <w:r w:rsidRPr="002A677E">
              <w:t>0</w:t>
            </w:r>
            <w:r w:rsidR="00674BF5" w:rsidRPr="002A677E">
              <w:t>690</w:t>
            </w:r>
          </w:p>
        </w:tc>
        <w:tc>
          <w:tcPr>
            <w:tcW w:w="7049" w:type="dxa"/>
          </w:tcPr>
          <w:p w14:paraId="21E9048E" w14:textId="77777777" w:rsidR="00674BF5" w:rsidRPr="002A677E" w:rsidRDefault="00674BF5" w:rsidP="00B055FF">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03608A1D" w14:textId="101CAA3F" w:rsidR="00674BF5" w:rsidRPr="002A677E" w:rsidRDefault="00674BF5" w:rsidP="00B055FF">
            <w:pPr>
              <w:pStyle w:val="InstructionsText"/>
            </w:pPr>
            <w:r w:rsidRPr="002A677E">
              <w:t xml:space="preserve">Article 79 </w:t>
            </w:r>
            <w:r w:rsidR="00985B99" w:rsidRPr="001235ED">
              <w:rPr>
                <w:lang w:val="en-US"/>
              </w:rPr>
              <w:t>of Regulation (EU) No 575/2013</w:t>
            </w:r>
          </w:p>
          <w:p w14:paraId="299F3BCD" w14:textId="77777777" w:rsidR="00674BF5" w:rsidRPr="002A677E" w:rsidRDefault="00674BF5" w:rsidP="00B055FF">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5CC5E2F7" w14:textId="77777777" w:rsidR="00674BF5" w:rsidRPr="002A677E" w:rsidRDefault="00674BF5" w:rsidP="00B055FF">
            <w:pPr>
              <w:pStyle w:val="InstructionsText"/>
            </w:pPr>
            <w:r w:rsidRPr="002A677E">
              <w:t>Note that those instruments shall also be reported on item 15.1.</w:t>
            </w:r>
          </w:p>
        </w:tc>
      </w:tr>
      <w:tr w:rsidR="00674BF5" w:rsidRPr="002A677E" w14:paraId="3A5C2135" w14:textId="77777777" w:rsidTr="00674BF5">
        <w:tc>
          <w:tcPr>
            <w:tcW w:w="1474" w:type="dxa"/>
          </w:tcPr>
          <w:p w14:paraId="718E1EF7" w14:textId="77777777" w:rsidR="00674BF5" w:rsidRPr="002A677E" w:rsidRDefault="00754ADC" w:rsidP="00B055FF">
            <w:pPr>
              <w:pStyle w:val="InstructionsText"/>
            </w:pPr>
            <w:r w:rsidRPr="002A677E">
              <w:t>0</w:t>
            </w:r>
            <w:r w:rsidR="00674BF5" w:rsidRPr="002A677E">
              <w:t>700</w:t>
            </w:r>
          </w:p>
        </w:tc>
        <w:tc>
          <w:tcPr>
            <w:tcW w:w="7049" w:type="dxa"/>
          </w:tcPr>
          <w:p w14:paraId="7446E00A" w14:textId="77777777" w:rsidR="00674BF5" w:rsidRPr="002A677E" w:rsidRDefault="00674BF5" w:rsidP="00B055FF">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E0DD8A4" w14:textId="36BBEE61" w:rsidR="00674BF5" w:rsidRPr="002A677E" w:rsidRDefault="00674BF5" w:rsidP="00B055FF">
            <w:pPr>
              <w:pStyle w:val="InstructionsText"/>
            </w:pPr>
            <w:r w:rsidRPr="002A677E">
              <w:t xml:space="preserve">Article 79 </w:t>
            </w:r>
            <w:r w:rsidR="00985B99" w:rsidRPr="001235ED">
              <w:rPr>
                <w:lang w:val="en-US"/>
              </w:rPr>
              <w:t>of Regulation (EU) No 575/2013</w:t>
            </w:r>
          </w:p>
          <w:p w14:paraId="543CF2E7" w14:textId="77777777" w:rsidR="00674BF5" w:rsidRPr="002A677E" w:rsidRDefault="00674BF5" w:rsidP="00B055FF">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13F7444" w14:textId="77777777" w:rsidR="00674BF5" w:rsidRPr="002A677E" w:rsidRDefault="00674BF5" w:rsidP="00B055FF">
            <w:pPr>
              <w:pStyle w:val="InstructionsText"/>
            </w:pPr>
            <w:r w:rsidRPr="002A677E">
              <w:lastRenderedPageBreak/>
              <w:t>Note that these instruments shall also be reported on item 13.1.</w:t>
            </w:r>
          </w:p>
        </w:tc>
      </w:tr>
      <w:tr w:rsidR="00674BF5" w:rsidRPr="002A677E" w14:paraId="1400A26C" w14:textId="77777777" w:rsidTr="00674BF5">
        <w:tc>
          <w:tcPr>
            <w:tcW w:w="1474" w:type="dxa"/>
          </w:tcPr>
          <w:p w14:paraId="7B72B32F" w14:textId="77777777" w:rsidR="00674BF5" w:rsidRPr="002A677E" w:rsidRDefault="00754ADC" w:rsidP="00B055FF">
            <w:pPr>
              <w:pStyle w:val="InstructionsText"/>
            </w:pPr>
            <w:r w:rsidRPr="002A677E">
              <w:lastRenderedPageBreak/>
              <w:t>0</w:t>
            </w:r>
            <w:r w:rsidR="00674BF5" w:rsidRPr="002A677E">
              <w:t>710</w:t>
            </w:r>
          </w:p>
        </w:tc>
        <w:tc>
          <w:tcPr>
            <w:tcW w:w="7049" w:type="dxa"/>
          </w:tcPr>
          <w:p w14:paraId="7A511678" w14:textId="77777777" w:rsidR="00674BF5" w:rsidRPr="002A677E" w:rsidRDefault="00674BF5" w:rsidP="00B055FF">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3D7F84D" w14:textId="62B4E19E" w:rsidR="00674BF5" w:rsidRPr="002A677E" w:rsidRDefault="00674BF5" w:rsidP="00B055FF">
            <w:pPr>
              <w:pStyle w:val="InstructionsText"/>
            </w:pPr>
            <w:r w:rsidRPr="002A677E">
              <w:t xml:space="preserve">Article 79 </w:t>
            </w:r>
            <w:r w:rsidR="00985B99" w:rsidRPr="001235ED">
              <w:rPr>
                <w:lang w:val="en-US"/>
              </w:rPr>
              <w:t>of Regulation (EU) No 575/2013</w:t>
            </w:r>
          </w:p>
          <w:p w14:paraId="5F5D5B71" w14:textId="77777777" w:rsidR="00674BF5" w:rsidRPr="002A677E" w:rsidRDefault="00674BF5" w:rsidP="00B055FF">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1B89E41B" w14:textId="77777777" w:rsidR="00674BF5" w:rsidRPr="002A677E" w:rsidRDefault="00674BF5" w:rsidP="00B055FF">
            <w:pPr>
              <w:pStyle w:val="InstructionsText"/>
            </w:pPr>
            <w:r w:rsidRPr="002A677E">
              <w:t>Note that these instruments shall also be reported on item 16.1.</w:t>
            </w:r>
          </w:p>
        </w:tc>
      </w:tr>
      <w:tr w:rsidR="00674BF5" w:rsidRPr="002A677E" w14:paraId="6A25A9C6" w14:textId="77777777" w:rsidTr="00674BF5">
        <w:tc>
          <w:tcPr>
            <w:tcW w:w="1474" w:type="dxa"/>
          </w:tcPr>
          <w:p w14:paraId="7763CF11" w14:textId="77777777" w:rsidR="00674BF5" w:rsidRPr="002A677E" w:rsidRDefault="00754ADC" w:rsidP="00B055FF">
            <w:pPr>
              <w:pStyle w:val="InstructionsText"/>
            </w:pPr>
            <w:r w:rsidRPr="002A677E">
              <w:t>0</w:t>
            </w:r>
            <w:r w:rsidR="00674BF5" w:rsidRPr="002A677E">
              <w:t>720</w:t>
            </w:r>
          </w:p>
        </w:tc>
        <w:tc>
          <w:tcPr>
            <w:tcW w:w="7049" w:type="dxa"/>
          </w:tcPr>
          <w:p w14:paraId="4B0BA41B" w14:textId="77777777" w:rsidR="00674BF5" w:rsidRPr="002A677E" w:rsidRDefault="00674BF5" w:rsidP="00B055FF">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8A36D10" w14:textId="50405732" w:rsidR="00674BF5" w:rsidRPr="002A677E" w:rsidRDefault="00674BF5" w:rsidP="00B055FF">
            <w:pPr>
              <w:pStyle w:val="InstructionsText"/>
            </w:pPr>
            <w:r w:rsidRPr="002A677E">
              <w:t xml:space="preserve">Article 79 </w:t>
            </w:r>
            <w:r w:rsidR="00985B99" w:rsidRPr="001235ED">
              <w:rPr>
                <w:lang w:val="en-US"/>
              </w:rPr>
              <w:t>of Regulation (EU) No 575/2013</w:t>
            </w:r>
          </w:p>
          <w:p w14:paraId="509BBCB4" w14:textId="77777777" w:rsidR="00674BF5" w:rsidRPr="002A677E" w:rsidRDefault="00674BF5" w:rsidP="00B055FF">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1A32095" w14:textId="77777777" w:rsidR="00674BF5" w:rsidRPr="002A677E" w:rsidRDefault="00674BF5" w:rsidP="00B055FF">
            <w:pPr>
              <w:pStyle w:val="InstructionsText"/>
            </w:pPr>
            <w:r w:rsidRPr="002A677E">
              <w:t>Note that those instruments shall also be reported on item 14.1.</w:t>
            </w:r>
          </w:p>
        </w:tc>
      </w:tr>
      <w:tr w:rsidR="00674BF5" w:rsidRPr="002A677E" w14:paraId="20AFD252" w14:textId="77777777" w:rsidTr="00674BF5">
        <w:tc>
          <w:tcPr>
            <w:tcW w:w="1474" w:type="dxa"/>
          </w:tcPr>
          <w:p w14:paraId="41EF133B" w14:textId="77777777" w:rsidR="00674BF5" w:rsidRPr="002A677E" w:rsidRDefault="00754ADC" w:rsidP="00B055FF">
            <w:pPr>
              <w:pStyle w:val="InstructionsText"/>
            </w:pPr>
            <w:r w:rsidRPr="002A677E">
              <w:t>0</w:t>
            </w:r>
            <w:r w:rsidR="00674BF5" w:rsidRPr="002A677E">
              <w:t>730</w:t>
            </w:r>
          </w:p>
        </w:tc>
        <w:tc>
          <w:tcPr>
            <w:tcW w:w="7049" w:type="dxa"/>
          </w:tcPr>
          <w:p w14:paraId="0BC19EDF" w14:textId="77777777" w:rsidR="00674BF5" w:rsidRPr="002A677E" w:rsidRDefault="00674BF5" w:rsidP="00B055FF">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DF87BB9" w14:textId="4F5DE91D" w:rsidR="00674BF5" w:rsidRPr="002A677E" w:rsidRDefault="00674BF5" w:rsidP="00B055FF">
            <w:pPr>
              <w:pStyle w:val="InstructionsText"/>
            </w:pPr>
            <w:r w:rsidRPr="002A677E">
              <w:t xml:space="preserve">Article 79 </w:t>
            </w:r>
            <w:r w:rsidR="00985B99" w:rsidRPr="001235ED">
              <w:rPr>
                <w:lang w:val="en-US"/>
              </w:rPr>
              <w:t>of Regulation (EU) No 575/2013</w:t>
            </w:r>
          </w:p>
          <w:p w14:paraId="60AF3036" w14:textId="77777777" w:rsidR="00674BF5" w:rsidRPr="002A677E" w:rsidRDefault="00674BF5" w:rsidP="00B055FF">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3BD976D0" w14:textId="77777777" w:rsidR="00674BF5" w:rsidRPr="002A677E" w:rsidRDefault="00674BF5" w:rsidP="00B055FF">
            <w:pPr>
              <w:pStyle w:val="InstructionsText"/>
            </w:pPr>
            <w:r w:rsidRPr="002A677E">
              <w:t>Note that those instruments shall also be reported on item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B055FF">
            <w:pPr>
              <w:pStyle w:val="InstructionsText"/>
            </w:pPr>
            <w:r w:rsidRPr="002A677E">
              <w:t>0</w:t>
            </w:r>
            <w:r w:rsidR="00674BF5" w:rsidRPr="002A677E">
              <w:t>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B055FF">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3532B662" w14:textId="6CBE295A" w:rsidR="00674BF5" w:rsidRPr="002A677E" w:rsidRDefault="00674BF5" w:rsidP="00B055FF">
            <w:pPr>
              <w:pStyle w:val="InstructionsText"/>
            </w:pPr>
            <w:r w:rsidRPr="002A677E">
              <w:t>Article 128</w:t>
            </w:r>
            <w:r w:rsidR="00B83DDE">
              <w:t>, p</w:t>
            </w:r>
            <w:r w:rsidR="002E796C" w:rsidRPr="002A677E">
              <w:t xml:space="preserve">oint (6) </w:t>
            </w:r>
            <w:r w:rsidR="00027D90" w:rsidRPr="002A677E">
              <w:t>of Directive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B055FF">
            <w:pPr>
              <w:pStyle w:val="InstructionsText"/>
            </w:pPr>
            <w:r w:rsidRPr="002A677E">
              <w:t>0</w:t>
            </w:r>
            <w:r w:rsidR="00674BF5" w:rsidRPr="002A677E">
              <w:t>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B055FF">
            <w:pPr>
              <w:pStyle w:val="InstructionsText"/>
            </w:pPr>
            <w:r w:rsidRPr="002A677E">
              <w:rPr>
                <w:rStyle w:val="InstructionsTabelleberschrift"/>
                <w:rFonts w:ascii="Times New Roman" w:hAnsi="Times New Roman"/>
                <w:sz w:val="24"/>
              </w:rPr>
              <w:t>Capital conservation buffer</w:t>
            </w:r>
          </w:p>
          <w:p w14:paraId="281A5B21" w14:textId="2FF2E7C0" w:rsidR="00674BF5" w:rsidRPr="002A677E" w:rsidRDefault="00674BF5" w:rsidP="00B055FF">
            <w:pPr>
              <w:pStyle w:val="InstructionsText"/>
            </w:pPr>
            <w:r w:rsidRPr="002A677E">
              <w:t>Article 128</w:t>
            </w:r>
            <w:r w:rsidR="00B83DDE">
              <w:t>, p</w:t>
            </w:r>
            <w:r w:rsidR="002E796C" w:rsidRPr="002A677E">
              <w:t xml:space="preserve">oint (1) </w:t>
            </w:r>
            <w:r w:rsidRPr="002A677E">
              <w:t xml:space="preserve">and Article 129 </w:t>
            </w:r>
            <w:r w:rsidR="00027D90" w:rsidRPr="002A677E">
              <w:t>of Directive 2013/36/EU</w:t>
            </w:r>
            <w:r w:rsidRPr="002A677E">
              <w:t xml:space="preserve"> </w:t>
            </w:r>
          </w:p>
          <w:p w14:paraId="1626DA15" w14:textId="576F52C5" w:rsidR="00674BF5" w:rsidRPr="002A677E" w:rsidRDefault="00674BF5" w:rsidP="00B055FF">
            <w:pPr>
              <w:pStyle w:val="InstructionsText"/>
            </w:pPr>
            <w:r w:rsidRPr="002A677E">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row.</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B055FF">
            <w:pPr>
              <w:pStyle w:val="InstructionsText"/>
            </w:pPr>
            <w:r w:rsidRPr="002A677E">
              <w:t>0</w:t>
            </w:r>
            <w:r w:rsidR="00674BF5" w:rsidRPr="002A677E">
              <w:t>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B055FF">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3A52B7F6" w14:textId="145A85C4" w:rsidR="00674BF5" w:rsidRPr="002A677E" w:rsidRDefault="00674BF5" w:rsidP="00B055FF">
            <w:pPr>
              <w:pStyle w:val="InstructionsText"/>
            </w:pPr>
            <w:r w:rsidRPr="002A677E">
              <w:t>Article 458(2)</w:t>
            </w:r>
            <w:r w:rsidR="00B83DDE">
              <w:t>, p</w:t>
            </w:r>
            <w:r w:rsidR="002E796C" w:rsidRPr="002A677E">
              <w:t>oint (d)(iv)</w:t>
            </w:r>
            <w:r w:rsidR="00985B99" w:rsidRPr="001235ED">
              <w:rPr>
                <w:lang w:val="en-US"/>
              </w:rPr>
              <w:t xml:space="preserve"> of Regulation (EU) No 575/2013</w:t>
            </w:r>
          </w:p>
          <w:p w14:paraId="12681F1A" w14:textId="26193F9A" w:rsidR="00674BF5" w:rsidRPr="002A677E" w:rsidRDefault="00674BF5" w:rsidP="00B055FF">
            <w:pPr>
              <w:pStyle w:val="InstructionsText"/>
            </w:pPr>
            <w:r w:rsidRPr="002A677E">
              <w:lastRenderedPageBreak/>
              <w:t xml:space="preserve">In this row, the amount of the conservation buffer due to macro-prudential or systemic risk identified at the level of a Member State, which can be requested in accordance with Article 458 </w:t>
            </w:r>
            <w:r w:rsidR="00985B99" w:rsidRPr="001235ED">
              <w:rPr>
                <w:lang w:val="en-US"/>
              </w:rPr>
              <w:t>of Regulation (EU) No 575/2013</w:t>
            </w:r>
            <w:r w:rsidR="00402284">
              <w:rPr>
                <w:lang w:val="en-US"/>
              </w:rPr>
              <w:t xml:space="preserve"> </w:t>
            </w:r>
            <w:r w:rsidRPr="002A677E">
              <w:t>in addition to the capital conservation buffer, shall be reported.</w:t>
            </w:r>
          </w:p>
          <w:p w14:paraId="3F7DEDE7" w14:textId="77777777" w:rsidR="00674BF5" w:rsidRPr="002A677E" w:rsidRDefault="00674BF5" w:rsidP="00B055FF">
            <w:pPr>
              <w:pStyle w:val="InstructionsText"/>
            </w:pPr>
            <w:r w:rsidRPr="002A677E">
              <w:t>The amount reported shall represent the amount of own funds needed to fulfil the respective capital buffer requirements at the reporting date.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B055FF">
            <w:pPr>
              <w:pStyle w:val="InstructionsText"/>
            </w:pPr>
            <w:r w:rsidRPr="002A677E">
              <w:lastRenderedPageBreak/>
              <w:t>0</w:t>
            </w:r>
            <w:r w:rsidR="00674BF5" w:rsidRPr="002A677E">
              <w:t>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B055FF">
            <w:pPr>
              <w:pStyle w:val="InstructionsText"/>
            </w:pPr>
            <w:r w:rsidRPr="002A677E">
              <w:rPr>
                <w:rStyle w:val="InstructionsTabelleberschrift"/>
                <w:rFonts w:ascii="Times New Roman" w:hAnsi="Times New Roman"/>
                <w:sz w:val="24"/>
              </w:rPr>
              <w:t xml:space="preserve">Institution specific countercyclical capital buffer </w:t>
            </w:r>
          </w:p>
          <w:p w14:paraId="63DAB6ED" w14:textId="7C76B525" w:rsidR="00674BF5" w:rsidRPr="002A677E" w:rsidRDefault="00674BF5" w:rsidP="00B055FF">
            <w:pPr>
              <w:pStyle w:val="InstructionsText"/>
            </w:pPr>
            <w:r w:rsidRPr="002A677E">
              <w:t>Article 128</w:t>
            </w:r>
            <w:r w:rsidR="00B83DDE">
              <w:t>, p</w:t>
            </w:r>
            <w:r w:rsidR="002E796C" w:rsidRPr="002A677E">
              <w:t xml:space="preserve">oint (2) </w:t>
            </w:r>
            <w:r w:rsidRPr="002A677E">
              <w:t xml:space="preserve">and Articles 130, 135 to 140 </w:t>
            </w:r>
            <w:r w:rsidR="00027D90" w:rsidRPr="002A677E">
              <w:t>of Directive 2013/36/EU</w:t>
            </w:r>
            <w:r w:rsidRPr="002A677E">
              <w:t xml:space="preserve"> </w:t>
            </w:r>
          </w:p>
          <w:p w14:paraId="58A89809" w14:textId="77777777" w:rsidR="00674BF5" w:rsidRPr="002A677E" w:rsidRDefault="00674BF5" w:rsidP="00B055FF">
            <w:pPr>
              <w:pStyle w:val="InstructionsText"/>
            </w:pPr>
            <w:r w:rsidRPr="002A677E">
              <w:t>The amount reported shall represent the amount of own funds needed to fulfil the respective capital buffer requirements at the reporting date.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B055FF">
            <w:pPr>
              <w:pStyle w:val="InstructionsText"/>
            </w:pPr>
            <w:r w:rsidRPr="002A677E">
              <w:t>0</w:t>
            </w:r>
            <w:r w:rsidR="00674BF5" w:rsidRPr="002A677E">
              <w:t>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B055FF">
            <w:pPr>
              <w:pStyle w:val="InstructionsText"/>
            </w:pPr>
            <w:r w:rsidRPr="002A677E">
              <w:rPr>
                <w:rStyle w:val="InstructionsTabelleberschrift"/>
                <w:rFonts w:ascii="Times New Roman" w:hAnsi="Times New Roman"/>
                <w:sz w:val="24"/>
              </w:rPr>
              <w:t xml:space="preserve">Systemic risk buffer </w:t>
            </w:r>
          </w:p>
          <w:p w14:paraId="775A8901" w14:textId="5A8C166E" w:rsidR="00674BF5" w:rsidRPr="002A677E" w:rsidRDefault="00674BF5" w:rsidP="00B055FF">
            <w:pPr>
              <w:pStyle w:val="InstructionsText"/>
            </w:pPr>
            <w:r w:rsidRPr="002A677E">
              <w:t>Article 128</w:t>
            </w:r>
            <w:r w:rsidR="00B83DDE">
              <w:t>, p</w:t>
            </w:r>
            <w:r w:rsidR="002E796C" w:rsidRPr="002A677E">
              <w:t xml:space="preserve">oint (5), </w:t>
            </w:r>
            <w:r w:rsidRPr="002A677E">
              <w:t xml:space="preserve">Articles 133 and 134 </w:t>
            </w:r>
            <w:r w:rsidR="00027D90" w:rsidRPr="002A677E">
              <w:t>of Directive 2013/36/EU</w:t>
            </w:r>
            <w:r w:rsidRPr="002A677E">
              <w:t xml:space="preserve"> </w:t>
            </w:r>
          </w:p>
          <w:p w14:paraId="6746F441" w14:textId="77777777" w:rsidR="00674BF5" w:rsidRPr="002A677E" w:rsidRDefault="00674BF5" w:rsidP="00B055FF">
            <w:pPr>
              <w:pStyle w:val="InstructionsText"/>
            </w:pPr>
            <w:r w:rsidRPr="002A677E">
              <w:t>The amount reported shall represent the amount of own funds needed to fulfil the respective capital buffer requirements at the reporting date.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B055FF">
            <w:pPr>
              <w:pStyle w:val="InstructionsText"/>
            </w:pPr>
            <w:r w:rsidRPr="002A677E">
              <w:t>0</w:t>
            </w:r>
            <w:r w:rsidR="00674BF5" w:rsidRPr="002A677E">
              <w:t>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50CFDE15" w14:textId="7FF83DC3"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5187AEC2"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B055FF">
            <w:pPr>
              <w:pStyle w:val="InstructionsText"/>
            </w:pPr>
            <w:r w:rsidRPr="002A677E">
              <w:t>0</w:t>
            </w:r>
            <w:r w:rsidR="00674BF5" w:rsidRPr="002A677E">
              <w:t>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48DFF6D" w14:textId="15DEA0ED"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(4)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768CAD7F" w14:textId="77777777" w:rsidR="00674BF5" w:rsidRPr="002A677E" w:rsidRDefault="00674BF5" w:rsidP="00B055FF">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B055FF">
            <w:pPr>
              <w:pStyle w:val="InstructionsText"/>
            </w:pPr>
            <w:r w:rsidRPr="002A677E">
              <w:t>0</w:t>
            </w:r>
            <w:r w:rsidR="00674BF5" w:rsidRPr="002A677E">
              <w:t>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48BC9978" w14:textId="18D0522F"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104</w:t>
            </w:r>
            <w:r w:rsidR="00BF0637"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w:t>
            </w:r>
            <w:r w:rsidR="00BF0637" w:rsidRPr="002A677E">
              <w:rPr>
                <w:rStyle w:val="InstructionsTabelleberschrift"/>
                <w:rFonts w:ascii="Times New Roman" w:hAnsi="Times New Roman"/>
                <w:b w:val="0"/>
                <w:sz w:val="24"/>
                <w:u w:val="none"/>
              </w:rPr>
              <w:t>1</w:t>
            </w:r>
            <w:r w:rsidRPr="002A677E">
              <w:rPr>
                <w:rStyle w:val="InstructionsTabelleberschrift"/>
                <w:rFonts w:ascii="Times New Roman" w:hAnsi="Times New Roman"/>
                <w:b w:val="0"/>
                <w:sz w:val="24"/>
                <w:u w:val="none"/>
              </w:rPr>
              <w:t xml:space="preserve">) </w:t>
            </w:r>
            <w:r w:rsidR="00027D90" w:rsidRPr="002A677E">
              <w:t>of Directive 2013/36/EU</w:t>
            </w:r>
            <w:r w:rsidRPr="002A677E">
              <w:rPr>
                <w:rStyle w:val="InstructionsTabelleberschrift"/>
                <w:rFonts w:ascii="Times New Roman" w:hAnsi="Times New Roman"/>
                <w:b w:val="0"/>
                <w:sz w:val="24"/>
                <w:u w:val="none"/>
              </w:rPr>
              <w:t xml:space="preserve">. </w:t>
            </w:r>
          </w:p>
          <w:p w14:paraId="0658741A" w14:textId="6B093A8D"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If a competent authority decides that an institution has to calculate additional own funds requirements for Pillar II reasons,</w:t>
            </w:r>
            <w:r w:rsidR="006E1321">
              <w:rPr>
                <w:rStyle w:val="InstructionsTabelleberschrift"/>
                <w:rFonts w:ascii="Times New Roman" w:hAnsi="Times New Roman"/>
                <w:b w:val="0"/>
                <w:sz w:val="24"/>
                <w:u w:val="none"/>
              </w:rPr>
              <w:t xml:space="preserve"> the amount of</w:t>
            </w:r>
            <w:r w:rsidRPr="002A677E">
              <w:rPr>
                <w:rStyle w:val="InstructionsTabelleberschrift"/>
                <w:rFonts w:ascii="Times New Roman" w:hAnsi="Times New Roman"/>
                <w:b w:val="0"/>
                <w:sz w:val="24"/>
                <w:u w:val="none"/>
              </w:rPr>
              <w:t xml:space="preserve"> those additional own funds requirements shall be reported in this row.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B055FF">
            <w:pPr>
              <w:pStyle w:val="InstructionsText"/>
            </w:pPr>
            <w:r w:rsidRPr="002A677E">
              <w:t>0</w:t>
            </w:r>
            <w:r w:rsidR="00674BF5" w:rsidRPr="002A677E">
              <w:t>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25C262EC" w14:textId="55A94A50"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00027D90" w:rsidRPr="002A677E">
              <w:t>of Directive 2013/36/EU</w:t>
            </w:r>
            <w:r w:rsidRPr="002A677E">
              <w:rPr>
                <w:rStyle w:val="InstructionsTabelleberschrift"/>
                <w:rFonts w:ascii="Times New Roman" w:hAnsi="Times New Roman"/>
                <w:b w:val="0"/>
                <w:sz w:val="24"/>
                <w:u w:val="none"/>
              </w:rPr>
              <w:t xml:space="preserve"> and Article 93 </w:t>
            </w:r>
            <w:r w:rsidR="00985B99" w:rsidRPr="001235ED">
              <w:rPr>
                <w:lang w:val="en-US"/>
              </w:rPr>
              <w:t>of Regulation (EU) No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B055FF">
            <w:pPr>
              <w:pStyle w:val="InstructionsText"/>
            </w:pPr>
            <w:r w:rsidRPr="002A677E">
              <w:t>0</w:t>
            </w:r>
            <w:r w:rsidR="00674BF5" w:rsidRPr="002A677E">
              <w:t>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5047BBAB" w14:textId="14889321" w:rsidR="00674BF5" w:rsidRDefault="00674BF5" w:rsidP="00B055FF">
            <w:pPr>
              <w:pStyle w:val="InstructionsText"/>
              <w:rPr>
                <w:lang w:val="en-US"/>
              </w:rPr>
            </w:pPr>
            <w:r w:rsidRPr="00384770">
              <w:rPr>
                <w:rStyle w:val="InstructionsTabelleberschrift"/>
                <w:rFonts w:ascii="Times New Roman" w:hAnsi="Times New Roman"/>
                <w:b w:val="0"/>
                <w:sz w:val="24"/>
                <w:u w:val="none"/>
              </w:rPr>
              <w:t>Article</w:t>
            </w:r>
            <w:r w:rsidR="00232921" w:rsidRPr="001235ED">
              <w:rPr>
                <w:rStyle w:val="InstructionsTabelleberschrift"/>
                <w:rFonts w:ascii="Times New Roman" w:hAnsi="Times New Roman"/>
                <w:b w:val="0"/>
                <w:sz w:val="24"/>
                <w:u w:val="none"/>
              </w:rPr>
              <w:t xml:space="preserve"> 95(</w:t>
            </w:r>
            <w:r w:rsidR="00232921"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2E796C" w:rsidRPr="008126F5">
              <w:rPr>
                <w:rStyle w:val="InstructionsTabelleberschrift"/>
                <w:rFonts w:ascii="Times New Roman" w:hAnsi="Times New Roman"/>
                <w:b w:val="0"/>
                <w:sz w:val="24"/>
                <w:u w:val="none"/>
              </w:rPr>
              <w:t xml:space="preserve"> </w:t>
            </w:r>
            <w:r w:rsidR="00985B99" w:rsidRPr="001235ED">
              <w:rPr>
                <w:lang w:val="en-US"/>
              </w:rPr>
              <w:t>of Regulation (EU) No 575/2013</w:t>
            </w:r>
          </w:p>
          <w:p w14:paraId="3DDA2827" w14:textId="23E3B6AA" w:rsidR="00232921" w:rsidRPr="00232921" w:rsidRDefault="00232921" w:rsidP="00B055FF">
            <w:pPr>
              <w:pStyle w:val="InstructionsText"/>
              <w:rPr>
                <w:rStyle w:val="InstructionsTabelleberschrift"/>
                <w:rFonts w:ascii="Times New Roman" w:hAnsi="Times New Roman"/>
                <w:b w:val="0"/>
                <w:sz w:val="24"/>
                <w:u w:val="none"/>
              </w:rPr>
            </w:pPr>
            <w:r>
              <w:rPr>
                <w:lang w:val="en-US"/>
              </w:rPr>
              <w:lastRenderedPageBreak/>
              <w:t>The amount reported shall be the own funds requirement resulting from the application of the abovementioned Articles.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B055FF">
            <w:pPr>
              <w:pStyle w:val="InstructionsText"/>
            </w:pPr>
            <w:r w:rsidRPr="002A677E">
              <w:lastRenderedPageBreak/>
              <w:t>0</w:t>
            </w:r>
            <w:r w:rsidR="00674BF5" w:rsidRPr="002A677E">
              <w:t>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462C38BC"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Article 5(</w:t>
            </w:r>
            <w:r w:rsidR="00CB3146"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3D079757"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298968ED" w14:textId="568124BD" w:rsidR="00AF61D0" w:rsidRPr="002A677E" w:rsidRDefault="00AF61D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B055FF">
            <w:pPr>
              <w:pStyle w:val="InstructionsText"/>
            </w:pPr>
            <w:r w:rsidRPr="002A677E">
              <w:t>0</w:t>
            </w:r>
            <w:r w:rsidR="00674BF5" w:rsidRPr="002A677E">
              <w:t>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26B36369"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w:t>
            </w:r>
            <w:r w:rsidR="007A3184"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w:t>
            </w:r>
            <w:r w:rsidR="00CB314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39FAF5CA" w14:textId="77777777" w:rsidR="00674BF5" w:rsidRPr="002A677E" w:rsidRDefault="00674BF5"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4AF971EF" w14:textId="336B5900" w:rsidR="00AF61D0" w:rsidRPr="002A677E" w:rsidRDefault="00AF61D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705E40" w:rsidRPr="002A677E" w14:paraId="7E864B6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31E9FD8" w14:textId="70604CD3" w:rsidR="00705E40" w:rsidRPr="002A677E" w:rsidRDefault="00705E40" w:rsidP="00B055FF">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39702460" w14:textId="77777777" w:rsidR="00705E40" w:rsidRDefault="00705E40"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33   </w:t>
            </w:r>
            <w:r w:rsidRPr="00772317">
              <w:rPr>
                <w:rStyle w:val="InstructionsTabelleberschrift"/>
                <w:rFonts w:ascii="Times New Roman" w:hAnsi="Times New Roman"/>
                <w:sz w:val="24"/>
              </w:rPr>
              <w:t>FLOOR ADJUSTMENT BEFORE APPLICATION OF TRANSITIONAL CAP</w:t>
            </w:r>
          </w:p>
          <w:p w14:paraId="68E6EFB1" w14:textId="4B6D8C24" w:rsidR="00705E40" w:rsidRPr="002A677E" w:rsidRDefault="00705E40" w:rsidP="00B055FF">
            <w:pPr>
              <w:pStyle w:val="InstructionsText"/>
              <w:rPr>
                <w:rStyle w:val="InstructionsTabelleberschrift"/>
                <w:rFonts w:ascii="Times New Roman" w:hAnsi="Times New Roman"/>
                <w:sz w:val="24"/>
              </w:rPr>
            </w:pPr>
            <w:r>
              <w:t xml:space="preserve">For institutions subject </w:t>
            </w:r>
            <w:r w:rsidR="00941F65">
              <w:t xml:space="preserve">to </w:t>
            </w:r>
            <w:r>
              <w:t>the output floor as per Article 92(3)</w:t>
            </w:r>
            <w:r w:rsidRPr="002A677E">
              <w:t xml:space="preserve"> </w:t>
            </w:r>
            <w:r w:rsidRPr="001235ED">
              <w:rPr>
                <w:lang w:val="en-US"/>
              </w:rPr>
              <w:t>of Regulation (EU) No 575/2013</w:t>
            </w:r>
            <w:r>
              <w:rPr>
                <w:lang w:val="en-US"/>
              </w:rPr>
              <w:t xml:space="preserve">, the </w:t>
            </w:r>
            <w:r w:rsidR="00834DFC">
              <w:rPr>
                <w:lang w:val="en-US"/>
              </w:rPr>
              <w:t>floor adjustment</w:t>
            </w:r>
            <w:r>
              <w:rPr>
                <w:lang w:val="en-US"/>
              </w:rPr>
              <w:t xml:space="preserve"> without application of the transitional cap set out in Article 465(2) </w:t>
            </w:r>
            <w:r w:rsidRPr="001235ED">
              <w:rPr>
                <w:lang w:val="en-US"/>
              </w:rPr>
              <w:t>of Regulation (EU) No 575/2013</w:t>
            </w:r>
            <w:r>
              <w:rPr>
                <w:lang w:val="en-US"/>
              </w:rPr>
              <w:t>.</w:t>
            </w:r>
          </w:p>
        </w:tc>
      </w:tr>
      <w:tr w:rsidR="00AD6772" w:rsidRPr="002A677E" w14:paraId="47CFB01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5A90F34" w14:textId="7DEBCC2F" w:rsidR="00AD6772" w:rsidRDefault="00AD6772" w:rsidP="00B055FF">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70A07066" w14:textId="0A0B6328" w:rsidR="00AD6772" w:rsidRDefault="00AD6772" w:rsidP="00DA09C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34   </w:t>
            </w:r>
            <w:r w:rsidRPr="00772317">
              <w:rPr>
                <w:rStyle w:val="InstructionsTabelleberschrift"/>
                <w:rFonts w:ascii="Times New Roman" w:hAnsi="Times New Roman"/>
                <w:sz w:val="24"/>
              </w:rPr>
              <w:t xml:space="preserve">FLOOR ADJUSTMENT </w:t>
            </w:r>
            <w:r>
              <w:rPr>
                <w:rStyle w:val="InstructionsTabelleberschrift"/>
                <w:rFonts w:ascii="Times New Roman" w:hAnsi="Times New Roman"/>
                <w:sz w:val="24"/>
              </w:rPr>
              <w:t>AFTER</w:t>
            </w:r>
            <w:r w:rsidRPr="00772317">
              <w:rPr>
                <w:rStyle w:val="InstructionsTabelleberschrift"/>
                <w:rFonts w:ascii="Times New Roman" w:hAnsi="Times New Roman"/>
                <w:sz w:val="24"/>
              </w:rPr>
              <w:t xml:space="preserve"> APPLICATION OF TRANSITIONAL CAP</w:t>
            </w:r>
          </w:p>
          <w:p w14:paraId="51B92BBC" w14:textId="3C3F9F25" w:rsidR="00AD6772" w:rsidRDefault="00AD6772" w:rsidP="00DA09CD">
            <w:pPr>
              <w:pStyle w:val="InstructionsText"/>
              <w:rPr>
                <w:rStyle w:val="InstructionsTabelleberschrift"/>
                <w:rFonts w:ascii="Times New Roman" w:hAnsi="Times New Roman"/>
                <w:sz w:val="24"/>
              </w:rPr>
            </w:pPr>
            <w:r>
              <w:t xml:space="preserve">For institutions subject </w:t>
            </w:r>
            <w:r w:rsidR="00941F65">
              <w:t xml:space="preserve">to </w:t>
            </w:r>
            <w:r>
              <w:t>the output floor as per Article 92(3)</w:t>
            </w:r>
            <w:r w:rsidRPr="002A677E">
              <w:t xml:space="preserve"> </w:t>
            </w:r>
            <w:r w:rsidRPr="001235ED">
              <w:rPr>
                <w:lang w:val="en-US"/>
              </w:rPr>
              <w:t>of Regulation (EU) No 575/2013</w:t>
            </w:r>
            <w:r>
              <w:rPr>
                <w:lang w:val="en-US"/>
              </w:rPr>
              <w:t xml:space="preserve">, the floor adjustment </w:t>
            </w:r>
            <w:r w:rsidR="00CC47F8">
              <w:rPr>
                <w:lang w:val="en-US"/>
              </w:rPr>
              <w:t>after</w:t>
            </w:r>
            <w:r>
              <w:rPr>
                <w:lang w:val="en-US"/>
              </w:rPr>
              <w:t xml:space="preserve"> application of the transitional cap set out in Article 465(2) </w:t>
            </w:r>
            <w:r w:rsidRPr="001235ED">
              <w:rPr>
                <w:lang w:val="en-US"/>
              </w:rPr>
              <w:t>of Regulation (EU) No 575/2013</w:t>
            </w:r>
            <w:r>
              <w:rPr>
                <w:lang w:val="en-US"/>
              </w:rPr>
              <w:t>.</w:t>
            </w:r>
          </w:p>
        </w:tc>
      </w:tr>
      <w:tr w:rsidR="00705E40" w:rsidRPr="002A677E" w14:paraId="1D5E479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A079CBE" w14:textId="4856FFBE" w:rsidR="00705E40" w:rsidRPr="002A677E" w:rsidRDefault="00705E40" w:rsidP="00B055FF">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7AB2E6EF" w14:textId="77777777" w:rsidR="00705E40" w:rsidRDefault="00705E40"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FULLY-LOADED </w:t>
            </w:r>
            <w:r w:rsidRPr="00772317">
              <w:rPr>
                <w:rStyle w:val="InstructionsTabelleberschrift"/>
                <w:rFonts w:ascii="Times New Roman" w:hAnsi="Times New Roman"/>
                <w:sz w:val="24"/>
              </w:rPr>
              <w:t xml:space="preserve">FLOOR ADJUSTMENT </w:t>
            </w:r>
          </w:p>
          <w:p w14:paraId="0114FDEE" w14:textId="0BFE85C9" w:rsidR="00705E40" w:rsidRPr="002A677E" w:rsidRDefault="00705E40" w:rsidP="00B055FF">
            <w:pPr>
              <w:pStyle w:val="InstructionsText"/>
              <w:rPr>
                <w:rStyle w:val="InstructionsTabelleberschrift"/>
                <w:rFonts w:ascii="Times New Roman" w:hAnsi="Times New Roman"/>
                <w:sz w:val="24"/>
              </w:rPr>
            </w:pPr>
            <w:r>
              <w:t xml:space="preserve">For institutions subject </w:t>
            </w:r>
            <w:r w:rsidR="008C3BCD">
              <w:t xml:space="preserve">to </w:t>
            </w:r>
            <w:r>
              <w:t>the output floor as per Article 92(3)</w:t>
            </w:r>
            <w:r w:rsidRPr="002A677E">
              <w:t xml:space="preserve"> </w:t>
            </w:r>
            <w:r w:rsidRPr="001235ED">
              <w:rPr>
                <w:lang w:val="en-US"/>
              </w:rPr>
              <w:t>of Regulation (EU) No 575/2013</w:t>
            </w:r>
            <w:r>
              <w:rPr>
                <w:lang w:val="en-US"/>
              </w:rPr>
              <w:t xml:space="preserve">, the </w:t>
            </w:r>
            <w:r w:rsidR="00834DFC">
              <w:rPr>
                <w:lang w:val="en-US"/>
              </w:rPr>
              <w:t>floor adjustment</w:t>
            </w:r>
            <w:r>
              <w:rPr>
                <w:lang w:val="en-US"/>
              </w:rPr>
              <w:t xml:space="preserve"> without application of all transitional arrangements set out in Article 465 of </w:t>
            </w:r>
            <w:r w:rsidRPr="001235ED">
              <w:rPr>
                <w:lang w:val="en-US"/>
              </w:rPr>
              <w:t>Regulation (EU) No 575/2013</w:t>
            </w:r>
            <w:r>
              <w:rPr>
                <w:lang w:val="en-US"/>
              </w:rPr>
              <w:t>.</w:t>
            </w:r>
          </w:p>
        </w:tc>
      </w:tr>
      <w:tr w:rsidR="00705E40" w:rsidRPr="002A677E" w14:paraId="1283310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020429" w14:textId="4D6CDD9C" w:rsidR="00705E40" w:rsidRPr="002A677E" w:rsidRDefault="00705E40" w:rsidP="00B055FF">
            <w:pPr>
              <w:pStyle w:val="InstructionsText"/>
            </w:pPr>
            <w:r>
              <w:t>0</w:t>
            </w:r>
            <w:r w:rsidR="00AD6772">
              <w:t>90</w:t>
            </w:r>
            <w:r>
              <w:t>0</w:t>
            </w:r>
          </w:p>
        </w:tc>
        <w:tc>
          <w:tcPr>
            <w:tcW w:w="7049" w:type="dxa"/>
            <w:tcBorders>
              <w:top w:val="single" w:sz="4" w:space="0" w:color="auto"/>
              <w:left w:val="single" w:sz="4" w:space="0" w:color="auto"/>
              <w:bottom w:val="single" w:sz="4" w:space="0" w:color="auto"/>
              <w:right w:val="single" w:sz="4" w:space="0" w:color="auto"/>
            </w:tcBorders>
          </w:tcPr>
          <w:p w14:paraId="1B76CC34" w14:textId="77777777" w:rsidR="00705E40" w:rsidRDefault="00705E40"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36        </w:t>
            </w:r>
            <w:r w:rsidRPr="00772317">
              <w:rPr>
                <w:rStyle w:val="InstructionsTabelleberschrift"/>
                <w:rFonts w:ascii="Times New Roman" w:hAnsi="Times New Roman"/>
                <w:sz w:val="24"/>
              </w:rPr>
              <w:t>Output floor applied (%)</w:t>
            </w:r>
          </w:p>
          <w:p w14:paraId="3784B198" w14:textId="2EB72791" w:rsidR="00705E40" w:rsidRPr="002906CD" w:rsidRDefault="00705E40" w:rsidP="00705E40">
            <w:pPr>
              <w:autoSpaceDE w:val="0"/>
              <w:autoSpaceDN w:val="0"/>
              <w:adjustRightInd w:val="0"/>
              <w:spacing w:before="0" w:after="0"/>
              <w:jc w:val="left"/>
              <w:rPr>
                <w:rFonts w:ascii="Times New Roman" w:eastAsia="Arial" w:hAnsi="Times New Roman"/>
                <w:sz w:val="24"/>
                <w:lang w:eastAsia="en-GB"/>
              </w:rPr>
            </w:pPr>
            <w:r w:rsidRPr="002906CD">
              <w:rPr>
                <w:rFonts w:ascii="Times New Roman" w:hAnsi="Times New Roman"/>
                <w:sz w:val="24"/>
                <w:lang w:val="en-US" w:eastAsia="de-DE"/>
              </w:rPr>
              <w:t>T</w:t>
            </w:r>
            <w:r w:rsidRPr="002906CD">
              <w:rPr>
                <w:rFonts w:ascii="Times New Roman" w:eastAsia="Arial" w:hAnsi="Times New Roman"/>
                <w:sz w:val="24"/>
                <w:lang w:eastAsia="en-GB"/>
              </w:rPr>
              <w:t>he output floor</w:t>
            </w:r>
            <w:r w:rsidRPr="002906CD">
              <w:rPr>
                <w:rFonts w:ascii="Times New Roman" w:hAnsi="Times New Roman"/>
                <w:sz w:val="24"/>
                <w:lang w:val="en-US" w:eastAsia="de-DE"/>
              </w:rPr>
              <w:t xml:space="preserve">, </w:t>
            </w:r>
            <w:r w:rsidRPr="002906CD">
              <w:rPr>
                <w:rFonts w:ascii="Times New Roman" w:eastAsia="Arial" w:hAnsi="Times New Roman"/>
                <w:sz w:val="24"/>
                <w:lang w:eastAsia="en-GB"/>
              </w:rPr>
              <w:t>expressed as a percentage</w:t>
            </w:r>
            <w:r w:rsidRPr="002906CD">
              <w:rPr>
                <w:rFonts w:ascii="Times New Roman" w:hAnsi="Times New Roman"/>
                <w:sz w:val="24"/>
                <w:lang w:val="en-US" w:eastAsia="de-DE"/>
              </w:rPr>
              <w:t>,</w:t>
            </w:r>
            <w:r w:rsidRPr="002906CD">
              <w:rPr>
                <w:rFonts w:ascii="Times New Roman" w:eastAsia="Arial" w:hAnsi="Times New Roman"/>
                <w:sz w:val="24"/>
                <w:lang w:eastAsia="en-GB"/>
              </w:rPr>
              <w:t xml:space="preserve"> applied by the bank in</w:t>
            </w:r>
          </w:p>
          <w:p w14:paraId="36666D7D" w14:textId="5956E8D3" w:rsidR="00705E40" w:rsidRPr="002A677E" w:rsidRDefault="00705E40" w:rsidP="00B055FF">
            <w:pPr>
              <w:pStyle w:val="InstructionsText"/>
              <w:rPr>
                <w:rStyle w:val="InstructionsTabelleberschrift"/>
                <w:rFonts w:ascii="Times New Roman" w:hAnsi="Times New Roman"/>
                <w:sz w:val="24"/>
                <w:lang w:eastAsia="en-US"/>
              </w:rPr>
            </w:pPr>
            <w:r w:rsidRPr="001E3E85">
              <w:rPr>
                <w:rFonts w:eastAsia="Arial"/>
              </w:rPr>
              <w:lastRenderedPageBreak/>
              <w:t>its computation of the floor adjustment value</w:t>
            </w:r>
            <w:r w:rsidR="00A45B3E">
              <w:rPr>
                <w:rFonts w:eastAsia="Arial"/>
              </w:rPr>
              <w:t>: the factor ‘x’ pursuant to Article 92(3) and Article 465</w:t>
            </w:r>
            <w:r w:rsidR="000D20CF">
              <w:rPr>
                <w:rFonts w:eastAsia="Arial"/>
              </w:rPr>
              <w:t xml:space="preserve">(1) of </w:t>
            </w:r>
            <w:r w:rsidR="000D20CF" w:rsidRPr="001235ED">
              <w:rPr>
                <w:lang w:val="en-US"/>
              </w:rPr>
              <w:t>Regulation (EU) No 575/2013</w:t>
            </w:r>
            <w:r w:rsidR="000D20CF">
              <w:rPr>
                <w:lang w:val="en-US"/>
              </w:rPr>
              <w:t>.</w:t>
            </w:r>
          </w:p>
        </w:tc>
      </w:tr>
    </w:tbl>
    <w:p w14:paraId="0B92F835" w14:textId="77777777" w:rsidR="002648B0" w:rsidRPr="002A677E" w:rsidRDefault="002648B0" w:rsidP="00B055FF">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67" w:name="_Toc360188333"/>
      <w:bookmarkStart w:id="68" w:name="_Toc473560881"/>
      <w:bookmarkStart w:id="69" w:name="_Toc151714369"/>
      <w:bookmarkStart w:id="70" w:name="_Toc308175834"/>
      <w:r w:rsidRPr="002A677E">
        <w:rPr>
          <w:rFonts w:ascii="Times New Roman" w:hAnsi="Times New Roman" w:cs="Times New Roman"/>
          <w:sz w:val="24"/>
          <w:lang w:val="en-GB"/>
        </w:rPr>
        <w:t>1.6</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 xml:space="preserve">TRANSITIONAL PROVISIONS </w:t>
      </w:r>
      <w:r w:rsidR="00DB0274" w:rsidRPr="002A677E">
        <w:rPr>
          <w:rFonts w:ascii="Times New Roman" w:hAnsi="Times New Roman" w:cs="Times New Roman"/>
          <w:sz w:val="24"/>
          <w:lang w:val="en-GB"/>
        </w:rPr>
        <w:t>and GRANDFATHERED INSTRUMENTS: INSTRUMENTS NOT CONSTITU</w:t>
      </w:r>
      <w:r w:rsidR="00F56546" w:rsidRPr="002A677E">
        <w:rPr>
          <w:rFonts w:ascii="Times New Roman" w:hAnsi="Times New Roman" w:cs="Times New Roman"/>
          <w:sz w:val="24"/>
          <w:lang w:val="en-GB"/>
        </w:rPr>
        <w:t>T</w:t>
      </w:r>
      <w:r w:rsidR="00DB0274" w:rsidRPr="002A677E">
        <w:rPr>
          <w:rFonts w:ascii="Times New Roman" w:hAnsi="Times New Roman" w:cs="Times New Roman"/>
          <w:sz w:val="24"/>
          <w:lang w:val="en-GB"/>
        </w:rPr>
        <w:t xml:space="preserve">ING STATE AID </w:t>
      </w:r>
      <w:r w:rsidR="00407936" w:rsidRPr="002A677E">
        <w:rPr>
          <w:rFonts w:ascii="Times New Roman" w:hAnsi="Times New Roman" w:cs="Times New Roman"/>
          <w:sz w:val="24"/>
          <w:lang w:val="en-GB"/>
        </w:rPr>
        <w:t>(CA5</w:t>
      </w:r>
      <w:bookmarkEnd w:id="67"/>
      <w:r w:rsidR="00407936" w:rsidRPr="002A677E">
        <w:rPr>
          <w:rFonts w:ascii="Times New Roman" w:hAnsi="Times New Roman" w:cs="Times New Roman"/>
          <w:sz w:val="24"/>
          <w:lang w:val="en-GB"/>
        </w:rPr>
        <w:t>)</w:t>
      </w:r>
      <w:bookmarkEnd w:id="68"/>
      <w:bookmarkEnd w:id="69"/>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71" w:name="_Toc308175835"/>
      <w:bookmarkStart w:id="72" w:name="_Toc360188334"/>
      <w:bookmarkStart w:id="73" w:name="_Toc473560882"/>
      <w:bookmarkStart w:id="74" w:name="_Toc151714370"/>
      <w:bookmarkEnd w:id="70"/>
      <w:r w:rsidRPr="002A677E">
        <w:rPr>
          <w:rFonts w:ascii="Times New Roman" w:hAnsi="Times New Roman" w:cs="Times New Roman"/>
          <w:sz w:val="24"/>
          <w:lang w:val="en-GB"/>
        </w:rPr>
        <w:t>1.6.1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General remarks</w:t>
      </w:r>
      <w:bookmarkEnd w:id="71"/>
      <w:bookmarkEnd w:id="72"/>
      <w:bookmarkEnd w:id="73"/>
      <w:bookmarkEnd w:id="74"/>
    </w:p>
    <w:p w14:paraId="41003114" w14:textId="43742383"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16</w:t>
      </w:r>
      <w:r>
        <w:fldChar w:fldCharType="end"/>
      </w:r>
      <w:r w:rsidR="00B43C2A" w:rsidRPr="002A677E">
        <w:t>.</w:t>
      </w:r>
      <w:r w:rsidR="00B43C2A" w:rsidRPr="002A677E">
        <w:tab/>
      </w:r>
      <w:r w:rsidR="002648B0" w:rsidRPr="002A677E">
        <w:t>CA5 summari</w:t>
      </w:r>
      <w:r w:rsidR="00C7103D" w:rsidRPr="002A677E">
        <w:t>s</w:t>
      </w:r>
      <w:r w:rsidR="002648B0" w:rsidRPr="002A677E">
        <w:t xml:space="preserve">es the calculation of own funds elements and deductions subject to the transitional provisions laid down in Articles </w:t>
      </w:r>
      <w:r w:rsidR="004C4478" w:rsidRPr="002A677E">
        <w:t xml:space="preserve">465 </w:t>
      </w:r>
      <w:r w:rsidR="002648B0" w:rsidRPr="002A677E">
        <w:t xml:space="preserve">to </w:t>
      </w:r>
      <w:r w:rsidR="00B542AB" w:rsidRPr="002A677E">
        <w:t>491</w:t>
      </w:r>
      <w:r w:rsidR="00F834C3" w:rsidRPr="002A677E">
        <w:t>, 494a and 494b</w:t>
      </w:r>
      <w:r w:rsidR="002648B0" w:rsidRPr="002A677E">
        <w:t xml:space="preserve"> </w:t>
      </w:r>
      <w:r w:rsidR="00985B99" w:rsidRPr="001235ED">
        <w:rPr>
          <w:lang w:val="en-US"/>
        </w:rPr>
        <w:t>of Regulation (EU) No 575/2013</w:t>
      </w:r>
      <w:r w:rsidR="002648B0" w:rsidRPr="002A677E">
        <w:t xml:space="preserve">. </w:t>
      </w:r>
    </w:p>
    <w:p w14:paraId="3F679519" w14:textId="176C4C12" w:rsidR="00496C53"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17</w:t>
      </w:r>
      <w:r>
        <w:fldChar w:fldCharType="end"/>
      </w:r>
      <w:r w:rsidR="00125707" w:rsidRPr="002A677E">
        <w:t>.</w:t>
      </w:r>
      <w:r w:rsidR="00125707" w:rsidRPr="002A677E">
        <w:tab/>
      </w:r>
      <w:r w:rsidR="002648B0" w:rsidRPr="002A677E">
        <w:t>CA5 is structured as follows:</w:t>
      </w:r>
    </w:p>
    <w:p w14:paraId="03CFA8D7" w14:textId="77777777" w:rsidR="002648B0" w:rsidRPr="002A677E" w:rsidRDefault="00125707" w:rsidP="0047337A">
      <w:pPr>
        <w:pStyle w:val="InstructionsText2"/>
        <w:numPr>
          <w:ilvl w:val="0"/>
          <w:numId w:val="0"/>
        </w:numPr>
        <w:ind w:left="993"/>
      </w:pPr>
      <w:r w:rsidRPr="002A677E">
        <w:t>(a)</w:t>
      </w:r>
      <w:r w:rsidRPr="002A677E">
        <w:tab/>
      </w:r>
      <w:r w:rsidR="00480A69" w:rsidRPr="002A677E">
        <w:t>T</w:t>
      </w:r>
      <w:r w:rsidR="00ED66A4" w:rsidRPr="002A677E">
        <w:t>emplate</w:t>
      </w:r>
      <w:r w:rsidR="002648B0" w:rsidRPr="002A677E">
        <w:t xml:space="preserve"> </w:t>
      </w:r>
      <w:r w:rsidR="00F834C3" w:rsidRPr="002A677E">
        <w:t>CA</w:t>
      </w:r>
      <w:r w:rsidR="002648B0" w:rsidRPr="002A677E">
        <w:t>5.1 summari</w:t>
      </w:r>
      <w:r w:rsidR="00C7103D" w:rsidRPr="002A677E">
        <w:t>s</w:t>
      </w:r>
      <w:r w:rsidR="002648B0" w:rsidRPr="002A677E">
        <w:t xml:space="preserve">es the total adjustments which need to be made to the different components of own funds (reported in CA1 </w:t>
      </w:r>
      <w:r w:rsidR="00BB22D4" w:rsidRPr="002A677E">
        <w:t>in accordance with</w:t>
      </w:r>
      <w:r w:rsidR="002648B0" w:rsidRPr="002A677E">
        <w:t xml:space="preserve"> the final provisions) as a consequence of the application of the transitional provisions.</w:t>
      </w:r>
      <w:r w:rsidR="00730040" w:rsidRPr="002A677E">
        <w:t xml:space="preserve"> </w:t>
      </w:r>
      <w:r w:rsidR="002648B0" w:rsidRPr="002A677E">
        <w:t xml:space="preserve">The elements of this </w:t>
      </w:r>
      <w:r w:rsidR="00133396" w:rsidRPr="002A677E">
        <w:t xml:space="preserve">template </w:t>
      </w:r>
      <w:r w:rsidR="002648B0" w:rsidRPr="002A677E">
        <w:t>are presented as “adjustments” to the different capital components in CA1, in order to reflect in own funds components the effects of the transitional provisions.</w:t>
      </w:r>
    </w:p>
    <w:p w14:paraId="508D01E4" w14:textId="77777777" w:rsidR="002648B0" w:rsidRPr="002A677E" w:rsidRDefault="00125707" w:rsidP="0047337A">
      <w:pPr>
        <w:pStyle w:val="InstructionsText2"/>
        <w:numPr>
          <w:ilvl w:val="0"/>
          <w:numId w:val="0"/>
        </w:numPr>
        <w:ind w:left="993"/>
      </w:pPr>
      <w:r w:rsidRPr="002A677E">
        <w:t>(b)</w:t>
      </w:r>
      <w:r w:rsidRPr="002A677E">
        <w:tab/>
      </w:r>
      <w:r w:rsidR="00480A69" w:rsidRPr="002A677E">
        <w:t>T</w:t>
      </w:r>
      <w:r w:rsidR="00ED66A4" w:rsidRPr="002A677E">
        <w:t>emplate</w:t>
      </w:r>
      <w:r w:rsidR="002648B0" w:rsidRPr="002A677E">
        <w:t xml:space="preserve"> 5.2 provide</w:t>
      </w:r>
      <w:r w:rsidR="002A7C84" w:rsidRPr="002A677E">
        <w:t>s</w:t>
      </w:r>
      <w:r w:rsidR="002648B0" w:rsidRPr="002A677E">
        <w:t xml:space="preserve"> further details on the calculation of those grandfathered instruments which do not constitute state aid. </w:t>
      </w:r>
    </w:p>
    <w:bookmarkStart w:id="75" w:name="_Toc307386943"/>
    <w:p w14:paraId="4C8E7419" w14:textId="44B3A7B6" w:rsidR="005643EA" w:rsidRPr="002A677E" w:rsidRDefault="0056002D" w:rsidP="007F28DF">
      <w:pPr>
        <w:pStyle w:val="InstructionsText2"/>
        <w:numPr>
          <w:ilvl w:val="0"/>
          <w:numId w:val="0"/>
        </w:numPr>
        <w:ind w:left="1353"/>
      </w:pPr>
      <w:r w:rsidRPr="00624117">
        <w:fldChar w:fldCharType="begin"/>
      </w:r>
      <w:r w:rsidRPr="002A677E">
        <w:instrText xml:space="preserve"> seq paragraphs </w:instrText>
      </w:r>
      <w:r w:rsidRPr="00624117">
        <w:fldChar w:fldCharType="separate"/>
      </w:r>
      <w:r w:rsidR="005E3D5A">
        <w:rPr>
          <w:noProof/>
        </w:rPr>
        <w:t>18</w:t>
      </w:r>
      <w:r w:rsidRPr="00624117">
        <w:fldChar w:fldCharType="end"/>
      </w:r>
      <w:r w:rsidR="00125707" w:rsidRPr="002A677E">
        <w:t>.</w:t>
      </w:r>
      <w:r w:rsidR="00125707" w:rsidRPr="002A677E">
        <w:tab/>
      </w:r>
      <w:r w:rsidR="002A7C84" w:rsidRPr="002A677E">
        <w:t>I</w:t>
      </w:r>
      <w:r w:rsidR="002648B0" w:rsidRPr="002A677E">
        <w:t>nstitutions shall report in the first four columns the adjustments to Common Equity Tier 1 capital, Additional Tier 1 capital and</w:t>
      </w:r>
      <w:r w:rsidR="00730040" w:rsidRPr="002A677E">
        <w:t xml:space="preserve"> </w:t>
      </w:r>
      <w:r w:rsidR="002648B0" w:rsidRPr="002A677E">
        <w:t xml:space="preserve">Tier 2 capital as well as the amount to be treated as risk weighted assets. </w:t>
      </w:r>
      <w:r w:rsidR="002A7C84" w:rsidRPr="002A677E">
        <w:t>In</w:t>
      </w:r>
      <w:r w:rsidR="002648B0" w:rsidRPr="002A677E">
        <w:t xml:space="preserve">stitutions are </w:t>
      </w:r>
      <w:r w:rsidR="002A7C84" w:rsidRPr="002A677E">
        <w:t xml:space="preserve">also </w:t>
      </w:r>
      <w:r w:rsidR="002648B0" w:rsidRPr="002A677E">
        <w:t xml:space="preserve">required to report the applicable percentage in column </w:t>
      </w:r>
      <w:r w:rsidR="00F834C3" w:rsidRPr="002A677E">
        <w:t>0</w:t>
      </w:r>
      <w:r w:rsidR="002648B0" w:rsidRPr="002A677E">
        <w:t xml:space="preserve">050 and the eligible amount without the recognition of transitional provisions in column </w:t>
      </w:r>
      <w:r w:rsidR="00F834C3" w:rsidRPr="002A677E">
        <w:t>0</w:t>
      </w:r>
      <w:r w:rsidR="002648B0" w:rsidRPr="002A677E">
        <w:t>060.</w:t>
      </w:r>
    </w:p>
    <w:p w14:paraId="1008CEFB" w14:textId="1A8121A0"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19</w:t>
      </w:r>
      <w:r>
        <w:fldChar w:fldCharType="end"/>
      </w:r>
      <w:r w:rsidR="00125707" w:rsidRPr="002A677E">
        <w:t>.</w:t>
      </w:r>
      <w:r w:rsidR="00125707" w:rsidRPr="002A677E">
        <w:tab/>
      </w:r>
      <w:r w:rsidR="002648B0" w:rsidRPr="002A677E">
        <w:t xml:space="preserve">Institutions shall only report elements in CA5 during the period where transitional provisions </w:t>
      </w:r>
      <w:r w:rsidR="00167619" w:rsidRPr="002A677E">
        <w:t xml:space="preserve">laid down in </w:t>
      </w:r>
      <w:r w:rsidR="002648B0" w:rsidRPr="002A677E">
        <w:t>Part Ten</w:t>
      </w:r>
      <w:r w:rsidR="00985B99" w:rsidRPr="001235ED">
        <w:rPr>
          <w:lang w:val="en-US"/>
        </w:rPr>
        <w:t xml:space="preserve"> Regulation (EU) No 575/2013</w:t>
      </w:r>
      <w:r w:rsidR="002648B0" w:rsidRPr="002A677E">
        <w:t xml:space="preserve"> apply.</w:t>
      </w:r>
    </w:p>
    <w:p w14:paraId="3CF93C3D" w14:textId="2F968895"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20</w:t>
      </w:r>
      <w:r>
        <w:fldChar w:fldCharType="end"/>
      </w:r>
      <w:r w:rsidR="00125707" w:rsidRPr="002A677E">
        <w:t>.</w:t>
      </w:r>
      <w:r w:rsidR="00125707" w:rsidRPr="002A677E">
        <w:tab/>
      </w:r>
      <w:r w:rsidR="002648B0" w:rsidRPr="002A677E">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2A677E">
        <w:t>shall</w:t>
      </w:r>
      <w:r w:rsidR="002648B0" w:rsidRPr="002A677E">
        <w:t xml:space="preserve"> be deducted from CET1.</w:t>
      </w:r>
    </w:p>
    <w:p w14:paraId="4088CDD2" w14:textId="21C61816" w:rsidR="002648B0" w:rsidRPr="002A677E" w:rsidRDefault="00125707" w:rsidP="009A25DE">
      <w:pPr>
        <w:pStyle w:val="Instructionsberschrift2"/>
        <w:numPr>
          <w:ilvl w:val="0"/>
          <w:numId w:val="0"/>
        </w:numPr>
        <w:rPr>
          <w:rFonts w:ascii="Times New Roman" w:hAnsi="Times New Roman" w:cs="Times New Roman"/>
          <w:sz w:val="24"/>
          <w:lang w:val="en-GB"/>
        </w:rPr>
      </w:pPr>
      <w:bookmarkStart w:id="76" w:name="_Toc473560883"/>
      <w:bookmarkStart w:id="77" w:name="_Toc151714371"/>
      <w:bookmarkStart w:id="78" w:name="_Toc360188335"/>
      <w:bookmarkStart w:id="79" w:name="_Toc308175836"/>
      <w:bookmarkEnd w:id="75"/>
      <w:r w:rsidRPr="002A677E">
        <w:rPr>
          <w:rFonts w:ascii="Times New Roman" w:hAnsi="Times New Roman" w:cs="Times New Roman"/>
          <w:sz w:val="24"/>
          <w:lang w:val="en-GB"/>
        </w:rPr>
        <w:t>1.6.2.</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C 05.01 - TRANSITIONAL PROVISIONS (CA5.1)</w:t>
      </w:r>
      <w:bookmarkEnd w:id="76"/>
      <w:bookmarkEnd w:id="77"/>
      <w:r w:rsidR="00513822" w:rsidRPr="002A677E">
        <w:rPr>
          <w:rFonts w:ascii="Times New Roman" w:hAnsi="Times New Roman" w:cs="Times New Roman"/>
          <w:sz w:val="24"/>
          <w:lang w:val="en-GB"/>
        </w:rPr>
        <w:t xml:space="preserve"> </w:t>
      </w:r>
      <w:bookmarkEnd w:id="78"/>
      <w:bookmarkEnd w:id="79"/>
    </w:p>
    <w:p w14:paraId="5B4CCD13" w14:textId="22B11146" w:rsidR="002648B0"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21</w:t>
      </w:r>
      <w:r>
        <w:fldChar w:fldCharType="end"/>
      </w:r>
      <w:r w:rsidR="00125707" w:rsidRPr="002A677E">
        <w:t>.</w:t>
      </w:r>
      <w:r w:rsidR="00125707" w:rsidRPr="002A677E">
        <w:tab/>
      </w:r>
      <w:r w:rsidR="002648B0" w:rsidRPr="002A677E">
        <w:t xml:space="preserve">Institutions shall report in </w:t>
      </w:r>
      <w:r w:rsidR="00133396" w:rsidRPr="002A677E">
        <w:t>CA</w:t>
      </w:r>
      <w:r w:rsidR="002648B0" w:rsidRPr="002A677E">
        <w:t>5.1</w:t>
      </w:r>
      <w:r w:rsidR="00133396" w:rsidRPr="002A677E">
        <w:t xml:space="preserve"> template</w:t>
      </w:r>
      <w:r w:rsidR="002648B0" w:rsidRPr="002A677E">
        <w:t xml:space="preserve"> the transitional provisions to own funds components as laid down in Articles </w:t>
      </w:r>
      <w:r w:rsidR="004C4478" w:rsidRPr="002A677E">
        <w:t xml:space="preserve">465 </w:t>
      </w:r>
      <w:r w:rsidR="002648B0" w:rsidRPr="002A677E">
        <w:t xml:space="preserve">to </w:t>
      </w:r>
      <w:r w:rsidR="00B542AB" w:rsidRPr="002A677E">
        <w:t>491</w:t>
      </w:r>
      <w:r w:rsidR="0061382B" w:rsidRPr="002A677E">
        <w:t>, 494a and 494b</w:t>
      </w:r>
      <w:r w:rsidR="002648B0" w:rsidRPr="002A677E">
        <w:t xml:space="preserve"> </w:t>
      </w:r>
      <w:r w:rsidR="00985B99" w:rsidRPr="001235ED">
        <w:rPr>
          <w:lang w:val="en-US"/>
        </w:rPr>
        <w:t>of Regulation (EU) No 575/2013</w:t>
      </w:r>
      <w:r w:rsidR="002648B0" w:rsidRPr="002A677E">
        <w:t>, compared to applying the final provisions laid down in Part Two</w:t>
      </w:r>
      <w:r w:rsidR="00985B99" w:rsidRPr="002A677E">
        <w:t>,</w:t>
      </w:r>
      <w:r w:rsidR="002648B0" w:rsidRPr="002A677E">
        <w:t xml:space="preserve"> </w:t>
      </w:r>
      <w:r w:rsidR="00985B99" w:rsidRPr="002A677E">
        <w:t xml:space="preserve">Title II </w:t>
      </w:r>
      <w:r w:rsidR="00985B99" w:rsidRPr="001235ED">
        <w:rPr>
          <w:lang w:val="en-US"/>
        </w:rPr>
        <w:t>of that Regulation (EU) No 575/2013</w:t>
      </w:r>
      <w:r w:rsidR="002648B0" w:rsidRPr="002A677E">
        <w:t xml:space="preserve">. </w:t>
      </w:r>
    </w:p>
    <w:p w14:paraId="2C643F4D" w14:textId="0CC4B720"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22</w:t>
      </w:r>
      <w:r>
        <w:fldChar w:fldCharType="end"/>
      </w:r>
      <w:r w:rsidR="00125707" w:rsidRPr="002A677E">
        <w:t>.</w:t>
      </w:r>
      <w:r w:rsidR="00125707" w:rsidRPr="002A677E">
        <w:tab/>
      </w:r>
      <w:r w:rsidR="002648B0" w:rsidRPr="002A677E">
        <w:t xml:space="preserve">Institutions shall report in </w:t>
      </w:r>
      <w:r w:rsidR="00B62635" w:rsidRPr="002A677E">
        <w:t xml:space="preserve">rows </w:t>
      </w:r>
      <w:r w:rsidR="008A05EC" w:rsidRPr="002A677E">
        <w:t>0</w:t>
      </w:r>
      <w:r w:rsidR="00B62635" w:rsidRPr="002A677E">
        <w:t>060</w:t>
      </w:r>
      <w:r w:rsidR="00ED66A4" w:rsidRPr="002A677E">
        <w:t xml:space="preserve"> </w:t>
      </w:r>
      <w:r w:rsidR="00BA1BF6" w:rsidRPr="002A677E">
        <w:t xml:space="preserve">to 0065 </w:t>
      </w:r>
      <w:r w:rsidR="002648B0" w:rsidRPr="002A677E">
        <w:t xml:space="preserve">information </w:t>
      </w:r>
      <w:r w:rsidR="00BB22D4" w:rsidRPr="002A677E">
        <w:t>about</w:t>
      </w:r>
      <w:r w:rsidR="002648B0" w:rsidRPr="002A677E">
        <w:t xml:space="preserve"> the transitional provisions of grandfathered instruments.</w:t>
      </w:r>
      <w:r w:rsidR="006A20A0" w:rsidRPr="002A677E">
        <w:t xml:space="preserve"> </w:t>
      </w:r>
      <w:r w:rsidR="002648B0" w:rsidRPr="002A677E">
        <w:t xml:space="preserve">The figures to be reported in </w:t>
      </w:r>
      <w:r w:rsidR="00B62635" w:rsidRPr="002A677E">
        <w:t xml:space="preserve">row </w:t>
      </w:r>
      <w:r w:rsidR="008A05EC" w:rsidRPr="002A677E">
        <w:t>0</w:t>
      </w:r>
      <w:r w:rsidR="00B62635" w:rsidRPr="002A677E">
        <w:t>060</w:t>
      </w:r>
      <w:r w:rsidR="002648B0" w:rsidRPr="002A677E">
        <w:t xml:space="preserve"> of CA5.1 </w:t>
      </w:r>
      <w:r w:rsidR="00BA1BF6" w:rsidRPr="002A677E">
        <w:t xml:space="preserve">reflect the transitional provisions included in the </w:t>
      </w:r>
      <w:r w:rsidR="00985B99" w:rsidRPr="001235ED">
        <w:rPr>
          <w:lang w:val="en-US"/>
        </w:rPr>
        <w:t xml:space="preserve">of Regulation (EU) No 575/2013 </w:t>
      </w:r>
      <w:r w:rsidR="0061382B" w:rsidRPr="002A677E">
        <w:t>in the version applicable until</w:t>
      </w:r>
      <w:r w:rsidR="00BA1BF6" w:rsidRPr="002A677E">
        <w:t xml:space="preserve"> 26 June 2019</w:t>
      </w:r>
      <w:r w:rsidR="00E92EE4" w:rsidRPr="002A677E">
        <w:t xml:space="preserve"> and </w:t>
      </w:r>
      <w:r w:rsidR="002648B0" w:rsidRPr="002A677E">
        <w:t xml:space="preserve">can be </w:t>
      </w:r>
      <w:r w:rsidR="002648B0" w:rsidRPr="002A677E">
        <w:lastRenderedPageBreak/>
        <w:t>derived from the respective sections of CA5.2.</w:t>
      </w:r>
      <w:r w:rsidR="008A05EC" w:rsidRPr="002A677E">
        <w:t xml:space="preserve"> Rows 0061 to 0065 capture the effect of the transitional provisions </w:t>
      </w:r>
      <w:r w:rsidR="0061382B" w:rsidRPr="002A677E">
        <w:t xml:space="preserve">of Articles 494a and 494b </w:t>
      </w:r>
      <w:r w:rsidR="00985B99" w:rsidRPr="001235ED">
        <w:rPr>
          <w:lang w:val="en-US"/>
        </w:rPr>
        <w:t>of Regulation (EU) No 575/2013</w:t>
      </w:r>
      <w:r w:rsidR="008A05EC" w:rsidRPr="002A677E">
        <w:t>.</w:t>
      </w:r>
    </w:p>
    <w:p w14:paraId="1CDD27F2" w14:textId="534A8F53" w:rsidR="00496C53"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23</w:t>
      </w:r>
      <w:r>
        <w:fldChar w:fldCharType="end"/>
      </w:r>
      <w:r w:rsidR="00125707" w:rsidRPr="002A677E">
        <w:t>.</w:t>
      </w:r>
      <w:r w:rsidR="00125707" w:rsidRPr="002A677E">
        <w:tab/>
      </w:r>
      <w:r w:rsidR="002648B0" w:rsidRPr="002A677E">
        <w:t xml:space="preserve">Institutions shall report in </w:t>
      </w:r>
      <w:r w:rsidR="00EA050A" w:rsidRPr="002A677E">
        <w:t xml:space="preserve">rows </w:t>
      </w:r>
      <w:r w:rsidR="008A05EC" w:rsidRPr="002A677E">
        <w:t>0</w:t>
      </w:r>
      <w:r w:rsidR="00ED66A4" w:rsidRPr="002A677E">
        <w:t xml:space="preserve">070 to </w:t>
      </w:r>
      <w:r w:rsidR="008A05EC" w:rsidRPr="002A677E">
        <w:t>0</w:t>
      </w:r>
      <w:r w:rsidR="00ED66A4" w:rsidRPr="002A677E">
        <w:t>092</w:t>
      </w:r>
      <w:r w:rsidR="002648B0" w:rsidRPr="002A677E">
        <w:t xml:space="preserve"> information </w:t>
      </w:r>
      <w:r w:rsidR="00BB22D4" w:rsidRPr="002A677E">
        <w:t>about</w:t>
      </w:r>
      <w:r w:rsidR="002648B0" w:rsidRPr="002A677E">
        <w:t xml:space="preserve"> the transitional provisions of minority interests and additional Tier 1 and Tier 2 instruments issued by subsidiaries (in accordance with Articles </w:t>
      </w:r>
      <w:r w:rsidR="00B542AB" w:rsidRPr="002A677E">
        <w:t>479</w:t>
      </w:r>
      <w:r w:rsidR="002648B0" w:rsidRPr="002A677E">
        <w:t xml:space="preserve"> and </w:t>
      </w:r>
      <w:r w:rsidR="00B542AB" w:rsidRPr="002A677E">
        <w:t>480</w:t>
      </w:r>
      <w:r w:rsidR="002648B0" w:rsidRPr="002A677E">
        <w:t xml:space="preserve"> </w:t>
      </w:r>
      <w:r w:rsidR="00975344" w:rsidRPr="001235ED">
        <w:rPr>
          <w:lang w:val="en-US"/>
        </w:rPr>
        <w:t>of Regulation (EU) No 575/2013</w:t>
      </w:r>
      <w:r w:rsidR="002648B0" w:rsidRPr="002A677E">
        <w:t>).</w:t>
      </w:r>
    </w:p>
    <w:p w14:paraId="6B522084" w14:textId="5730241E"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24</w:t>
      </w:r>
      <w:r>
        <w:fldChar w:fldCharType="end"/>
      </w:r>
      <w:r w:rsidR="00125707" w:rsidRPr="002A677E">
        <w:t>.</w:t>
      </w:r>
      <w:r w:rsidR="00125707" w:rsidRPr="002A677E">
        <w:tab/>
      </w:r>
      <w:r w:rsidR="00C34837" w:rsidRPr="002A677E">
        <w:t xml:space="preserve">In </w:t>
      </w:r>
      <w:r w:rsidR="00EA050A" w:rsidRPr="002A677E">
        <w:t>rows</w:t>
      </w:r>
      <w:r w:rsidR="00C34837" w:rsidRPr="002A677E">
        <w:t xml:space="preserve"> </w:t>
      </w:r>
      <w:r w:rsidR="008A05EC" w:rsidRPr="002A677E">
        <w:t>0</w:t>
      </w:r>
      <w:r w:rsidR="00C34837" w:rsidRPr="002A677E">
        <w:t>100 onwards</w:t>
      </w:r>
      <w:r w:rsidR="002648B0" w:rsidRPr="002A677E">
        <w:t xml:space="preserve"> institutions shall report information </w:t>
      </w:r>
      <w:r w:rsidR="00BB22D4" w:rsidRPr="002A677E">
        <w:t>about</w:t>
      </w:r>
      <w:r w:rsidR="002A7C84" w:rsidRPr="002A677E">
        <w:t xml:space="preserve"> the</w:t>
      </w:r>
      <w:r w:rsidR="008A05EC" w:rsidRPr="002A677E">
        <w:t xml:space="preserve"> effect of the</w:t>
      </w:r>
      <w:r w:rsidR="002A7C84" w:rsidRPr="002A677E">
        <w:t xml:space="preserve"> transitional provisions </w:t>
      </w:r>
      <w:r w:rsidR="008A05EC" w:rsidRPr="002A677E">
        <w:t>regarding</w:t>
      </w:r>
      <w:r w:rsidR="002A7C84" w:rsidRPr="002A677E">
        <w:t xml:space="preserve"> u</w:t>
      </w:r>
      <w:r w:rsidR="002648B0" w:rsidRPr="002A677E">
        <w:t>nreali</w:t>
      </w:r>
      <w:r w:rsidR="00C7103D" w:rsidRPr="002A677E">
        <w:t>s</w:t>
      </w:r>
      <w:r w:rsidR="002648B0" w:rsidRPr="002A677E">
        <w:t xml:space="preserve">ed gains and losses, </w:t>
      </w:r>
      <w:r w:rsidR="002A7C84" w:rsidRPr="002A677E">
        <w:t>d</w:t>
      </w:r>
      <w:r w:rsidR="002648B0" w:rsidRPr="002A677E">
        <w:t>eductions</w:t>
      </w:r>
      <w:r w:rsidR="008A05EC" w:rsidRPr="002A677E">
        <w:t xml:space="preserve">, </w:t>
      </w:r>
      <w:r w:rsidR="002A7C84" w:rsidRPr="002A677E">
        <w:t>a</w:t>
      </w:r>
      <w:r w:rsidR="002648B0" w:rsidRPr="002A677E">
        <w:t>dditional filters and deductions</w:t>
      </w:r>
      <w:r w:rsidR="008A05EC" w:rsidRPr="002A677E">
        <w:t xml:space="preserve"> and IFRS 9</w:t>
      </w:r>
      <w:r w:rsidR="002648B0" w:rsidRPr="002A677E">
        <w:t>.</w:t>
      </w:r>
    </w:p>
    <w:p w14:paraId="48B64B3C" w14:textId="5DE96BB6" w:rsidR="005643EA"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25</w:t>
      </w:r>
      <w:r>
        <w:fldChar w:fldCharType="end"/>
      </w:r>
      <w:r w:rsidR="00125707" w:rsidRPr="002A677E">
        <w:t>.</w:t>
      </w:r>
      <w:r w:rsidR="00125707" w:rsidRPr="002A677E">
        <w:tab/>
      </w:r>
      <w:r w:rsidR="00B8560C" w:rsidRPr="002A677E">
        <w:t>The</w:t>
      </w:r>
      <w:r w:rsidR="000359E1" w:rsidRPr="002A677E">
        <w:t>re</w:t>
      </w:r>
      <w:r w:rsidR="00B8560C" w:rsidRPr="002A677E">
        <w:t xml:space="preserve"> might be cases where </w:t>
      </w:r>
      <w:r w:rsidR="00D459F5" w:rsidRPr="002A677E">
        <w:t xml:space="preserve">the </w:t>
      </w:r>
      <w:r w:rsidR="00B8560C" w:rsidRPr="002A677E">
        <w:t xml:space="preserve">transitional </w:t>
      </w:r>
      <w:r w:rsidR="00D459F5" w:rsidRPr="002A677E">
        <w:t xml:space="preserve">deductions of CET1, AT1 or T2 capital exceed the CET1, AT1 </w:t>
      </w:r>
      <w:r w:rsidR="00C34837" w:rsidRPr="002A677E">
        <w:t>or T2 capital of an institution.</w:t>
      </w:r>
      <w:r w:rsidR="00D459F5" w:rsidRPr="002A677E">
        <w:t xml:space="preserve"> </w:t>
      </w:r>
      <w:r w:rsidR="00B8560C" w:rsidRPr="002A677E">
        <w:t>Th</w:t>
      </w:r>
      <w:r w:rsidR="00BB22D4" w:rsidRPr="002A677E">
        <w:t>a</w:t>
      </w:r>
      <w:r w:rsidR="0088587E" w:rsidRPr="002A677E">
        <w:t>t</w:t>
      </w:r>
      <w:r w:rsidR="00B8560C" w:rsidRPr="002A677E">
        <w:t xml:space="preserve"> effect – if it results from transitional provisions – </w:t>
      </w:r>
      <w:r w:rsidR="00C34837" w:rsidRPr="002A677E">
        <w:t>shall</w:t>
      </w:r>
      <w:r w:rsidR="00B8560C" w:rsidRPr="002A677E">
        <w:t xml:space="preserve"> be shown in the CA1 template using the respective cells. As a consequence</w:t>
      </w:r>
      <w:r w:rsidR="00C34837" w:rsidRPr="002A677E">
        <w:t>,</w:t>
      </w:r>
      <w:r w:rsidR="00B8560C" w:rsidRPr="002A677E">
        <w:t xml:space="preserve"> the adjustments in the columns of the CA5 template </w:t>
      </w:r>
      <w:r w:rsidR="00BB22D4" w:rsidRPr="002A677E">
        <w:t xml:space="preserve">shall </w:t>
      </w:r>
      <w:r w:rsidR="00B8560C" w:rsidRPr="002A677E">
        <w:t>not include any spill-over</w:t>
      </w:r>
      <w:r w:rsidR="00480A69" w:rsidRPr="002A677E">
        <w:t xml:space="preserve"> </w:t>
      </w:r>
      <w:r w:rsidR="00B8560C" w:rsidRPr="002A677E">
        <w:t xml:space="preserve">effects in the case of insufficient capital available.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0" w:name="_Toc360188336"/>
      <w:bookmarkStart w:id="81" w:name="_Toc473560884"/>
      <w:bookmarkStart w:id="82" w:name="_Toc151714372"/>
      <w:r w:rsidRPr="002A677E">
        <w:rPr>
          <w:rFonts w:ascii="Times New Roman" w:hAnsi="Times New Roman" w:cs="Times New Roman"/>
          <w:sz w:val="24"/>
          <w:lang w:val="en-GB"/>
        </w:rPr>
        <w:t>1.6.2</w:t>
      </w:r>
      <w:r w:rsidR="009258A2" w:rsidRPr="002A677E">
        <w:rPr>
          <w:rFonts w:ascii="Times New Roman" w:hAnsi="Times New Roman" w:cs="Times New Roman"/>
          <w:sz w:val="24"/>
          <w:lang w:val="en-GB"/>
        </w:rPr>
        <w:t>.1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0"/>
      <w:bookmarkEnd w:id="81"/>
      <w:bookmarkEnd w:id="8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67"/>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B055FF">
            <w:pPr>
              <w:pStyle w:val="InstructionsText"/>
            </w:pPr>
            <w:r w:rsidRPr="002A677E">
              <w:t>Columns</w:t>
            </w:r>
          </w:p>
        </w:tc>
      </w:tr>
      <w:tr w:rsidR="002648B0" w:rsidRPr="002A677E" w14:paraId="4109E875" w14:textId="77777777" w:rsidTr="00672D2A">
        <w:tc>
          <w:tcPr>
            <w:tcW w:w="894" w:type="dxa"/>
          </w:tcPr>
          <w:p w14:paraId="7257B7AA"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2A2DFB2E"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2648B0" w:rsidRPr="002A677E" w14:paraId="63E6B990" w14:textId="77777777" w:rsidTr="00672D2A">
        <w:tc>
          <w:tcPr>
            <w:tcW w:w="894" w:type="dxa"/>
          </w:tcPr>
          <w:p w14:paraId="342794B1"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6D800903"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2648B0" w:rsidRPr="002A677E" w14:paraId="2B8BC083" w14:textId="77777777" w:rsidTr="00672D2A">
        <w:tc>
          <w:tcPr>
            <w:tcW w:w="894" w:type="dxa"/>
          </w:tcPr>
          <w:p w14:paraId="2569C4B9"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65ACA6E6"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2648B0" w:rsidRPr="002A677E" w14:paraId="32E23628" w14:textId="77777777" w:rsidTr="00672D2A">
        <w:tc>
          <w:tcPr>
            <w:tcW w:w="894" w:type="dxa"/>
          </w:tcPr>
          <w:p w14:paraId="2B653E34"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661017D9"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126FBA33" w14:textId="6695126E" w:rsidR="005643EA" w:rsidRPr="002A677E" w:rsidRDefault="002648B0"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0</w:t>
            </w:r>
            <w:r w:rsidR="00576215" w:rsidRPr="002A677E">
              <w:rPr>
                <w:rStyle w:val="InstructionsTabelleText"/>
                <w:rFonts w:ascii="Times New Roman" w:hAnsi="Times New Roman"/>
                <w:sz w:val="24"/>
              </w:rPr>
              <w:t>4</w:t>
            </w:r>
            <w:r w:rsidRPr="002A677E">
              <w:rPr>
                <w:rStyle w:val="InstructionsTabelleText"/>
                <w:rFonts w:ascii="Times New Roman" w:hAnsi="Times New Roman"/>
                <w:sz w:val="24"/>
              </w:rPr>
              <w:t xml:space="preserve">0 includes the relevant </w:t>
            </w:r>
            <w:r w:rsidR="00646D1B" w:rsidRPr="002A677E">
              <w:rPr>
                <w:rStyle w:val="InstructionsTabelleText"/>
                <w:rFonts w:ascii="Times New Roman" w:hAnsi="Times New Roman"/>
                <w:sz w:val="24"/>
              </w:rPr>
              <w:t xml:space="preserve">amounts adjusting the total risk exposure amount of Article 92(3) </w:t>
            </w:r>
            <w:r w:rsidR="00402284">
              <w:rPr>
                <w:lang w:val="en-US"/>
              </w:rPr>
              <w:t>of Regulation (EU) No 575/2013</w:t>
            </w:r>
            <w:r w:rsidR="00646D1B" w:rsidRPr="002A677E">
              <w:rPr>
                <w:rStyle w:val="InstructionsTabelleText"/>
                <w:rFonts w:ascii="Times New Roman" w:hAnsi="Times New Roman"/>
                <w:sz w:val="24"/>
              </w:rPr>
              <w:t xml:space="preserve"> due to transitional provisions. The amounts reported shall consider </w:t>
            </w:r>
            <w:r w:rsidRPr="002A677E">
              <w:rPr>
                <w:rStyle w:val="InstructionsTabelleText"/>
                <w:rFonts w:ascii="Times New Roman" w:hAnsi="Times New Roman"/>
                <w:sz w:val="24"/>
              </w:rPr>
              <w:t xml:space="preserve">the application of provisions of Part </w:t>
            </w:r>
            <w:r w:rsidR="00544DA4" w:rsidRPr="002A677E">
              <w:rPr>
                <w:rStyle w:val="InstructionsTabelleText"/>
                <w:rFonts w:ascii="Times New Roman" w:hAnsi="Times New Roman"/>
                <w:sz w:val="24"/>
              </w:rPr>
              <w:t>Three</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Chapter 2 or 3 </w:t>
            </w:r>
            <w:r w:rsidR="00646D1B" w:rsidRPr="002A677E">
              <w:rPr>
                <w:rStyle w:val="InstructionsTabelleText"/>
                <w:rFonts w:ascii="Times New Roman" w:hAnsi="Times New Roman"/>
                <w:sz w:val="24"/>
              </w:rPr>
              <w:t>or of Part Three</w:t>
            </w:r>
            <w:r w:rsidR="00975344"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IV </w:t>
            </w:r>
            <w:r w:rsidR="00646D1B" w:rsidRPr="002A677E">
              <w:rPr>
                <w:rStyle w:val="InstructionsTabelleText"/>
                <w:rFonts w:ascii="Times New Roman" w:hAnsi="Times New Roman"/>
                <w:sz w:val="24"/>
              </w:rPr>
              <w:t>in accordance with Art</w:t>
            </w:r>
            <w:r w:rsidR="00DE223B" w:rsidRPr="002A677E">
              <w:rPr>
                <w:rStyle w:val="InstructionsTabelleText"/>
                <w:rFonts w:ascii="Times New Roman" w:hAnsi="Times New Roman"/>
                <w:sz w:val="24"/>
              </w:rPr>
              <w:t>icle</w:t>
            </w:r>
            <w:r w:rsidR="00646D1B" w:rsidRPr="002A677E">
              <w:rPr>
                <w:rStyle w:val="InstructionsTabelleText"/>
                <w:rFonts w:ascii="Times New Roman" w:hAnsi="Times New Roman"/>
                <w:sz w:val="24"/>
              </w:rPr>
              <w:t xml:space="preserve"> 92(4) </w:t>
            </w:r>
            <w:r w:rsidR="00975344" w:rsidRPr="001235ED">
              <w:rPr>
                <w:lang w:val="en-US"/>
              </w:rPr>
              <w:t>of Regulation (EU) No 575/2013</w:t>
            </w:r>
            <w:r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Th</w:t>
            </w:r>
            <w:r w:rsidR="00BB22D4" w:rsidRPr="002A677E">
              <w:rPr>
                <w:rStyle w:val="InstructionsTabelleText"/>
                <w:rFonts w:ascii="Times New Roman" w:hAnsi="Times New Roman"/>
                <w:sz w:val="24"/>
              </w:rPr>
              <w:t>at</w:t>
            </w:r>
            <w:r w:rsidR="00646D1B" w:rsidRPr="002A677E">
              <w:rPr>
                <w:rStyle w:val="InstructionsTabelleText"/>
                <w:rFonts w:ascii="Times New Roman" w:hAnsi="Times New Roman"/>
                <w:sz w:val="24"/>
              </w:rPr>
              <w:t xml:space="preserve"> means that transitional amounts subject to Part Three</w:t>
            </w:r>
            <w:r w:rsidR="007079CE"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7079CE" w:rsidRPr="002A677E">
              <w:rPr>
                <w:rStyle w:val="InstructionsTabelleText"/>
                <w:rFonts w:ascii="Times New Roman" w:hAnsi="Times New Roman"/>
                <w:sz w:val="24"/>
              </w:rPr>
              <w:t xml:space="preserve">Title II, Chapter 2 or 3 </w:t>
            </w:r>
            <w:r w:rsidR="00087E1A" w:rsidRPr="002A677E">
              <w:rPr>
                <w:rStyle w:val="InstructionsTabelleText"/>
                <w:rFonts w:ascii="Times New Roman" w:hAnsi="Times New Roman"/>
                <w:sz w:val="24"/>
              </w:rPr>
              <w:t>shall</w:t>
            </w:r>
            <w:r w:rsidR="00DC09EA" w:rsidRPr="002A677E">
              <w:rPr>
                <w:rStyle w:val="InstructionsTabelleText"/>
                <w:rFonts w:ascii="Times New Roman" w:hAnsi="Times New Roman"/>
                <w:sz w:val="24"/>
              </w:rPr>
              <w:t xml:space="preserve"> </w:t>
            </w:r>
            <w:r w:rsidR="00646D1B" w:rsidRPr="002A677E">
              <w:rPr>
                <w:rStyle w:val="InstructionsTabelleText"/>
                <w:rFonts w:ascii="Times New Roman" w:hAnsi="Times New Roman"/>
                <w:sz w:val="24"/>
              </w:rPr>
              <w:t>be reported as risk weighted exposure amounts, whereas transitional amounts subject to Part Three</w:t>
            </w:r>
            <w:r w:rsidR="00E67B4A"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E67B4A" w:rsidRPr="002A677E">
              <w:rPr>
                <w:rStyle w:val="InstructionsTabelleText"/>
                <w:rFonts w:ascii="Times New Roman" w:hAnsi="Times New Roman"/>
                <w:sz w:val="24"/>
              </w:rPr>
              <w:t xml:space="preserve">Title IV </w:t>
            </w:r>
            <w:r w:rsidR="00087E1A" w:rsidRPr="002A677E">
              <w:rPr>
                <w:rStyle w:val="InstructionsTabelleText"/>
                <w:rFonts w:ascii="Times New Roman" w:hAnsi="Times New Roman"/>
                <w:sz w:val="24"/>
              </w:rPr>
              <w:t xml:space="preserve">shall </w:t>
            </w:r>
            <w:r w:rsidR="00646D1B" w:rsidRPr="002A677E">
              <w:rPr>
                <w:rStyle w:val="InstructionsTabelleText"/>
                <w:rFonts w:ascii="Times New Roman" w:hAnsi="Times New Roman"/>
                <w:sz w:val="24"/>
              </w:rPr>
              <w:t>represent the own funds r</w:t>
            </w:r>
            <w:r w:rsidR="00201704" w:rsidRPr="002A677E">
              <w:rPr>
                <w:rStyle w:val="InstructionsTabelleText"/>
                <w:rFonts w:ascii="Times New Roman" w:hAnsi="Times New Roman"/>
                <w:sz w:val="24"/>
              </w:rPr>
              <w:t>equirements multiplied by 12</w:t>
            </w:r>
            <w:r w:rsidR="00167619" w:rsidRPr="002A677E">
              <w:rPr>
                <w:rStyle w:val="InstructionsTabelleText"/>
                <w:rFonts w:ascii="Times New Roman" w:hAnsi="Times New Roman"/>
                <w:sz w:val="24"/>
              </w:rPr>
              <w:t>,</w:t>
            </w:r>
            <w:r w:rsidR="00201704" w:rsidRPr="002A677E">
              <w:rPr>
                <w:rStyle w:val="InstructionsTabelleText"/>
                <w:rFonts w:ascii="Times New Roman" w:hAnsi="Times New Roman"/>
                <w:sz w:val="24"/>
              </w:rPr>
              <w:t>5.</w:t>
            </w:r>
          </w:p>
          <w:p w14:paraId="6346EC40" w14:textId="77777777" w:rsidR="005643EA" w:rsidRPr="002A677E" w:rsidRDefault="00B4177D" w:rsidP="00B055FF">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have a direct link to the CA1 </w:t>
            </w:r>
            <w:r w:rsidR="00480A69" w:rsidRPr="002A677E">
              <w:rPr>
                <w:rStyle w:val="InstructionsTabelleText"/>
                <w:rFonts w:ascii="Times New Roman" w:hAnsi="Times New Roman"/>
                <w:sz w:val="24"/>
              </w:rPr>
              <w:t>template</w:t>
            </w:r>
            <w:r w:rsidRPr="002A677E">
              <w:rPr>
                <w:rStyle w:val="InstructionsTabelleText"/>
                <w:rFonts w:ascii="Times New Roman" w:hAnsi="Times New Roman"/>
                <w:sz w:val="24"/>
              </w:rPr>
              <w:t xml:space="preserve">, the adjustments </w:t>
            </w:r>
            <w:r w:rsidR="00646D1B" w:rsidRPr="002A677E">
              <w:rPr>
                <w:rStyle w:val="InstructionsTabelleText"/>
                <w:rFonts w:ascii="Times New Roman" w:hAnsi="Times New Roman"/>
                <w:sz w:val="24"/>
              </w:rPr>
              <w:t xml:space="preserve">to the total risk exposure amount </w:t>
            </w:r>
            <w:r w:rsidRPr="002A677E">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2A677E">
              <w:rPr>
                <w:rStyle w:val="InstructionsTabelleText"/>
                <w:rFonts w:ascii="Times New Roman" w:hAnsi="Times New Roman"/>
                <w:sz w:val="24"/>
              </w:rPr>
              <w:t>total risk exposure amount</w:t>
            </w:r>
            <w:r w:rsidRPr="002A677E">
              <w:rPr>
                <w:rStyle w:val="InstructionsTabelleText"/>
                <w:rFonts w:ascii="Times New Roman" w:hAnsi="Times New Roman"/>
                <w:sz w:val="24"/>
              </w:rPr>
              <w:t xml:space="preserve">, those adjustments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included directly in the CR SA, CR IRB</w:t>
            </w:r>
            <w:r w:rsidR="00646D1B"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CR EQU IRB</w:t>
            </w:r>
            <w:r w:rsidR="00646D1B" w:rsidRPr="002A677E">
              <w:rPr>
                <w:rStyle w:val="InstructionsTabelleText"/>
                <w:rFonts w:ascii="Times New Roman" w:hAnsi="Times New Roman"/>
                <w:sz w:val="24"/>
              </w:rPr>
              <w:t>, MKR SA TDI, MKR SA EQU or MKR IM</w:t>
            </w:r>
            <w:r w:rsidRPr="002A677E">
              <w:rPr>
                <w:rStyle w:val="InstructionsTabelleText"/>
                <w:rFonts w:ascii="Times New Roman" w:hAnsi="Times New Roman"/>
                <w:sz w:val="24"/>
              </w:rPr>
              <w:t xml:space="preserve">. Additionally, those effects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in 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040 of CA5.1. As a consequence, those amounts </w:t>
            </w:r>
            <w:r w:rsidR="00BB22D4"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memorandum items</w:t>
            </w:r>
            <w:r w:rsidR="00BB22D4" w:rsidRPr="002A677E">
              <w:rPr>
                <w:rStyle w:val="InstructionsTabelleText"/>
                <w:rFonts w:ascii="Times New Roman" w:hAnsi="Times New Roman"/>
                <w:sz w:val="24"/>
              </w:rPr>
              <w:t xml:space="preserve"> only</w:t>
            </w:r>
            <w:r w:rsidRPr="002A677E">
              <w:rPr>
                <w:rStyle w:val="InstructionsTabelleText"/>
                <w:rFonts w:ascii="Times New Roman" w:hAnsi="Times New Roman"/>
                <w:sz w:val="24"/>
              </w:rPr>
              <w:t xml:space="preserve">. </w:t>
            </w:r>
          </w:p>
        </w:tc>
      </w:tr>
      <w:tr w:rsidR="002648B0" w:rsidRPr="002A677E" w14:paraId="54D8FD95" w14:textId="77777777" w:rsidTr="00672D2A">
        <w:tc>
          <w:tcPr>
            <w:tcW w:w="894" w:type="dxa"/>
          </w:tcPr>
          <w:p w14:paraId="2B446D61"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7B24FBB3"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2648B0" w:rsidRPr="002A677E" w14:paraId="0A9D0532" w14:textId="77777777" w:rsidTr="00672D2A">
        <w:tc>
          <w:tcPr>
            <w:tcW w:w="894" w:type="dxa"/>
          </w:tcPr>
          <w:p w14:paraId="23852B33"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6D716D9" w14:textId="77777777" w:rsidR="005643EA" w:rsidRPr="002A677E" w:rsidRDefault="002648B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44945C12" w14:textId="77777777" w:rsidR="005643EA" w:rsidRPr="002A677E" w:rsidRDefault="008A05EC"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This c</w:t>
            </w:r>
            <w:r w:rsidR="002648B0" w:rsidRPr="002A677E">
              <w:rPr>
                <w:rStyle w:val="InstructionsTabelleText"/>
                <w:rFonts w:ascii="Times New Roman" w:hAnsi="Times New Roman"/>
                <w:sz w:val="24"/>
              </w:rPr>
              <w:t>olumn includes the amount of each instrument prior the application of transitional provisions</w:t>
            </w:r>
            <w:r w:rsidR="00BB22D4" w:rsidRPr="002A677E">
              <w:rPr>
                <w:rStyle w:val="InstructionsTabelleText"/>
                <w:rFonts w:ascii="Times New Roman" w:hAnsi="Times New Roman"/>
                <w:sz w:val="24"/>
              </w:rPr>
              <w:t>,</w:t>
            </w:r>
            <w:r w:rsidR="002648B0" w:rsidRPr="002A677E">
              <w:rPr>
                <w:rStyle w:val="InstructionsTabelleText"/>
                <w:rFonts w:ascii="Times New Roman" w:hAnsi="Times New Roman"/>
                <w:sz w:val="24"/>
              </w:rPr>
              <w:t xml:space="preserve"> </w:t>
            </w:r>
            <w:r w:rsidR="00BB22D4" w:rsidRPr="002A677E">
              <w:rPr>
                <w:rStyle w:val="InstructionsTabelleText"/>
                <w:rFonts w:ascii="Times New Roman" w:hAnsi="Times New Roman"/>
                <w:sz w:val="24"/>
              </w:rPr>
              <w:t>i</w:t>
            </w:r>
            <w:r w:rsidR="007C3B71" w:rsidRPr="002A677E">
              <w:rPr>
                <w:rStyle w:val="InstructionsTabelleText"/>
                <w:rFonts w:ascii="Times New Roman" w:hAnsi="Times New Roman"/>
                <w:sz w:val="24"/>
              </w:rPr>
              <w:t>.e.</w:t>
            </w:r>
            <w:r w:rsidR="002648B0" w:rsidRPr="002A677E">
              <w:rPr>
                <w:rStyle w:val="InstructionsTabelleText"/>
                <w:rFonts w:ascii="Times New Roman" w:hAnsi="Times New Roman"/>
                <w:sz w:val="24"/>
              </w:rPr>
              <w:t xml:space="preserve"> the basis amount relevant to calculate the adjustments.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67"/>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B055FF">
            <w:pPr>
              <w:pStyle w:val="InstructionsText"/>
            </w:pPr>
            <w:r w:rsidRPr="002A677E">
              <w:t>Rows</w:t>
            </w:r>
          </w:p>
        </w:tc>
      </w:tr>
      <w:tr w:rsidR="002648B0" w:rsidRPr="002A677E" w14:paraId="09BB4E6C" w14:textId="77777777" w:rsidTr="00672D2A">
        <w:tc>
          <w:tcPr>
            <w:tcW w:w="1012" w:type="dxa"/>
          </w:tcPr>
          <w:p w14:paraId="3479F910"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4654B3AD" w14:textId="77777777" w:rsidR="005643EA" w:rsidRPr="002A677E" w:rsidRDefault="00C66473" w:rsidP="00B055FF">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adjustments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sidR="00B83DDE">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w:t>
            </w:r>
            <w:r w:rsidR="00BB22D4" w:rsidRPr="002A677E">
              <w:rPr>
                <w:rStyle w:val="InstructionsTabelleText"/>
                <w:rFonts w:ascii="Times New Roman" w:hAnsi="Times New Roman"/>
                <w:sz w:val="24"/>
              </w:rPr>
              <w:t>o</w:t>
            </w:r>
            <w:r w:rsidRPr="002A677E">
              <w:rPr>
                <w:rStyle w:val="InstructionsTabelleText"/>
                <w:rFonts w:ascii="Times New Roman" w:hAnsi="Times New Roman"/>
                <w:sz w:val="24"/>
              </w:rPr>
              <w:t>se ad</w:t>
            </w:r>
            <w:r w:rsidR="00201704" w:rsidRPr="002A677E">
              <w:rPr>
                <w:rStyle w:val="InstructionsTabelleText"/>
                <w:rFonts w:ascii="Times New Roman" w:hAnsi="Times New Roman"/>
                <w:sz w:val="24"/>
              </w:rPr>
              <w:t>justments</w:t>
            </w:r>
          </w:p>
        </w:tc>
      </w:tr>
      <w:tr w:rsidR="002648B0" w:rsidRPr="002A677E" w14:paraId="61E393E2" w14:textId="77777777" w:rsidTr="00672D2A">
        <w:tc>
          <w:tcPr>
            <w:tcW w:w="1012" w:type="dxa"/>
          </w:tcPr>
          <w:p w14:paraId="71BC2839"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 xml:space="preserve">020 </w:t>
            </w:r>
          </w:p>
        </w:tc>
        <w:tc>
          <w:tcPr>
            <w:tcW w:w="7478" w:type="dxa"/>
          </w:tcPr>
          <w:p w14:paraId="5A600C3D" w14:textId="77777777" w:rsidR="005643EA" w:rsidRPr="002A677E" w:rsidRDefault="002648B0"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w:t>
            </w:r>
          </w:p>
          <w:p w14:paraId="31C271FA" w14:textId="06C8CFEF" w:rsidR="002648B0" w:rsidRPr="001235ED" w:rsidRDefault="002648B0" w:rsidP="007106FB">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w:t>
            </w:r>
            <w:r w:rsidR="00B542AB" w:rsidRPr="002A677E">
              <w:rPr>
                <w:rStyle w:val="InstructionsTabelleText"/>
                <w:rFonts w:ascii="Times New Roman" w:hAnsi="Times New Roman"/>
                <w:sz w:val="24"/>
              </w:rPr>
              <w:t>483</w:t>
            </w:r>
            <w:r w:rsidRPr="002A677E">
              <w:rPr>
                <w:rStyle w:val="InstructionsTabelleText"/>
                <w:rFonts w:ascii="Times New Roman" w:hAnsi="Times New Roman"/>
                <w:sz w:val="24"/>
              </w:rPr>
              <w:t xml:space="preserve"> to </w:t>
            </w:r>
            <w:r w:rsidR="00B542AB" w:rsidRPr="002A677E">
              <w:rPr>
                <w:rStyle w:val="InstructionsTabelleText"/>
                <w:rFonts w:ascii="Times New Roman" w:hAnsi="Times New Roman"/>
                <w:sz w:val="24"/>
              </w:rPr>
              <w:t>491</w:t>
            </w:r>
            <w:r w:rsidR="00201704"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2648B0" w:rsidRPr="002A677E" w14:paraId="0CE0E39F" w14:textId="77777777" w:rsidTr="00672D2A">
        <w:tc>
          <w:tcPr>
            <w:tcW w:w="1012" w:type="dxa"/>
          </w:tcPr>
          <w:p w14:paraId="72AD3E7C" w14:textId="77777777" w:rsidR="002648B0"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w:t>
            </w:r>
            <w:r w:rsidR="00201704" w:rsidRPr="002A677E">
              <w:rPr>
                <w:rStyle w:val="InstructionsTabelleberschrift"/>
                <w:rFonts w:ascii="Times New Roman" w:hAnsi="Times New Roman"/>
                <w:sz w:val="24"/>
              </w:rPr>
              <w:t>ents not constituting state aid</w:t>
            </w:r>
          </w:p>
          <w:p w14:paraId="5434E924" w14:textId="640D0C27" w:rsidR="002648B0" w:rsidRPr="002A677E" w:rsidRDefault="002648B0" w:rsidP="00F834C3">
            <w:pPr>
              <w:spacing w:before="0"/>
              <w:rPr>
                <w:rFonts w:ascii="Times New Roman" w:hAnsi="Times New Roman"/>
                <w:b/>
                <w:bCs/>
                <w:sz w:val="24"/>
              </w:rPr>
            </w:pPr>
            <w:r w:rsidRPr="002A677E">
              <w:rPr>
                <w:rStyle w:val="InstructionsTabelleText"/>
                <w:rFonts w:ascii="Times New Roman" w:hAnsi="Times New Roman"/>
                <w:sz w:val="24"/>
              </w:rPr>
              <w:t xml:space="preserve">The amounts to be reported </w:t>
            </w:r>
            <w:r w:rsidR="00FC1030"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obtained from column 060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CA5.2</w:t>
            </w:r>
            <w:r w:rsidR="00133396" w:rsidRPr="002A677E">
              <w:rPr>
                <w:rStyle w:val="InstructionsTabelleText"/>
                <w:rFonts w:ascii="Times New Roman" w:hAnsi="Times New Roman"/>
                <w:sz w:val="24"/>
              </w:rPr>
              <w:t xml:space="preserve"> template</w:t>
            </w:r>
          </w:p>
        </w:tc>
      </w:tr>
      <w:tr w:rsidR="00BF0637" w:rsidRPr="002A677E" w14:paraId="7FFE9113" w14:textId="77777777" w:rsidTr="00672D2A">
        <w:tc>
          <w:tcPr>
            <w:tcW w:w="1012" w:type="dxa"/>
          </w:tcPr>
          <w:p w14:paraId="2A890090" w14:textId="77777777" w:rsidR="00BF0637"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00975344" w:rsidRPr="001235ED">
              <w:rPr>
                <w:rFonts w:ascii="Times New Roman" w:hAnsi="Times New Roman"/>
                <w:sz w:val="24"/>
                <w:lang w:val="en-US"/>
              </w:rPr>
              <w:t>of Regulation (EU) No 575/2013</w:t>
            </w:r>
          </w:p>
        </w:tc>
      </w:tr>
      <w:tr w:rsidR="00BF0637" w:rsidRPr="002A677E" w14:paraId="5E3521EF" w14:textId="77777777" w:rsidTr="00672D2A">
        <w:tc>
          <w:tcPr>
            <w:tcW w:w="1012" w:type="dxa"/>
          </w:tcPr>
          <w:p w14:paraId="64107DF0" w14:textId="77777777" w:rsidR="00BF0637" w:rsidRPr="002A677E" w:rsidRDefault="008A05EC"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00B64EB6" w:rsidRPr="002A677E">
              <w:rPr>
                <w:rFonts w:ascii="Times New Roman" w:hAnsi="Times New Roman"/>
                <w:sz w:val="24"/>
              </w:rPr>
              <w:t>of Directive 2014/59/EU</w:t>
            </w:r>
            <w:r w:rsidR="00CF206F" w:rsidRPr="002A677E">
              <w:rPr>
                <w:rStyle w:val="InstructionsTabelleberschrift"/>
                <w:rFonts w:ascii="Times New Roman" w:hAnsi="Times New Roman"/>
                <w:sz w:val="24"/>
              </w:rPr>
              <w:t xml:space="preserve"> or are subject to set-off or netting arrangements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975344" w:rsidRPr="001235ED">
              <w:rPr>
                <w:rFonts w:ascii="Times New Roman" w:hAnsi="Times New Roman"/>
                <w:sz w:val="24"/>
                <w:lang w:val="en-US"/>
              </w:rPr>
              <w:t>of Regulation (EU) No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the amount of instruments within t</w:t>
            </w:r>
            <w:r w:rsidR="0044539D" w:rsidRPr="002A677E">
              <w:rPr>
                <w:rStyle w:val="InstructionsTabelleberschrift"/>
                <w:rFonts w:ascii="Times New Roman" w:hAnsi="Times New Roman"/>
                <w:b w:val="0"/>
                <w:sz w:val="24"/>
                <w:u w:val="none"/>
              </w:rPr>
              <w:t xml:space="preserve">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one or several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oints (p), (q) and (r)</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or Article 63 </w:t>
            </w:r>
            <w:r w:rsidR="002E796C" w:rsidRPr="002A677E">
              <w:rPr>
                <w:rStyle w:val="InstructionsTabelleberschrift"/>
                <w:rFonts w:ascii="Times New Roman" w:hAnsi="Times New Roman"/>
                <w:b w:val="0"/>
                <w:sz w:val="24"/>
                <w:u w:val="none"/>
              </w:rPr>
              <w:t>points (n), (o) and (p)</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04C394EE" w14:textId="18D0E93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Tier 2 instruments eli</w:t>
            </w:r>
            <w:r w:rsidR="0044539D" w:rsidRPr="002A677E">
              <w:rPr>
                <w:rStyle w:val="InstructionsTabelleberschrift"/>
                <w:rFonts w:ascii="Times New Roman" w:hAnsi="Times New Roman"/>
                <w:b w:val="0"/>
                <w:sz w:val="24"/>
                <w:u w:val="none"/>
              </w:rPr>
              <w:t xml:space="preserve">gible </w:t>
            </w:r>
            <w:r w:rsidR="00EA1F5A" w:rsidRPr="002A677E">
              <w:rPr>
                <w:rStyle w:val="InstructionsTabelleberschrift"/>
                <w:rFonts w:ascii="Times New Roman" w:hAnsi="Times New Roman"/>
                <w:b w:val="0"/>
                <w:sz w:val="24"/>
                <w:u w:val="none"/>
              </w:rPr>
              <w:t>in accordance with</w:t>
            </w:r>
            <w:r w:rsidR="0044539D" w:rsidRPr="002A677E">
              <w:rPr>
                <w:rStyle w:val="InstructionsTabelleberschrift"/>
                <w:rFonts w:ascii="Times New Roman" w:hAnsi="Times New Roman"/>
                <w:b w:val="0"/>
                <w:sz w:val="24"/>
                <w:u w:val="none"/>
              </w:rPr>
              <w:t xml:space="preserve"> Article 494b</w:t>
            </w:r>
            <w:r w:rsidRPr="002A677E">
              <w:rPr>
                <w:rStyle w:val="InstructionsTabelleberschrift"/>
                <w:rFonts w:ascii="Times New Roman" w:hAnsi="Times New Roman"/>
                <w:b w:val="0"/>
                <w:sz w:val="24"/>
                <w:u w:val="none"/>
              </w:rPr>
              <w:t xml:space="preserve">(2)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BF0637" w:rsidRPr="002A677E" w14:paraId="6C4658AE" w14:textId="77777777" w:rsidTr="00672D2A">
        <w:tc>
          <w:tcPr>
            <w:tcW w:w="1012" w:type="dxa"/>
          </w:tcPr>
          <w:p w14:paraId="3763C5DC" w14:textId="77777777" w:rsidR="00BF0637" w:rsidRPr="002A677E" w:rsidRDefault="00BF0637"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of which: Instruments without legally or contractually mandatory write-down or conversion upon exercise of</w:t>
            </w:r>
            <w:r w:rsidR="006E5764" w:rsidRPr="002A677E">
              <w:rPr>
                <w:rStyle w:val="InstructionsTabelleberschrift"/>
                <w:rFonts w:ascii="Times New Roman" w:hAnsi="Times New Roman"/>
                <w:sz w:val="24"/>
              </w:rPr>
              <w:t xml:space="preserve"> powers in accordance with</w:t>
            </w:r>
            <w:r w:rsidRPr="002A677E">
              <w:rPr>
                <w:rStyle w:val="InstructionsTabelleberschrift"/>
                <w:rFonts w:ascii="Times New Roman" w:hAnsi="Times New Roman"/>
                <w:sz w:val="24"/>
              </w:rPr>
              <w:t xml:space="preserve"> Article 59 </w:t>
            </w:r>
            <w:r w:rsidR="00B64EB6" w:rsidRPr="001235ED">
              <w:rPr>
                <w:rStyle w:val="InstructionsTabelleberschrift"/>
                <w:rFonts w:ascii="Times New Roman" w:hAnsi="Times New Roman"/>
                <w:sz w:val="24"/>
              </w:rPr>
              <w:t>of Directive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(n)</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 xml:space="preserve">or </w:t>
            </w:r>
            <w:r w:rsidR="0044539D" w:rsidRPr="002A677E">
              <w:rPr>
                <w:rStyle w:val="InstructionsTabelleberschrift"/>
                <w:rFonts w:ascii="Times New Roman" w:hAnsi="Times New Roman"/>
                <w:b w:val="0"/>
                <w:sz w:val="24"/>
                <w:u w:val="none"/>
              </w:rPr>
              <w:t>point (n)</w:t>
            </w:r>
            <w:r w:rsidR="00BE1277">
              <w:rPr>
                <w:rStyle w:val="InstructionsTabelleberschrift"/>
                <w:rFonts w:ascii="Times New Roman" w:hAnsi="Times New Roman"/>
                <w:b w:val="0"/>
                <w:sz w:val="24"/>
                <w:u w:val="none"/>
              </w:rPr>
              <w:t>,</w:t>
            </w:r>
            <w:r w:rsidR="0044539D" w:rsidRPr="002A677E">
              <w:rPr>
                <w:rStyle w:val="InstructionsTabelleberschrift"/>
                <w:rFonts w:ascii="Times New Roman" w:hAnsi="Times New Roman"/>
                <w:b w:val="0"/>
                <w:sz w:val="24"/>
                <w:u w:val="none"/>
              </w:rPr>
              <w:t xml:space="preserve"> of </w:t>
            </w:r>
            <w:r w:rsidRPr="002A677E">
              <w:rPr>
                <w:rStyle w:val="InstructionsTabelleberschrift"/>
                <w:rFonts w:ascii="Times New Roman" w:hAnsi="Times New Roman"/>
                <w:b w:val="0"/>
                <w:sz w:val="24"/>
                <w:u w:val="none"/>
              </w:rPr>
              <w:t xml:space="preserve">Article 63 </w:t>
            </w:r>
            <w:r w:rsidR="00975344" w:rsidRPr="002A677E">
              <w:rPr>
                <w:rStyle w:val="InstructionsTabelleberschrift"/>
                <w:rFonts w:ascii="Times New Roman" w:hAnsi="Times New Roman"/>
                <w:b w:val="0"/>
                <w:sz w:val="24"/>
                <w:u w:val="none"/>
              </w:rPr>
              <w:t>of that Regulation</w:t>
            </w:r>
            <w:r w:rsidRPr="002A677E">
              <w:rPr>
                <w:rStyle w:val="InstructionsTabelleberschrift"/>
                <w:rFonts w:ascii="Times New Roman" w:hAnsi="Times New Roman"/>
                <w:b w:val="0"/>
                <w:sz w:val="24"/>
                <w:u w:val="none"/>
              </w:rPr>
              <w:t>, as applicable.</w:t>
            </w:r>
          </w:p>
          <w:p w14:paraId="1A98A032" w14:textId="0B5D07A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(q)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(o)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CD8CFC8" w14:textId="77777777" w:rsidTr="00672D2A">
        <w:tc>
          <w:tcPr>
            <w:tcW w:w="1012" w:type="dxa"/>
          </w:tcPr>
          <w:p w14:paraId="61C50617" w14:textId="77777777" w:rsidR="00BF0637" w:rsidRPr="002A677E" w:rsidRDefault="00BF0637"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w:t>
            </w:r>
            <w:r w:rsidR="006E5764" w:rsidRPr="002A677E">
              <w:rPr>
                <w:rStyle w:val="InstructionsTabelleberschrift"/>
                <w:rFonts w:ascii="Times New Roman" w:hAnsi="Times New Roman"/>
                <w:sz w:val="24"/>
              </w:rPr>
              <w:t xml:space="preserve">powers in accordance with </w:t>
            </w:r>
            <w:r w:rsidRPr="002A677E">
              <w:rPr>
                <w:rStyle w:val="InstructionsTabelleberschrift"/>
                <w:rFonts w:ascii="Times New Roman" w:hAnsi="Times New Roman"/>
                <w:sz w:val="24"/>
              </w:rPr>
              <w:t xml:space="preserve">Article 59 </w:t>
            </w:r>
            <w:r w:rsidR="00B64EB6" w:rsidRPr="001235ED">
              <w:rPr>
                <w:rStyle w:val="InstructionsTabelleberschrift"/>
                <w:rFonts w:ascii="Times New Roman" w:hAnsi="Times New Roman"/>
                <w:sz w:val="24"/>
              </w:rPr>
              <w:t>of Directive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00533D84" w:rsidRPr="002A677E">
              <w:rPr>
                <w:rStyle w:val="InstructionsTabelleberschrift"/>
                <w:rFonts w:ascii="Times New Roman" w:hAnsi="Times New Roman"/>
                <w:b w:val="0"/>
                <w:sz w:val="24"/>
                <w:u w:val="none"/>
              </w:rPr>
              <w:t>and Article</w:t>
            </w:r>
            <w:r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756E8B09" w14:textId="7D069E82"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(p)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2BEAD0E" w14:textId="77777777" w:rsidTr="00672D2A">
        <w:tc>
          <w:tcPr>
            <w:tcW w:w="1012" w:type="dxa"/>
          </w:tcPr>
          <w:p w14:paraId="14A7FAB5"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975344" w:rsidRPr="001235ED">
              <w:rPr>
                <w:rFonts w:ascii="Times New Roman" w:hAnsi="Times New Roman"/>
                <w:sz w:val="24"/>
                <w:lang w:val="en-US"/>
              </w:rPr>
              <w:t xml:space="preserve"> of Regulation (EU) No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(r)</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2A677E">
              <w:rPr>
                <w:rStyle w:val="InstructionsTabelleberschrift"/>
                <w:rFonts w:ascii="Times New Roman" w:hAnsi="Times New Roman"/>
                <w:b w:val="0"/>
                <w:sz w:val="24"/>
                <w:u w:val="none"/>
              </w:rPr>
              <w:t>of the Regulation</w:t>
            </w:r>
            <w:r w:rsidRPr="002A677E">
              <w:rPr>
                <w:rStyle w:val="InstructionsTabelleberschrift"/>
                <w:rFonts w:ascii="Times New Roman" w:hAnsi="Times New Roman"/>
                <w:b w:val="0"/>
                <w:sz w:val="24"/>
                <w:u w:val="none"/>
              </w:rPr>
              <w:t>, as applicable.</w:t>
            </w:r>
          </w:p>
          <w:p w14:paraId="349DBF3F" w14:textId="3C3D5600"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or (q)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(o)</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BF0637" w:rsidRPr="002A677E" w14:paraId="524B080B" w14:textId="77777777" w:rsidTr="00672D2A">
        <w:tc>
          <w:tcPr>
            <w:tcW w:w="1012" w:type="dxa"/>
          </w:tcPr>
          <w:p w14:paraId="0801AB69"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7478" w:type="dxa"/>
          </w:tcPr>
          <w:p w14:paraId="43198CE6" w14:textId="77777777" w:rsidR="00BF0637" w:rsidRPr="002A677E" w:rsidRDefault="00BF0637" w:rsidP="00B055FF">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63F1E68" w14:textId="5BA82046"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00975344" w:rsidRPr="001235ED">
              <w:rPr>
                <w:rFonts w:ascii="Times New Roman" w:hAnsi="Times New Roman"/>
                <w:sz w:val="24"/>
                <w:lang w:val="en-US"/>
              </w:rPr>
              <w:t>of Regulation (EU) No 575/2013</w:t>
            </w:r>
          </w:p>
          <w:p w14:paraId="7E7E673A"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2A677E" w14:paraId="5E02D070" w14:textId="77777777" w:rsidTr="00672D2A">
        <w:tc>
          <w:tcPr>
            <w:tcW w:w="1012" w:type="dxa"/>
          </w:tcPr>
          <w:p w14:paraId="23805E19"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7478" w:type="dxa"/>
          </w:tcPr>
          <w:p w14:paraId="0EA69F3B" w14:textId="77777777" w:rsidR="00BF0637" w:rsidRPr="002A677E" w:rsidRDefault="00BF0637" w:rsidP="00B055FF">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29374C1D" w14:textId="5BEB110B" w:rsidR="00BF0637" w:rsidRPr="002A677E" w:rsidRDefault="00BF0637" w:rsidP="00B055FF">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00975344" w:rsidRPr="001235ED">
              <w:rPr>
                <w:lang w:val="en-US"/>
              </w:rPr>
              <w:t>of Regulation (EU) No 575/2013</w:t>
            </w:r>
          </w:p>
          <w:p w14:paraId="496FB86C" w14:textId="77777777" w:rsidR="00BF0637" w:rsidRPr="002A677E" w:rsidRDefault="00BF0637" w:rsidP="00B055FF">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2A677E" w14:paraId="0892022F" w14:textId="77777777" w:rsidTr="00672D2A">
        <w:tc>
          <w:tcPr>
            <w:tcW w:w="1012" w:type="dxa"/>
          </w:tcPr>
          <w:p w14:paraId="2D034449"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7478" w:type="dxa"/>
          </w:tcPr>
          <w:p w14:paraId="715F7810"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768DEBF4" w14:textId="63F9B740"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00975344" w:rsidRPr="001235ED">
              <w:rPr>
                <w:lang w:val="en-US"/>
              </w:rPr>
              <w:t>of Regulation (EU) No 575/2013</w:t>
            </w:r>
          </w:p>
          <w:p w14:paraId="3DA1F071" w14:textId="77777777" w:rsidR="00BF0637" w:rsidRPr="002A677E" w:rsidRDefault="00BF0637" w:rsidP="00B055FF">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1FC7388F" w14:textId="77777777" w:rsidTr="00672D2A">
        <w:tc>
          <w:tcPr>
            <w:tcW w:w="1012" w:type="dxa"/>
          </w:tcPr>
          <w:p w14:paraId="646A8476"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091</w:t>
            </w:r>
          </w:p>
        </w:tc>
        <w:tc>
          <w:tcPr>
            <w:tcW w:w="7478" w:type="dxa"/>
          </w:tcPr>
          <w:p w14:paraId="65689654" w14:textId="77777777" w:rsidR="00BF0637" w:rsidRPr="002A677E" w:rsidRDefault="00BF063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785C1131" w14:textId="7DF7ED6F"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00975344" w:rsidRPr="001235ED">
              <w:rPr>
                <w:lang w:val="en-US"/>
              </w:rPr>
              <w:t>of Regulation (EU) No 575/2013</w:t>
            </w:r>
          </w:p>
          <w:p w14:paraId="7F0C8E97" w14:textId="77777777"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7F090363" w14:textId="77777777" w:rsidTr="00672D2A">
        <w:tc>
          <w:tcPr>
            <w:tcW w:w="1012" w:type="dxa"/>
          </w:tcPr>
          <w:p w14:paraId="38D1899C"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092</w:t>
            </w:r>
          </w:p>
        </w:tc>
        <w:tc>
          <w:tcPr>
            <w:tcW w:w="7478" w:type="dxa"/>
          </w:tcPr>
          <w:p w14:paraId="59990055" w14:textId="77777777" w:rsidR="00BF0637" w:rsidRPr="002A677E" w:rsidRDefault="00BF063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5DAEB4D6" w14:textId="2B5CBDB3"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00975344" w:rsidRPr="001235ED">
              <w:rPr>
                <w:lang w:val="en-US"/>
              </w:rPr>
              <w:t>of Regulation (EU) No 575/2013</w:t>
            </w:r>
          </w:p>
          <w:p w14:paraId="125C6E88" w14:textId="77777777"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22FB7DFF" w14:textId="77777777" w:rsidTr="00672D2A">
        <w:tc>
          <w:tcPr>
            <w:tcW w:w="1012" w:type="dxa"/>
          </w:tcPr>
          <w:p w14:paraId="17D3DEB5"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7478" w:type="dxa"/>
          </w:tcPr>
          <w:p w14:paraId="36139567"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28576D7B" w14:textId="1FE657F7"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Articles 46</w:t>
            </w:r>
            <w:r w:rsidR="00E03E51"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to 478 and Article 481 </w:t>
            </w:r>
            <w:r w:rsidR="00975344" w:rsidRPr="001235ED">
              <w:rPr>
                <w:rFonts w:ascii="Times New Roman" w:hAnsi="Times New Roman"/>
                <w:sz w:val="24"/>
                <w:lang w:val="en-US"/>
              </w:rPr>
              <w:t>of Regulation (EU) No 575/2013</w:t>
            </w:r>
          </w:p>
          <w:p w14:paraId="3D0FD217"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2A677E" w14:paraId="1B784F69" w14:textId="77777777" w:rsidTr="00672D2A">
        <w:tc>
          <w:tcPr>
            <w:tcW w:w="1012" w:type="dxa"/>
          </w:tcPr>
          <w:p w14:paraId="251D579C" w14:textId="77777777" w:rsidR="00FA67D6" w:rsidRPr="001235ED" w:rsidRDefault="00FA67D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0111</w:t>
            </w:r>
          </w:p>
        </w:tc>
        <w:tc>
          <w:tcPr>
            <w:tcW w:w="7478" w:type="dxa"/>
          </w:tcPr>
          <w:p w14:paraId="71B6C972" w14:textId="77777777" w:rsidR="00FA67D6" w:rsidRPr="002A677E" w:rsidRDefault="00FA67D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1.3.1.6 Unrealised gains </w:t>
            </w:r>
            <w:r w:rsidR="00342261" w:rsidRPr="002A677E">
              <w:rPr>
                <w:rStyle w:val="InstructionsTabelleberschrift"/>
                <w:rFonts w:ascii="Times New Roman" w:hAnsi="Times New Roman"/>
                <w:sz w:val="24"/>
              </w:rPr>
              <w:t>and</w:t>
            </w:r>
            <w:r w:rsidRPr="002A677E">
              <w:rPr>
                <w:rStyle w:val="InstructionsTabelleberschrift"/>
                <w:rFonts w:ascii="Times New Roman" w:hAnsi="Times New Roman"/>
                <w:sz w:val="24"/>
              </w:rPr>
              <w:t xml:space="preserve"> losses from </w:t>
            </w:r>
            <w:r w:rsidR="00E03E51" w:rsidRPr="002A677E">
              <w:rPr>
                <w:rStyle w:val="InstructionsTabelleberschrift"/>
                <w:rFonts w:ascii="Times New Roman" w:hAnsi="Times New Roman"/>
                <w:sz w:val="24"/>
              </w:rPr>
              <w:t>certain</w:t>
            </w:r>
            <w:r w:rsidRPr="002A677E">
              <w:rPr>
                <w:rStyle w:val="InstructionsTabelleberschrift"/>
                <w:rFonts w:ascii="Times New Roman" w:hAnsi="Times New Roman"/>
                <w:sz w:val="24"/>
              </w:rPr>
              <w:t xml:space="preserve"> debt exposures</w:t>
            </w:r>
            <w:r w:rsidR="00E03E51" w:rsidRPr="002A677E">
              <w:rPr>
                <w:rStyle w:val="InstructionsTabelleberschrift"/>
                <w:rFonts w:ascii="Times New Roman" w:hAnsi="Times New Roman"/>
                <w:sz w:val="24"/>
              </w:rPr>
              <w:t xml:space="preserve"> to central governments, regional governments, local authorities and PSEs</w:t>
            </w:r>
          </w:p>
          <w:p w14:paraId="0C5B0916" w14:textId="62C973B3" w:rsidR="00FA67D6" w:rsidRPr="002A677E" w:rsidRDefault="00FA67D6" w:rsidP="00B055FF">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00975344" w:rsidRPr="001235ED">
              <w:rPr>
                <w:lang w:val="en-US"/>
              </w:rPr>
              <w:t>of Regulation (EU) No 575/2013</w:t>
            </w:r>
          </w:p>
        </w:tc>
      </w:tr>
      <w:tr w:rsidR="00FA67D6" w:rsidRPr="002A677E" w14:paraId="43CE3069" w14:textId="77777777" w:rsidTr="00672D2A">
        <w:tc>
          <w:tcPr>
            <w:tcW w:w="1012" w:type="dxa"/>
          </w:tcPr>
          <w:p w14:paraId="718B2E62" w14:textId="77777777" w:rsidR="00FA67D6" w:rsidRPr="001235ED" w:rsidRDefault="00FA67D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0112</w:t>
            </w:r>
          </w:p>
        </w:tc>
        <w:tc>
          <w:tcPr>
            <w:tcW w:w="7478" w:type="dxa"/>
          </w:tcPr>
          <w:p w14:paraId="037F4B22" w14:textId="77777777" w:rsidR="00FA67D6" w:rsidRPr="002A677E" w:rsidRDefault="00FA67D6"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45720F9F" w14:textId="6568731D" w:rsidR="00FA67D6" w:rsidRPr="002A677E" w:rsidRDefault="00FA67D6" w:rsidP="00B055FF">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w:t>
            </w:r>
            <w:r w:rsidR="00C3220C"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Article 468(1) </w:t>
            </w:r>
            <w:r w:rsidR="00975344" w:rsidRPr="001235ED">
              <w:rPr>
                <w:lang w:val="en-US"/>
              </w:rPr>
              <w:t>of Regulation (EU) No 575/2013</w:t>
            </w:r>
          </w:p>
        </w:tc>
      </w:tr>
      <w:tr w:rsidR="00BF0637" w:rsidRPr="002A677E" w14:paraId="721940B4" w14:textId="77777777" w:rsidTr="00672D2A">
        <w:tc>
          <w:tcPr>
            <w:tcW w:w="1012" w:type="dxa"/>
          </w:tcPr>
          <w:p w14:paraId="58240A54"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7478" w:type="dxa"/>
          </w:tcPr>
          <w:p w14:paraId="79AD1EB7"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01804965" w14:textId="73151E9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00975344" w:rsidRPr="001235ED">
              <w:rPr>
                <w:rFonts w:ascii="Times New Roman" w:hAnsi="Times New Roman"/>
                <w:sz w:val="24"/>
                <w:lang w:val="en-US"/>
              </w:rPr>
              <w:t>of Regulation (EU) No 575/2013</w:t>
            </w:r>
          </w:p>
          <w:p w14:paraId="318C655C"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BF0637" w:rsidRPr="002A677E" w14:paraId="06AC2BAC" w14:textId="77777777" w:rsidTr="00672D2A">
        <w:tc>
          <w:tcPr>
            <w:tcW w:w="1012" w:type="dxa"/>
          </w:tcPr>
          <w:p w14:paraId="4DD42D44"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7478" w:type="dxa"/>
          </w:tcPr>
          <w:p w14:paraId="5FD97347" w14:textId="77777777" w:rsidR="00BF0637" w:rsidRPr="002A677E" w:rsidRDefault="00BF063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34284203" w14:textId="2D520E5B"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Pr="002A677E">
              <w:rPr>
                <w:rStyle w:val="InstructionsTabelleText"/>
                <w:rFonts w:ascii="Times New Roman" w:hAnsi="Times New Roman"/>
                <w:sz w:val="24"/>
              </w:rPr>
              <w:t xml:space="preserve">Articles 469(1) and 472(5) and Article 478 </w:t>
            </w:r>
            <w:r w:rsidR="00975344" w:rsidRPr="001235ED">
              <w:rPr>
                <w:lang w:val="en-US"/>
              </w:rPr>
              <w:t>of Regulation (EU) No 575/2013</w:t>
            </w:r>
          </w:p>
          <w:p w14:paraId="0779310E" w14:textId="5A5D5218"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00975344" w:rsidRPr="001235ED">
              <w:rPr>
                <w:lang w:val="en-US"/>
              </w:rPr>
              <w:t>of Regulation (EU) No 575/2013</w:t>
            </w:r>
            <w:r w:rsidR="00402284">
              <w:rPr>
                <w:lang w:val="en-US"/>
              </w:rPr>
              <w:t xml:space="preserve"> </w:t>
            </w:r>
            <w:r w:rsidRPr="002A677E">
              <w:rPr>
                <w:rStyle w:val="InstructionsTabelleText"/>
                <w:rFonts w:ascii="Times New Roman" w:hAnsi="Times New Roman"/>
                <w:sz w:val="24"/>
              </w:rPr>
              <w:t>relating to the reduction of DTA by deferred tax liabilities.</w:t>
            </w:r>
          </w:p>
          <w:p w14:paraId="4F5B8FE5" w14:textId="7C4746C0"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Total amount in accordance with Article 469(1) </w:t>
            </w:r>
            <w:r w:rsidR="00975344" w:rsidRPr="001235ED">
              <w:rPr>
                <w:lang w:val="en-US"/>
              </w:rPr>
              <w:t>of Regulation (EU) No 575/2013</w:t>
            </w:r>
            <w:r w:rsidRPr="002A677E">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380</w:t>
            </w:r>
          </w:p>
        </w:tc>
        <w:tc>
          <w:tcPr>
            <w:tcW w:w="7478" w:type="dxa"/>
          </w:tcPr>
          <w:p w14:paraId="1B2B5142"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67D916A8" w14:textId="79CA89C9"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Article 470</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and 3 </w:t>
            </w:r>
            <w:r w:rsidR="00975344" w:rsidRPr="001235ED">
              <w:rPr>
                <w:lang w:val="en-US"/>
              </w:rPr>
              <w:t>of Regulation (EU) No 575/2013</w:t>
            </w:r>
          </w:p>
          <w:p w14:paraId="0E472864" w14:textId="6A14E39F"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Article 470(1) </w:t>
            </w:r>
            <w:r w:rsidR="00975344" w:rsidRPr="001235ED">
              <w:rPr>
                <w:lang w:val="en-US"/>
              </w:rPr>
              <w:t>of Regulation (EU) No 575/2013</w:t>
            </w:r>
          </w:p>
        </w:tc>
      </w:tr>
      <w:tr w:rsidR="00BF0637" w:rsidRPr="002A677E" w14:paraId="64FE7B3C" w14:textId="77777777" w:rsidTr="00672D2A">
        <w:tc>
          <w:tcPr>
            <w:tcW w:w="1012" w:type="dxa"/>
          </w:tcPr>
          <w:p w14:paraId="25F11324"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385</w:t>
            </w:r>
          </w:p>
        </w:tc>
        <w:tc>
          <w:tcPr>
            <w:tcW w:w="7478" w:type="dxa"/>
          </w:tcPr>
          <w:p w14:paraId="2C780C12"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1473C6AA" w14:textId="6D1B258E" w:rsidR="00BF0637" w:rsidRPr="002A677E" w:rsidRDefault="00BF0637" w:rsidP="00B055FF">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(c) ,</w:t>
            </w:r>
            <w:r w:rsidRPr="002A677E">
              <w:rPr>
                <w:rStyle w:val="InstructionsTabelleText"/>
                <w:rFonts w:ascii="Times New Roman" w:hAnsi="Times New Roman"/>
                <w:bCs/>
                <w:sz w:val="24"/>
              </w:rPr>
              <w:t xml:space="preserve">Article 472(5) and Article 478 </w:t>
            </w:r>
            <w:r w:rsidR="00975344" w:rsidRPr="001235ED">
              <w:rPr>
                <w:lang w:val="en-US"/>
              </w:rPr>
              <w:t>of Regulation (EU) No 575/2013</w:t>
            </w:r>
          </w:p>
          <w:p w14:paraId="38991D1C" w14:textId="19C242AD" w:rsidR="00BF0637" w:rsidRPr="002A677E" w:rsidRDefault="00BF0637" w:rsidP="00B055FF">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rsidR="00B856D5">
              <w:t> </w:t>
            </w:r>
            <w:r w:rsidRPr="002A677E">
              <w:rPr>
                <w:rStyle w:val="InstructionsTabelleText"/>
                <w:rFonts w:ascii="Times New Roman" w:hAnsi="Times New Roman"/>
                <w:bCs/>
                <w:sz w:val="24"/>
              </w:rPr>
              <w:t>% threshold in Article 470(2)</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(a)</w:t>
            </w:r>
            <w:r w:rsidR="00CF595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lang w:val="en-US"/>
              </w:rPr>
              <w:t>of Regulation (EU) No 575/2013</w:t>
            </w:r>
            <w:r w:rsidRPr="002A677E">
              <w:rPr>
                <w:rStyle w:val="InstructionsTabelleText"/>
                <w:rFonts w:ascii="Times New Roman" w:hAnsi="Times New Roman"/>
                <w:bCs/>
                <w:sz w:val="24"/>
              </w:rPr>
              <w:t>.</w:t>
            </w:r>
          </w:p>
        </w:tc>
      </w:tr>
      <w:tr w:rsidR="00BF0637" w:rsidRPr="002A677E" w14:paraId="03DEC437" w14:textId="77777777" w:rsidTr="00672D2A">
        <w:tc>
          <w:tcPr>
            <w:tcW w:w="1012" w:type="dxa"/>
          </w:tcPr>
          <w:p w14:paraId="11CA9241"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425</w:t>
            </w:r>
          </w:p>
        </w:tc>
        <w:tc>
          <w:tcPr>
            <w:tcW w:w="7478" w:type="dxa"/>
          </w:tcPr>
          <w:p w14:paraId="235978D8" w14:textId="77777777" w:rsidR="00BF0637" w:rsidRPr="002A677E" w:rsidRDefault="00BF0637"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3A7DB6E8" w14:textId="5A04C5CB" w:rsidR="00BF0637" w:rsidRPr="002A677E" w:rsidRDefault="00BF0637" w:rsidP="00B055FF">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00975344" w:rsidRPr="001235ED">
              <w:rPr>
                <w:lang w:val="en-US"/>
              </w:rPr>
              <w:t>of Regulation (EU) No 575/2013</w:t>
            </w:r>
          </w:p>
        </w:tc>
      </w:tr>
      <w:tr w:rsidR="00BF0637" w:rsidRPr="002A677E" w14:paraId="6248A7F4" w14:textId="77777777" w:rsidTr="00672D2A">
        <w:tc>
          <w:tcPr>
            <w:tcW w:w="1012" w:type="dxa"/>
          </w:tcPr>
          <w:p w14:paraId="141A34F8" w14:textId="77777777" w:rsidR="00BF0637" w:rsidRPr="002A677E" w:rsidRDefault="00BA1BF6"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7478" w:type="dxa"/>
          </w:tcPr>
          <w:p w14:paraId="4C6ED068" w14:textId="77777777" w:rsidR="00BF0637" w:rsidRPr="002A677E" w:rsidRDefault="00BF0637" w:rsidP="00B055FF">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523DF61B" w14:textId="0424F5F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00975344" w:rsidRPr="001235ED">
              <w:rPr>
                <w:rFonts w:ascii="Times New Roman" w:hAnsi="Times New Roman"/>
                <w:sz w:val="24"/>
                <w:lang w:val="en-US"/>
              </w:rPr>
              <w:t>of Regulation (EU) No 575/2013</w:t>
            </w:r>
          </w:p>
          <w:p w14:paraId="2E1738DC" w14:textId="77777777" w:rsidR="00BF0637" w:rsidRPr="002A677E" w:rsidRDefault="00BF0637"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4BED1B99" w14:textId="18FD73FB" w:rsidR="00BF0637" w:rsidRPr="002A677E" w:rsidRDefault="00BF0637" w:rsidP="00B055FF">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00975344"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3" w:name="_Toc361666252"/>
      <w:bookmarkStart w:id="84" w:name="_Toc308175839"/>
      <w:bookmarkStart w:id="85" w:name="_Toc473560885"/>
      <w:bookmarkStart w:id="86" w:name="_Toc151714373"/>
      <w:bookmarkStart w:id="87" w:name="_Toc360188337"/>
      <w:bookmarkEnd w:id="83"/>
      <w:r w:rsidRPr="002A677E">
        <w:rPr>
          <w:rFonts w:ascii="Times New Roman" w:hAnsi="Times New Roman" w:cs="Times New Roman"/>
          <w:sz w:val="24"/>
          <w:u w:val="none"/>
          <w:lang w:val="en-GB"/>
        </w:rPr>
        <w:t>1.6.3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05.02 - GRANDFATHERED INSTRUMENTS: INSTRUMENTS NOT CONSTITUING STATE AID (CA5.2)</w:t>
      </w:r>
      <w:bookmarkEnd w:id="84"/>
      <w:bookmarkEnd w:id="85"/>
      <w:bookmarkEnd w:id="86"/>
      <w:r w:rsidR="00513822" w:rsidRPr="002A677E">
        <w:rPr>
          <w:rFonts w:ascii="Times New Roman" w:hAnsi="Times New Roman" w:cs="Times New Roman"/>
          <w:sz w:val="24"/>
          <w:u w:val="none"/>
          <w:lang w:val="en-GB"/>
        </w:rPr>
        <w:t xml:space="preserve"> </w:t>
      </w:r>
      <w:bookmarkEnd w:id="87"/>
    </w:p>
    <w:p w14:paraId="381FD194" w14:textId="55323130" w:rsidR="00783881"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26</w:t>
      </w:r>
      <w:r>
        <w:fldChar w:fldCharType="end"/>
      </w:r>
      <w:r w:rsidR="00125707" w:rsidRPr="002A677E">
        <w:t>.</w:t>
      </w:r>
      <w:r w:rsidR="00125707" w:rsidRPr="002A677E">
        <w:tab/>
      </w:r>
      <w:r w:rsidR="002648B0" w:rsidRPr="002A677E">
        <w:t>Institutions shall report information in relation with the transitional provisions of grandfathered instruments not constituting state aid (Article</w:t>
      </w:r>
      <w:r w:rsidR="009F1550" w:rsidRPr="002A677E">
        <w:t>s</w:t>
      </w:r>
      <w:r w:rsidR="002648B0" w:rsidRPr="002A677E">
        <w:t xml:space="preserve"> </w:t>
      </w:r>
      <w:r w:rsidR="00B542AB" w:rsidRPr="002A677E">
        <w:t>484</w:t>
      </w:r>
      <w:r w:rsidR="002648B0" w:rsidRPr="002A677E">
        <w:t xml:space="preserve"> to </w:t>
      </w:r>
      <w:r w:rsidR="00B542AB" w:rsidRPr="002A677E">
        <w:t>491</w:t>
      </w:r>
      <w:r w:rsidR="002648B0" w:rsidRPr="002A677E">
        <w:t xml:space="preserve"> </w:t>
      </w:r>
      <w:r w:rsidR="00975344" w:rsidRPr="001235ED">
        <w:rPr>
          <w:lang w:val="en-US"/>
        </w:rPr>
        <w:t>of Regulation (EU) No 575/2013</w:t>
      </w:r>
      <w:r w:rsidR="002648B0" w:rsidRPr="002A677E">
        <w:t>).</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8" w:name="_Toc360188338"/>
      <w:bookmarkStart w:id="89" w:name="_Toc473560886"/>
      <w:bookmarkStart w:id="90" w:name="_Toc151714374"/>
      <w:r w:rsidRPr="002A677E">
        <w:rPr>
          <w:rFonts w:ascii="Times New Roman" w:hAnsi="Times New Roman" w:cs="Times New Roman"/>
          <w:sz w:val="24"/>
          <w:u w:val="none"/>
          <w:lang w:val="en-GB"/>
        </w:rPr>
        <w:t>1.6.3.1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8"/>
      <w:bookmarkEnd w:id="89"/>
      <w:bookmarkEnd w:id="9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62FF04FC" w14:textId="328F086B"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3, 4 and 5 </w:t>
            </w:r>
            <w:r w:rsidR="00975344" w:rsidRPr="001235ED">
              <w:rPr>
                <w:rFonts w:ascii="Times New Roman" w:hAnsi="Times New Roman" w:cs="Times New Roman"/>
                <w:sz w:val="24"/>
              </w:rPr>
              <w:t>of Regulation (EU) No 575/2013</w:t>
            </w:r>
          </w:p>
          <w:p w14:paraId="6C6F296F"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3AD7ACBB" w14:textId="61B9DE30"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3 and 4 </w:t>
            </w:r>
            <w:r w:rsidR="00975344" w:rsidRPr="001235ED">
              <w:rPr>
                <w:rFonts w:ascii="Times New Roman" w:hAnsi="Times New Roman" w:cs="Times New Roman"/>
                <w:sz w:val="24"/>
              </w:rPr>
              <w:t>of Regulation (EU) No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2EF263DA" w14:textId="328DC369"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71BF03FA" w14:textId="4333AD8F"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to 5 </w:t>
            </w:r>
            <w:r w:rsidR="00975344" w:rsidRPr="001235ED">
              <w:rPr>
                <w:rFonts w:ascii="Times New Roman" w:hAnsi="Times New Roman" w:cs="Times New Roman"/>
                <w:sz w:val="24"/>
              </w:rPr>
              <w:t>of Regulation (EU) No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243EA3A5" w14:textId="7E3C8B22" w:rsidR="002648B0" w:rsidRPr="002A677E" w:rsidRDefault="00F217D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sidR="009E4A27">
              <w:rPr>
                <w:rStyle w:val="InstructionsTabelleText"/>
                <w:rFonts w:ascii="Times New Roman" w:hAnsi="Times New Roman"/>
                <w:sz w:val="24"/>
              </w:rPr>
              <w:t>(</w:t>
            </w:r>
            <w:r w:rsidRPr="002A677E">
              <w:rPr>
                <w:rStyle w:val="InstructionsTabelleText"/>
                <w:rFonts w:ascii="Times New Roman" w:hAnsi="Times New Roman"/>
                <w:sz w:val="24"/>
              </w:rPr>
              <w:t>2</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sidR="009E4A27">
              <w:rPr>
                <w:rStyle w:val="InstructionsTabelleText"/>
                <w:rFonts w:ascii="Times New Roman" w:hAnsi="Times New Roman"/>
                <w:sz w:val="24"/>
              </w:rPr>
              <w:t>(</w:t>
            </w:r>
            <w:r w:rsidRPr="002A677E">
              <w:rPr>
                <w:rStyle w:val="InstructionsTabelleText"/>
                <w:rFonts w:ascii="Times New Roman" w:hAnsi="Times New Roman"/>
                <w:sz w:val="24"/>
              </w:rPr>
              <w:t>5</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6DA5FF46"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rsidRPr="002A677E">
              <w:t>Rows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 (a)</w:t>
            </w:r>
            <w:r w:rsidR="00CF595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6E576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2006/48/EC</w:t>
            </w:r>
          </w:p>
          <w:p w14:paraId="00D57BCE" w14:textId="5AAA46BD"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(3) </w:t>
            </w:r>
            <w:r w:rsidR="00975344" w:rsidRPr="001235ED">
              <w:rPr>
                <w:rFonts w:ascii="Times New Roman" w:hAnsi="Times New Roman" w:cs="Times New Roman"/>
                <w:sz w:val="24"/>
              </w:rPr>
              <w:t>of Regulation (EU) No 575/2013</w:t>
            </w:r>
          </w:p>
          <w:p w14:paraId="18FB3BC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(ca) </w:t>
            </w:r>
            <w:r w:rsidR="002648B0" w:rsidRPr="002A677E">
              <w:rPr>
                <w:rStyle w:val="InstructionsTabelleberschrift"/>
                <w:rFonts w:ascii="Times New Roman" w:hAnsi="Times New Roman"/>
                <w:sz w:val="24"/>
              </w:rPr>
              <w:t xml:space="preserve">and Article 154(8) and (9) of </w:t>
            </w:r>
            <w:r w:rsidR="00BB22D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489</w:t>
            </w:r>
            <w:r w:rsidR="00BB22D4"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237A5DBB" w14:textId="5B2285B0"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(4) </w:t>
            </w:r>
            <w:r w:rsidR="00975344" w:rsidRPr="001235ED">
              <w:rPr>
                <w:rFonts w:ascii="Times New Roman" w:hAnsi="Times New Roman" w:cs="Times New Roman"/>
                <w:sz w:val="24"/>
              </w:rPr>
              <w:t>of Regulation (EU) No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instruments without a call or an incentive to redeem</w:t>
            </w:r>
          </w:p>
          <w:p w14:paraId="36AA86C4" w14:textId="566F9172" w:rsidR="002648B0"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D412C0" w:rsidRPr="002A677E">
              <w:rPr>
                <w:rStyle w:val="InstructionsTabelleText"/>
                <w:rFonts w:ascii="Times New Roman" w:hAnsi="Times New Roman"/>
                <w:sz w:val="24"/>
              </w:rPr>
              <w:t xml:space="preserve">484(4) and </w:t>
            </w:r>
            <w:r w:rsidR="00167619"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4700ED7C"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 with a call and incentive to redeem</w:t>
            </w:r>
          </w:p>
          <w:p w14:paraId="1DEEB56A" w14:textId="112B9A75"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32E1DD3C" w14:textId="094A90DD"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1DF1152D"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E10D164" w14:textId="0CA421EA"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63DC317"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Instruments 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6CCC8453" w14:textId="63B69EA5"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CFD451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w:t>
            </w:r>
            <w:r w:rsidR="000F1CEA" w:rsidRPr="002A677E">
              <w:rPr>
                <w:rStyle w:val="InstructionsTabelleText"/>
                <w:rFonts w:ascii="Times New Roman" w:hAnsi="Times New Roman"/>
                <w:sz w:val="24"/>
              </w:rPr>
              <w:t>counts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CET1 grandfathered instruments</w:t>
            </w:r>
          </w:p>
          <w:p w14:paraId="0854136B" w14:textId="21F7E372"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Pr="002A677E">
              <w:rPr>
                <w:rStyle w:val="InstructionsTabelleText"/>
                <w:rFonts w:ascii="Times New Roman" w:hAnsi="Times New Roman"/>
                <w:sz w:val="24"/>
              </w:rPr>
              <w:t xml:space="preserve">(1) </w:t>
            </w:r>
            <w:r w:rsidR="00975344" w:rsidRPr="001235ED">
              <w:rPr>
                <w:rFonts w:ascii="Times New Roman" w:hAnsi="Times New Roman" w:cs="Times New Roman"/>
                <w:sz w:val="24"/>
              </w:rPr>
              <w:t>of Regulation (EU) No 575/2013</w:t>
            </w:r>
          </w:p>
          <w:p w14:paraId="1C79B43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002648B0" w:rsidRPr="002A677E">
              <w:rPr>
                <w:rStyle w:val="InstructionsTabelleberschrift"/>
                <w:rFonts w:ascii="Times New Roman" w:hAnsi="Times New Roman"/>
                <w:sz w:val="24"/>
              </w:rPr>
              <w:t>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oints (e), (f), (g) or (h)</w:t>
            </w:r>
            <w:r w:rsidR="002E728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9F1550"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490</w:t>
            </w:r>
            <w:r w:rsidR="009F1550"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1358C363" w14:textId="6D32BC6E"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Total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without an incentive to redeem</w:t>
            </w:r>
          </w:p>
          <w:p w14:paraId="72F48FE8" w14:textId="4E73AD57"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Grandfathered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an incentive to redeem</w:t>
            </w:r>
          </w:p>
          <w:p w14:paraId="02206BE0" w14:textId="46CDB34E"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after the reporting date, and which meet the conditions in Article 6</w:t>
            </w:r>
            <w:r w:rsidR="00B62635" w:rsidRPr="002A677E">
              <w:rPr>
                <w:rStyle w:val="InstructionsTabelleberschrift"/>
                <w:rFonts w:ascii="Times New Roman" w:hAnsi="Times New Roman"/>
                <w:sz w:val="24"/>
              </w:rPr>
              <w:t>3</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04600DF" w14:textId="0FB5D2C2"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89C31A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 xml:space="preserve">with a call exercisable after the reporting date,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2F07BC15" w14:textId="4B080F2B"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402284">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6C74CAA" w14:textId="77777777" w:rsidR="002648B0" w:rsidRPr="002A677E" w:rsidRDefault="007C3B71"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The </w:t>
            </w:r>
            <w:r w:rsidR="002648B0" w:rsidRPr="002A677E">
              <w:rPr>
                <w:rStyle w:val="InstructionsTabelleText"/>
                <w:rFonts w:ascii="Times New Roman" w:hAnsi="Times New Roman"/>
                <w:sz w:val="24"/>
              </w:rPr>
              <w:t>amount to be reported shall include the related share premium accounts.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7D73A991" w14:textId="6FF0FD99"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93D219A"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AT1 grandfathered instruments</w:t>
            </w:r>
          </w:p>
          <w:p w14:paraId="36BAD648" w14:textId="01B6BA23"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000F1CEA" w:rsidRPr="002A677E">
              <w:rPr>
                <w:rStyle w:val="InstructionsTabelleText"/>
                <w:rFonts w:ascii="Times New Roman" w:hAnsi="Times New Roman"/>
                <w:sz w:val="24"/>
              </w:rPr>
              <w:t xml:space="preserve">(2) </w:t>
            </w:r>
            <w:r w:rsidR="00975344" w:rsidRPr="001235ED">
              <w:rPr>
                <w:rFonts w:ascii="Times New Roman" w:hAnsi="Times New Roman" w:cs="Times New Roman"/>
                <w:sz w:val="24"/>
              </w:rPr>
              <w:t>of Regulation (EU) No 575/2013</w:t>
            </w:r>
            <w:r w:rsidR="00402284">
              <w:rPr>
                <w:rFonts w:ascii="Times New Roman" w:hAnsi="Times New Roman" w:cs="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36DC4367" w14:textId="77777777" w:rsidR="00464F34" w:rsidRPr="002A677E" w:rsidRDefault="00464F34" w:rsidP="000911FE">
      <w:pPr>
        <w:pStyle w:val="body"/>
        <w:rPr>
          <w:u w:val="single"/>
        </w:rPr>
      </w:pPr>
      <w:bookmarkStart w:id="91" w:name="_Toc239157372"/>
      <w:bookmarkStart w:id="92" w:name="_Toc295829844"/>
      <w:bookmarkStart w:id="93"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4" w:name="_Toc360188339"/>
      <w:bookmarkStart w:id="95" w:name="_Toc473560887"/>
      <w:bookmarkStart w:id="96" w:name="_Toc151714375"/>
      <w:bookmarkEnd w:id="91"/>
      <w:bookmarkEnd w:id="92"/>
      <w:bookmarkEnd w:id="93"/>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00DB0274" w:rsidRPr="002A677E">
        <w:rPr>
          <w:rFonts w:ascii="Times New Roman" w:hAnsi="Times New Roman" w:cs="Times New Roman"/>
          <w:sz w:val="24"/>
          <w:lang w:val="en-GB"/>
        </w:rPr>
        <w:t>GROUP SOLVENCY: INFORMATION ON AFFILIATES (GS</w:t>
      </w:r>
      <w:bookmarkEnd w:id="94"/>
      <w:r w:rsidR="00FC20DD" w:rsidRPr="002A677E">
        <w:rPr>
          <w:rFonts w:ascii="Times New Roman" w:hAnsi="Times New Roman" w:cs="Times New Roman"/>
          <w:sz w:val="24"/>
          <w:lang w:val="en-GB"/>
        </w:rPr>
        <w:t>)</w:t>
      </w:r>
      <w:bookmarkEnd w:id="95"/>
      <w:bookmarkEnd w:id="96"/>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7" w:name="_Toc264038416"/>
      <w:bookmarkStart w:id="98" w:name="_Toc295829845"/>
      <w:bookmarkStart w:id="99" w:name="_Toc310415011"/>
      <w:bookmarkStart w:id="100" w:name="_Toc330394186"/>
      <w:bookmarkStart w:id="101" w:name="_Toc360188340"/>
      <w:bookmarkStart w:id="102" w:name="_Toc473560888"/>
      <w:bookmarkStart w:id="103" w:name="_Toc151714376"/>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97"/>
      <w:bookmarkEnd w:id="98"/>
      <w:bookmarkEnd w:id="99"/>
      <w:bookmarkEnd w:id="100"/>
      <w:bookmarkEnd w:id="101"/>
      <w:bookmarkEnd w:id="102"/>
      <w:bookmarkEnd w:id="103"/>
    </w:p>
    <w:p w14:paraId="0DE48938" w14:textId="6F710C9D"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27</w:t>
      </w:r>
      <w:r>
        <w:fldChar w:fldCharType="end"/>
      </w:r>
      <w:r w:rsidR="00125707" w:rsidRPr="002A677E">
        <w:t>.</w:t>
      </w:r>
      <w:r w:rsidR="00125707" w:rsidRPr="002A677E">
        <w:tab/>
      </w:r>
      <w:r w:rsidR="001C6416" w:rsidRPr="002A677E">
        <w:t>T</w:t>
      </w:r>
      <w:r w:rsidR="00C504D3" w:rsidRPr="002A677E">
        <w:t>emplate</w:t>
      </w:r>
      <w:r w:rsidR="00BC3F13" w:rsidRPr="002A677E">
        <w:t>s</w:t>
      </w:r>
      <w:r w:rsidR="00C504D3" w:rsidRPr="002A677E">
        <w:t xml:space="preserve"> C 06.0</w:t>
      </w:r>
      <w:r w:rsidR="00BC3F13" w:rsidRPr="002A677E">
        <w:t>1 and C 06.02</w:t>
      </w:r>
      <w:r w:rsidR="001C6416" w:rsidRPr="002A677E">
        <w:t xml:space="preserve"> shall be reported if own funds requirements are calculated on a consolidated basis</w:t>
      </w:r>
      <w:r w:rsidR="00C504D3" w:rsidRPr="002A677E">
        <w:t xml:space="preserve">. </w:t>
      </w:r>
      <w:r w:rsidR="00283C5E" w:rsidRPr="002A677E">
        <w:t>T</w:t>
      </w:r>
      <w:r w:rsidR="00464F34" w:rsidRPr="002A677E">
        <w:t xml:space="preserve">emplate </w:t>
      </w:r>
      <w:r w:rsidR="00283C5E" w:rsidRPr="002A677E">
        <w:t xml:space="preserve">C 06.02 </w:t>
      </w:r>
      <w:r w:rsidR="00464F34" w:rsidRPr="002A677E">
        <w:t>consists of four parts in order to gather different information on all individual entities (including the reporting institution) included in the scope of consolidation</w:t>
      </w:r>
      <w:r w:rsidR="00C93697" w:rsidRPr="002A677E">
        <w:t>.</w:t>
      </w:r>
    </w:p>
    <w:p w14:paraId="1370D22F" w14:textId="77777777" w:rsidR="00C93697" w:rsidRPr="002A677E" w:rsidRDefault="00125707" w:rsidP="0047337A">
      <w:pPr>
        <w:pStyle w:val="InstructionsText2"/>
        <w:numPr>
          <w:ilvl w:val="0"/>
          <w:numId w:val="0"/>
        </w:numPr>
        <w:ind w:left="993"/>
      </w:pPr>
      <w:r w:rsidRPr="002A677E">
        <w:lastRenderedPageBreak/>
        <w:t>(a)</w:t>
      </w:r>
      <w:r w:rsidRPr="002A677E">
        <w:tab/>
      </w:r>
      <w:r w:rsidR="00C93697" w:rsidRPr="002A677E">
        <w:t>Entities within the scope of consolidation;</w:t>
      </w:r>
    </w:p>
    <w:p w14:paraId="6A3C0853" w14:textId="77777777" w:rsidR="00C93697" w:rsidRPr="002A677E" w:rsidRDefault="00125707" w:rsidP="0047337A">
      <w:pPr>
        <w:pStyle w:val="InstructionsText2"/>
        <w:numPr>
          <w:ilvl w:val="0"/>
          <w:numId w:val="0"/>
        </w:numPr>
        <w:ind w:left="993"/>
      </w:pPr>
      <w:r w:rsidRPr="002A677E">
        <w:t>(b)</w:t>
      </w:r>
      <w:r w:rsidRPr="002A677E">
        <w:tab/>
      </w:r>
      <w:r w:rsidR="00C93697" w:rsidRPr="002A677E">
        <w:t>Detailed group solvency information;</w:t>
      </w:r>
    </w:p>
    <w:p w14:paraId="1C183B49" w14:textId="77777777" w:rsidR="00C93697" w:rsidRPr="002A677E" w:rsidRDefault="00125707" w:rsidP="0047337A">
      <w:pPr>
        <w:pStyle w:val="InstructionsText2"/>
        <w:numPr>
          <w:ilvl w:val="0"/>
          <w:numId w:val="0"/>
        </w:numPr>
        <w:ind w:left="993"/>
      </w:pPr>
      <w:r w:rsidRPr="002A677E">
        <w:t>(c)</w:t>
      </w:r>
      <w:r w:rsidRPr="002A677E">
        <w:tab/>
      </w:r>
      <w:r w:rsidR="00C93697" w:rsidRPr="002A677E">
        <w:t>Information on the contribution of individual entities to group solvency</w:t>
      </w:r>
      <w:r w:rsidR="000D5958" w:rsidRPr="002A677E">
        <w:t>;</w:t>
      </w:r>
    </w:p>
    <w:p w14:paraId="68A71EE8" w14:textId="77777777" w:rsidR="00C93697" w:rsidRPr="002A677E" w:rsidRDefault="00125707" w:rsidP="0047337A">
      <w:pPr>
        <w:pStyle w:val="InstructionsText2"/>
        <w:numPr>
          <w:ilvl w:val="0"/>
          <w:numId w:val="0"/>
        </w:numPr>
        <w:ind w:left="993"/>
      </w:pPr>
      <w:r w:rsidRPr="002A677E">
        <w:t>(d)</w:t>
      </w:r>
      <w:r w:rsidRPr="002A677E">
        <w:tab/>
      </w:r>
      <w:r w:rsidR="00C93697" w:rsidRPr="002A677E">
        <w:t>Information on capital buffers</w:t>
      </w:r>
      <w:r w:rsidR="000D5958" w:rsidRPr="002A677E">
        <w:t>;</w:t>
      </w:r>
    </w:p>
    <w:p w14:paraId="6E599DBE" w14:textId="50A93951"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28</w:t>
      </w:r>
      <w:r>
        <w:fldChar w:fldCharType="end"/>
      </w:r>
      <w:r w:rsidR="00125707" w:rsidRPr="002A677E">
        <w:t>.</w:t>
      </w:r>
      <w:r w:rsidR="00125707" w:rsidRPr="002A677E">
        <w:tab/>
      </w:r>
      <w:r w:rsidR="00C93697" w:rsidRPr="002A677E">
        <w:t>I</w:t>
      </w:r>
      <w:r w:rsidR="00464F34" w:rsidRPr="002A677E">
        <w:t xml:space="preserve">nstitutions </w:t>
      </w:r>
      <w:r w:rsidR="00110F40" w:rsidRPr="002A677E">
        <w:t xml:space="preserve">that obtained a </w:t>
      </w:r>
      <w:r w:rsidR="00464F34" w:rsidRPr="002A677E">
        <w:t>waive</w:t>
      </w:r>
      <w:r w:rsidR="00110F40" w:rsidRPr="002A677E">
        <w:t>r</w:t>
      </w:r>
      <w:r w:rsidR="00464F34" w:rsidRPr="002A677E">
        <w:t xml:space="preserve"> </w:t>
      </w:r>
      <w:r w:rsidR="00BB22D4" w:rsidRPr="002A677E">
        <w:t>in accordance with</w:t>
      </w:r>
      <w:r w:rsidR="00464F34" w:rsidRPr="002A677E">
        <w:t xml:space="preserve"> Article 7 </w:t>
      </w:r>
      <w:r w:rsidR="00975344" w:rsidRPr="001235ED">
        <w:rPr>
          <w:lang w:val="en-US"/>
        </w:rPr>
        <w:t xml:space="preserve">of Regulation (EU) No 575/2013 </w:t>
      </w:r>
      <w:r w:rsidR="00464F34" w:rsidRPr="002A677E">
        <w:t xml:space="preserve">shall only report the columns </w:t>
      </w:r>
      <w:r w:rsidR="00B45BCF" w:rsidRPr="002A677E">
        <w:t>0</w:t>
      </w:r>
      <w:r w:rsidR="00464F34" w:rsidRPr="002A677E">
        <w:t xml:space="preserve">010 to </w:t>
      </w:r>
      <w:r w:rsidR="00B45BCF" w:rsidRPr="002A677E">
        <w:t>0</w:t>
      </w:r>
      <w:r w:rsidR="00464F34" w:rsidRPr="002A677E">
        <w:t>06</w:t>
      </w:r>
      <w:r w:rsidR="00732D82">
        <w:t>5</w:t>
      </w:r>
      <w:r w:rsidR="00464F34" w:rsidRPr="002A677E">
        <w:t xml:space="preserve"> and </w:t>
      </w:r>
      <w:r w:rsidR="00B45BCF" w:rsidRPr="002A677E">
        <w:t>0</w:t>
      </w:r>
      <w:r w:rsidR="00464F34" w:rsidRPr="002A677E">
        <w:t xml:space="preserve">250 to </w:t>
      </w:r>
      <w:r w:rsidR="00B45BCF" w:rsidRPr="002A677E">
        <w:t>0</w:t>
      </w:r>
      <w:r w:rsidR="00464F34" w:rsidRPr="002A677E">
        <w:t>400.</w:t>
      </w:r>
    </w:p>
    <w:p w14:paraId="7F057EB3" w14:textId="0143D207" w:rsidR="004C0508"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29</w:t>
      </w:r>
      <w:r>
        <w:fldChar w:fldCharType="end"/>
      </w:r>
      <w:r w:rsidR="00125707" w:rsidRPr="002A677E">
        <w:t>.</w:t>
      </w:r>
      <w:r w:rsidR="00125707" w:rsidRPr="002A677E">
        <w:tab/>
      </w:r>
      <w:r w:rsidR="004C0508" w:rsidRPr="002A677E">
        <w:t xml:space="preserve">The figures reported take into account all applicable transitional provisions </w:t>
      </w:r>
      <w:r w:rsidR="00975344" w:rsidRPr="001235ED">
        <w:rPr>
          <w:lang w:val="en-US"/>
        </w:rPr>
        <w:t xml:space="preserve">of Regulation (EU) No 575/2013 </w:t>
      </w:r>
      <w:r w:rsidR="004C0508" w:rsidRPr="002A677E">
        <w:t>which are applicable at the respective reporting date.</w:t>
      </w:r>
    </w:p>
    <w:p w14:paraId="10DAA2D3" w14:textId="576E5028" w:rsidR="00C93697" w:rsidRPr="002A677E" w:rsidRDefault="00125707" w:rsidP="009A25DE">
      <w:pPr>
        <w:pStyle w:val="Instructionsberschrift2"/>
        <w:numPr>
          <w:ilvl w:val="0"/>
          <w:numId w:val="0"/>
        </w:numPr>
        <w:rPr>
          <w:rFonts w:ascii="Times New Roman" w:hAnsi="Times New Roman" w:cs="Times New Roman"/>
          <w:sz w:val="24"/>
          <w:lang w:val="en-GB"/>
        </w:rPr>
      </w:pPr>
      <w:bookmarkStart w:id="104" w:name="_Toc360188341"/>
      <w:bookmarkStart w:id="105" w:name="_Toc473560889"/>
      <w:bookmarkStart w:id="106" w:name="_Toc151714377"/>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Detailed group solvency information</w:t>
      </w:r>
      <w:bookmarkEnd w:id="104"/>
      <w:bookmarkEnd w:id="105"/>
      <w:bookmarkEnd w:id="106"/>
    </w:p>
    <w:p w14:paraId="2EA52DA1" w14:textId="0708ACE0"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30</w:t>
      </w:r>
      <w:r>
        <w:fldChar w:fldCharType="end"/>
      </w:r>
      <w:r w:rsidR="00125707" w:rsidRPr="002A677E">
        <w:t>.</w:t>
      </w:r>
      <w:r w:rsidR="00125707" w:rsidRPr="002A677E">
        <w:tab/>
      </w:r>
      <w:r w:rsidR="00464F34" w:rsidRPr="002A677E">
        <w:t>T</w:t>
      </w:r>
      <w:r w:rsidR="00C93697" w:rsidRPr="002A677E">
        <w:t>he second part of template</w:t>
      </w:r>
      <w:r w:rsidR="004A1D97" w:rsidRPr="002A677E">
        <w:t xml:space="preserve"> C 06.02</w:t>
      </w:r>
      <w:r w:rsidR="00464F34" w:rsidRPr="002A677E">
        <w:t xml:space="preserve"> </w:t>
      </w:r>
      <w:r w:rsidR="00C93697" w:rsidRPr="002A677E">
        <w:t>(</w:t>
      </w:r>
      <w:r w:rsidR="00464F34" w:rsidRPr="002A677E">
        <w:t>detailed group solvency information</w:t>
      </w:r>
      <w:r w:rsidR="00C93697" w:rsidRPr="002A677E">
        <w:t>)</w:t>
      </w:r>
      <w:r w:rsidR="00464F34" w:rsidRPr="002A677E">
        <w:t xml:space="preserve"> in columns </w:t>
      </w:r>
      <w:r w:rsidR="00B45BCF" w:rsidRPr="002A677E">
        <w:t>0</w:t>
      </w:r>
      <w:r w:rsidR="00464F34" w:rsidRPr="002A677E">
        <w:t xml:space="preserve">070 to </w:t>
      </w:r>
      <w:r w:rsidR="00B45BCF" w:rsidRPr="002A677E">
        <w:t>0</w:t>
      </w:r>
      <w:r w:rsidR="00464F34" w:rsidRPr="002A677E">
        <w:t>2</w:t>
      </w:r>
      <w:r w:rsidR="00803E8D">
        <w:t>40</w:t>
      </w:r>
      <w:r w:rsidR="00464F34" w:rsidRPr="002A677E">
        <w:t xml:space="preserve"> is designed to gather information on credit and other regulated financial institutions which are effectively subject to particular solvency requirements on individual basis. </w:t>
      </w:r>
      <w:r w:rsidR="00C93697" w:rsidRPr="002A677E">
        <w:t xml:space="preserve">It provides, </w:t>
      </w:r>
      <w:r w:rsidR="00464F34" w:rsidRPr="002A677E">
        <w:t xml:space="preserve">for each of those entities within the scope of the reporting, the own funds requirements for each risk category and the own funds for solvency purposes. </w:t>
      </w:r>
    </w:p>
    <w:p w14:paraId="11D43D14" w14:textId="575E8C26"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31</w:t>
      </w:r>
      <w:r>
        <w:fldChar w:fldCharType="end"/>
      </w:r>
      <w:r w:rsidR="00125707" w:rsidRPr="002A677E">
        <w:t>.</w:t>
      </w:r>
      <w:r w:rsidR="00125707" w:rsidRPr="002A677E">
        <w:tab/>
      </w:r>
      <w:r w:rsidR="00464F34" w:rsidRPr="002A677E">
        <w:t xml:space="preserve">In the case of proportional consolidation of participations, the figures related to own funds requirements and own funds </w:t>
      </w:r>
      <w:r w:rsidR="00C93697" w:rsidRPr="002A677E">
        <w:t>shall</w:t>
      </w:r>
      <w:r w:rsidR="00464F34" w:rsidRPr="002A677E">
        <w:t xml:space="preserve"> reflect the respective proportional amounts.</w:t>
      </w:r>
    </w:p>
    <w:p w14:paraId="1637D59A" w14:textId="1842F3FA" w:rsidR="00C93697" w:rsidRPr="002A677E" w:rsidRDefault="00125707" w:rsidP="009A25DE">
      <w:pPr>
        <w:pStyle w:val="Instructionsberschrift2"/>
        <w:numPr>
          <w:ilvl w:val="0"/>
          <w:numId w:val="0"/>
        </w:numPr>
        <w:rPr>
          <w:rFonts w:ascii="Times New Roman" w:hAnsi="Times New Roman" w:cs="Times New Roman"/>
          <w:sz w:val="24"/>
          <w:lang w:val="en-GB"/>
        </w:rPr>
      </w:pPr>
      <w:bookmarkStart w:id="107" w:name="_Toc360188342"/>
      <w:bookmarkStart w:id="108" w:name="_Toc473560890"/>
      <w:bookmarkStart w:id="109" w:name="_Toc151714378"/>
      <w:r w:rsidRPr="002A677E">
        <w:rPr>
          <w:rFonts w:ascii="Times New Roman" w:hAnsi="Times New Roman" w:cs="Times New Roman"/>
          <w:sz w:val="24"/>
          <w:u w:val="none"/>
          <w:lang w:val="en-GB"/>
        </w:rPr>
        <w:t>2.3.</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Information on the contributions of individual entities to group solvency</w:t>
      </w:r>
      <w:bookmarkEnd w:id="107"/>
      <w:bookmarkEnd w:id="108"/>
      <w:bookmarkEnd w:id="109"/>
    </w:p>
    <w:p w14:paraId="770A244C" w14:textId="0E3E1E0B"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32</w:t>
      </w:r>
      <w:r>
        <w:fldChar w:fldCharType="end"/>
      </w:r>
      <w:r w:rsidR="00125707" w:rsidRPr="002A677E">
        <w:t>.</w:t>
      </w:r>
      <w:r w:rsidR="00125707" w:rsidRPr="002A677E">
        <w:tab/>
      </w:r>
      <w:r w:rsidR="00464F34" w:rsidRPr="002A677E">
        <w:t>The objective of the third part of template</w:t>
      </w:r>
      <w:r w:rsidR="004A1D97" w:rsidRPr="002A677E">
        <w:t xml:space="preserve"> C 06.02 and template C 06.01</w:t>
      </w:r>
      <w:r w:rsidR="00C93697" w:rsidRPr="002A677E">
        <w:t xml:space="preserve"> (</w:t>
      </w:r>
      <w:r w:rsidR="00464F34" w:rsidRPr="002A677E">
        <w:t xml:space="preserve">information on the contributions of all entities within </w:t>
      </w:r>
      <w:r w:rsidR="00975344" w:rsidRPr="001235ED">
        <w:rPr>
          <w:lang w:val="en-US"/>
        </w:rPr>
        <w:t>Regulation (EU) No 575/2013</w:t>
      </w:r>
      <w:r w:rsidR="00402284">
        <w:rPr>
          <w:lang w:val="en-US"/>
        </w:rPr>
        <w:t xml:space="preserve"> </w:t>
      </w:r>
      <w:r w:rsidR="00464F34" w:rsidRPr="002A677E">
        <w:t>scope of consolidation</w:t>
      </w:r>
      <w:r w:rsidR="00C93697" w:rsidRPr="002A677E">
        <w:t xml:space="preserve"> to group solvency),</w:t>
      </w:r>
      <w:r w:rsidR="00464F34" w:rsidRPr="002A677E">
        <w:t xml:space="preserve"> including those that are not subject to particular solvency requirements on an individual basis</w:t>
      </w:r>
      <w:r w:rsidR="00C93697" w:rsidRPr="002A677E">
        <w:t>,</w:t>
      </w:r>
      <w:r w:rsidR="00464F34" w:rsidRPr="002A677E">
        <w:t xml:space="preserve"> in columns </w:t>
      </w:r>
      <w:r w:rsidR="00ED20CB" w:rsidRPr="002A677E">
        <w:t>0</w:t>
      </w:r>
      <w:r w:rsidR="00464F34" w:rsidRPr="002A677E">
        <w:t xml:space="preserve">250 to </w:t>
      </w:r>
      <w:r w:rsidR="00ED20CB" w:rsidRPr="002A677E">
        <w:t>0</w:t>
      </w:r>
      <w:r w:rsidR="00464F34" w:rsidRPr="002A677E">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5B1F7005" w14:textId="00C9B05A"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33</w:t>
      </w:r>
      <w:r>
        <w:fldChar w:fldCharType="end"/>
      </w:r>
      <w:r w:rsidR="00125707" w:rsidRPr="002A677E">
        <w:t>.</w:t>
      </w:r>
      <w:r w:rsidR="00125707" w:rsidRPr="002A677E">
        <w:tab/>
      </w:r>
      <w:r w:rsidR="00C93697" w:rsidRPr="002A677E">
        <w:t>The third</w:t>
      </w:r>
      <w:r w:rsidR="00464F34" w:rsidRPr="002A677E">
        <w:t xml:space="preserve"> part also includes the amounts of minority interests, qualifying AT1, and qualifying T2 eligible in the consolidated own funds.</w:t>
      </w:r>
    </w:p>
    <w:p w14:paraId="601945C2" w14:textId="2D1BCAA4"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34</w:t>
      </w:r>
      <w:r>
        <w:fldChar w:fldCharType="end"/>
      </w:r>
      <w:r w:rsidR="00125707" w:rsidRPr="002A677E">
        <w:t>.</w:t>
      </w:r>
      <w:r w:rsidR="00125707" w:rsidRPr="002A677E">
        <w:tab/>
      </w:r>
      <w:r w:rsidR="00464F34" w:rsidRPr="002A677E">
        <w:t xml:space="preserve">As this third part of the template refers to “contributions”, the figures to be reported herein </w:t>
      </w:r>
      <w:r w:rsidR="00C93697" w:rsidRPr="002A677E">
        <w:t>shall</w:t>
      </w:r>
      <w:r w:rsidR="00464F34" w:rsidRPr="002A677E">
        <w:t xml:space="preserve"> defer, when applicable, from the figures reported in the columns referring to detailed group solvency information.</w:t>
      </w:r>
    </w:p>
    <w:p w14:paraId="44960A6E" w14:textId="260BA4C4"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35</w:t>
      </w:r>
      <w:r>
        <w:fldChar w:fldCharType="end"/>
      </w:r>
      <w:r w:rsidR="00125707" w:rsidRPr="002A677E">
        <w:t>.</w:t>
      </w:r>
      <w:r w:rsidR="00125707" w:rsidRPr="002A677E">
        <w:tab/>
      </w:r>
      <w:r w:rsidR="00464F34" w:rsidRPr="002A677E">
        <w:t xml:space="preserve">The principle is to delete the cross-exposures within the same groups in a homogeneous way both in terms of risks or own funds, in order to cover the amounts reported in the group’s consolidated CA template by adding the amounts </w:t>
      </w:r>
      <w:r w:rsidR="00464F34" w:rsidRPr="002A677E">
        <w:lastRenderedPageBreak/>
        <w:t xml:space="preserve">reported for each entity in ”Group Solvency” template. </w:t>
      </w:r>
      <w:r w:rsidR="00283C5E" w:rsidRPr="002A677E">
        <w:t>A</w:t>
      </w:r>
      <w:r w:rsidR="00464F34" w:rsidRPr="002A677E">
        <w:t xml:space="preserve"> direct link to the CA template is not possible</w:t>
      </w:r>
      <w:r w:rsidR="00283C5E" w:rsidRPr="002A677E">
        <w:t xml:space="preserve"> where the 1 % threshold is not exceeded</w:t>
      </w:r>
      <w:r w:rsidR="00464F34" w:rsidRPr="002A677E">
        <w:t>.</w:t>
      </w:r>
    </w:p>
    <w:p w14:paraId="4B1AE777" w14:textId="10411A1D"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36</w:t>
      </w:r>
      <w:r>
        <w:fldChar w:fldCharType="end"/>
      </w:r>
      <w:r w:rsidR="00125707" w:rsidRPr="002A677E">
        <w:t>.</w:t>
      </w:r>
      <w:r w:rsidR="00125707" w:rsidRPr="002A677E">
        <w:tab/>
      </w:r>
      <w:r w:rsidR="00464F34" w:rsidRPr="002A677E">
        <w:t>The institutions shall define the most appropriate breakdown method between the entities to take into account the possible diversification effects for market risk and operational risk.</w:t>
      </w:r>
    </w:p>
    <w:p w14:paraId="622EA156" w14:textId="305BF604"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37</w:t>
      </w:r>
      <w:r>
        <w:fldChar w:fldCharType="end"/>
      </w:r>
      <w:r w:rsidR="00125707" w:rsidRPr="002A677E">
        <w:t>.</w:t>
      </w:r>
      <w:r w:rsidR="00125707" w:rsidRPr="002A677E">
        <w:tab/>
      </w:r>
      <w:r w:rsidR="00C504D3" w:rsidRPr="002A677E">
        <w:t>It is possible for one consolidated group to be included within another consolidated group. Th</w:t>
      </w:r>
      <w:r w:rsidR="00283C5E" w:rsidRPr="002A677E">
        <w:t>at</w:t>
      </w:r>
      <w:r w:rsidR="00C504D3" w:rsidRPr="002A677E">
        <w:t xml:space="preserve"> means that the entities within a subgroup shall be reported entity-by-entity in the GS of the entire group, even if the sub-group itself is subject to reporting requirements. </w:t>
      </w:r>
      <w:r w:rsidR="00283C5E" w:rsidRPr="002A677E">
        <w:t>A</w:t>
      </w:r>
      <w:r w:rsidR="00C504D3" w:rsidRPr="002A677E">
        <w:t xml:space="preserve"> subgroup </w:t>
      </w:r>
      <w:r w:rsidR="00283C5E" w:rsidRPr="002A677E">
        <w:t xml:space="preserve">that </w:t>
      </w:r>
      <w:r w:rsidR="00C504D3" w:rsidRPr="002A677E">
        <w:t>is subject to reporting requirements shall also report the GS template on an entity-by-entity basis, although those details are included in</w:t>
      </w:r>
      <w:r w:rsidR="000D5958" w:rsidRPr="002A677E">
        <w:t xml:space="preserve"> </w:t>
      </w:r>
      <w:r w:rsidR="00B8575F" w:rsidRPr="002A677E">
        <w:t>the</w:t>
      </w:r>
      <w:r w:rsidR="00C504D3" w:rsidRPr="002A677E">
        <w:t xml:space="preserve"> </w:t>
      </w:r>
      <w:r w:rsidR="000D5958" w:rsidRPr="002A677E">
        <w:t xml:space="preserve">GS template of </w:t>
      </w:r>
      <w:r w:rsidR="00C504D3" w:rsidRPr="002A677E">
        <w:t>a</w:t>
      </w:r>
      <w:r w:rsidR="00B8575F" w:rsidRPr="002A677E">
        <w:t xml:space="preserve"> </w:t>
      </w:r>
      <w:r w:rsidR="00C504D3" w:rsidRPr="002A677E">
        <w:t xml:space="preserve">higher consolidated group. </w:t>
      </w:r>
    </w:p>
    <w:p w14:paraId="31F049AB" w14:textId="510AC804"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38</w:t>
      </w:r>
      <w:r>
        <w:fldChar w:fldCharType="end"/>
      </w:r>
      <w:r w:rsidR="00125707" w:rsidRPr="002A677E">
        <w:t>.</w:t>
      </w:r>
      <w:r w:rsidR="00125707" w:rsidRPr="002A677E">
        <w:tab/>
      </w:r>
      <w:r w:rsidR="00464F34" w:rsidRPr="002A677E">
        <w:t>An institution shall report data of the contribution of an entity when its contribution to the total risk exposure amount</w:t>
      </w:r>
      <w:r w:rsidR="00C93697" w:rsidRPr="002A677E">
        <w:t xml:space="preserve"> </w:t>
      </w:r>
      <w:r w:rsidR="00464F34" w:rsidRPr="002A677E">
        <w:t>exceeds 1 % of the total risk exposure amount of the group or when its contribution to the total own funds exceeds 1</w:t>
      </w:r>
      <w:r w:rsidR="00B856D5">
        <w:t xml:space="preserve"> </w:t>
      </w:r>
      <w:r w:rsidR="00464F34" w:rsidRPr="002A677E">
        <w:t>% of the total own funds of the group. Th</w:t>
      </w:r>
      <w:r w:rsidR="00283C5E" w:rsidRPr="002A677E">
        <w:t>at</w:t>
      </w:r>
      <w:r w:rsidR="00464F34" w:rsidRPr="002A677E">
        <w:t xml:space="preserve"> threshold does not apply in the case of subsidiaries or subgroups that provide own funds (in the form of minority interests or qualifying AT1 or T2 instruments included in own funds) to the group.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473560891"/>
      <w:bookmarkStart w:id="111" w:name="_Toc151714379"/>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06.01 – GROUP SOLVENCY: INFORMATION ON AFFILIATES – Total (GS Total)</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2AC7F345" w14:textId="77777777" w:rsidR="00D85AC7" w:rsidRPr="002A677E" w:rsidRDefault="00D85AC7" w:rsidP="00FF36A5">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6457C584" w14:textId="77777777" w:rsidR="00D85AC7" w:rsidRPr="002A677E" w:rsidRDefault="00D85AC7" w:rsidP="00B055F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779AA15D" w14:textId="77777777" w:rsidR="00D85AC7" w:rsidRPr="002A677E" w:rsidRDefault="00D85AC7" w:rsidP="00B055FF">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2" w:name="_Toc473560892"/>
      <w:bookmarkStart w:id="113" w:name="_Toc151714380"/>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06.02 – GROUP SOLVENCY: INFORMATION ON AFFILIATES (GS)</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01</w:t>
            </w:r>
            <w:r w:rsidR="002154E5">
              <w:rPr>
                <w:rStyle w:val="InstructionsTabelleText"/>
                <w:rFonts w:ascii="Times New Roman" w:hAnsi="Times New Roman"/>
                <w:sz w:val="24"/>
              </w:rPr>
              <w:t>1</w:t>
            </w:r>
            <w:r w:rsidR="00464F34" w:rsidRPr="002A677E">
              <w:rPr>
                <w:rStyle w:val="InstructionsTabelleText"/>
                <w:rFonts w:ascii="Times New Roman" w:hAnsi="Times New Roman"/>
                <w:sz w:val="24"/>
              </w:rPr>
              <w:t>-</w:t>
            </w: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13B8A121" w14:textId="6ABB2B2D" w:rsidR="00464F34" w:rsidRPr="002A677E" w:rsidRDefault="00464F34" w:rsidP="00975344">
            <w:pPr>
              <w:rPr>
                <w:rStyle w:val="InstructionsTabelleberschrift"/>
                <w:rFonts w:ascii="Times New Roman" w:hAnsi="Times New Roman"/>
                <w:b w:val="0"/>
                <w:bCs w:val="0"/>
                <w:sz w:val="24"/>
              </w:rPr>
            </w:pPr>
            <w:r w:rsidRPr="002A677E">
              <w:rPr>
                <w:rStyle w:val="InstructionsTabelleText"/>
                <w:rFonts w:ascii="Times New Roman" w:hAnsi="Times New Roman"/>
                <w:sz w:val="24"/>
              </w:rPr>
              <w:lastRenderedPageBreak/>
              <w:t xml:space="preserve">This template is designed to gather information on all entities on an entity-by-entity-basis within the scope of consolidation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Pr="002A677E">
              <w:rPr>
                <w:rFonts w:ascii="Times New Roman" w:hAnsi="Times New Roman"/>
                <w:sz w:val="24"/>
              </w:rPr>
              <w:t xml:space="preserve">Part </w:t>
            </w:r>
            <w:r w:rsidR="000017F3" w:rsidRPr="002A677E">
              <w:rPr>
                <w:rFonts w:ascii="Times New Roman" w:hAnsi="Times New Roman"/>
                <w:sz w:val="24"/>
              </w:rPr>
              <w:t>One</w:t>
            </w:r>
            <w:r w:rsidR="00975344" w:rsidRPr="002A677E">
              <w:rPr>
                <w:rFonts w:ascii="Times New Roman" w:hAnsi="Times New Roman"/>
                <w:sz w:val="24"/>
              </w:rPr>
              <w:t>, Title II, Chapter 2</w:t>
            </w:r>
            <w:r w:rsidR="000017F3" w:rsidRPr="002A677E">
              <w:rPr>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7158B2" w:rsidRPr="002A677E">
              <w:rPr>
                <w:rStyle w:val="InstructionsTabelleText"/>
                <w:rFonts w:ascii="Times New Roman" w:hAnsi="Times New Roman"/>
                <w:sz w:val="24"/>
              </w:rPr>
              <w:t>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02</w:t>
            </w:r>
            <w:r w:rsidR="000D0A23" w:rsidRPr="002A677E">
              <w:rPr>
                <w:rStyle w:val="InstructionsTabelleText"/>
                <w:rFonts w:ascii="Times New Roman" w:hAnsi="Times New Roman"/>
                <w:sz w:val="24"/>
              </w:rPr>
              <w:t>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4173CC9E" w14:textId="77777777" w:rsidR="00464F34" w:rsidRPr="002A677E" w:rsidRDefault="00BF0637" w:rsidP="00B055FF">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The code as part of a row identifier must be unique for each reported entity. For institutions </w:t>
            </w:r>
            <w:r w:rsidR="00ED20CB" w:rsidRPr="002A677E">
              <w:rPr>
                <w:rStyle w:val="InstructionsTabelleText"/>
                <w:rFonts w:ascii="Times New Roman" w:hAnsi="Times New Roman"/>
                <w:sz w:val="24"/>
              </w:rPr>
              <w:t xml:space="preserve">and insurance undertakings </w:t>
            </w:r>
            <w:r w:rsidRPr="002A677E">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TYPE OF </w:t>
            </w:r>
            <w:r w:rsidR="00464F34" w:rsidRPr="002A677E">
              <w:rPr>
                <w:rStyle w:val="InstructionsTabelleberschrift"/>
                <w:rFonts w:ascii="Times New Roman" w:hAnsi="Times New Roman"/>
                <w:sz w:val="24"/>
              </w:rPr>
              <w:t>CODE</w:t>
            </w:r>
          </w:p>
          <w:p w14:paraId="50D86DCD" w14:textId="77777777" w:rsidR="00464F34" w:rsidRPr="002A677E" w:rsidRDefault="00BF0637" w:rsidP="00DD2C1E">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 xml:space="preserve">column </w:t>
            </w:r>
            <w:r w:rsidR="00ED20CB" w:rsidRPr="002A677E">
              <w:rPr>
                <w:rStyle w:val="FormatvorlageInstructionsTabelleText"/>
                <w:rFonts w:ascii="Times New Roman" w:hAnsi="Times New Roman"/>
                <w:sz w:val="24"/>
                <w:lang w:eastAsia="de-DE"/>
              </w:rPr>
              <w:t>0</w:t>
            </w:r>
            <w:r w:rsidR="00D057A6" w:rsidRPr="002A677E">
              <w:rPr>
                <w:rStyle w:val="FormatvorlageInstructionsTabelleText"/>
                <w:rFonts w:ascii="Times New Roman" w:hAnsi="Times New Roman"/>
                <w:sz w:val="24"/>
                <w:lang w:eastAsia="de-DE"/>
              </w:rPr>
              <w:t>021</w:t>
            </w:r>
            <w:r w:rsidRPr="002A677E">
              <w:rPr>
                <w:rStyle w:val="FormatvorlageInstructionsTabelleText"/>
                <w:rFonts w:ascii="Times New Roman" w:hAnsi="Times New Roman"/>
                <w:sz w:val="24"/>
                <w:lang w:eastAsia="de-DE"/>
              </w:rPr>
              <w:t xml:space="preserve"> as a ‘LEI code’ or ‘</w:t>
            </w:r>
            <w:r w:rsidR="00ED20CB" w:rsidRPr="002A677E">
              <w:rPr>
                <w:rStyle w:val="FormatvorlageInstructionsTabelleText"/>
                <w:rFonts w:ascii="Times New Roman" w:hAnsi="Times New Roman"/>
                <w:sz w:val="24"/>
                <w:lang w:eastAsia="de-DE"/>
              </w:rPr>
              <w:t>Non-LEI</w:t>
            </w:r>
            <w:r w:rsidRPr="002A677E">
              <w:rPr>
                <w:rStyle w:val="FormatvorlageInstructionsTabelleText"/>
                <w:rFonts w:ascii="Times New Roman" w:hAnsi="Times New Roman"/>
                <w:sz w:val="24"/>
                <w:lang w:eastAsia="de-DE"/>
              </w:rPr>
              <w:t xml:space="preserve"> code’.</w:t>
            </w:r>
            <w:r w:rsidR="00ED20CB" w:rsidRPr="002A677E">
              <w:rPr>
                <w:rStyle w:val="FormatvorlageInstructionsTabelleText"/>
                <w:rFonts w:ascii="Times New Roman" w:hAnsi="Times New Roman"/>
                <w:sz w:val="24"/>
                <w:lang w:eastAsia="de-DE"/>
              </w:rPr>
              <w:t xml:space="preserve"> The type of code shall always be reported.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4B06B8AE" w14:textId="77777777" w:rsidR="00BF0637" w:rsidRPr="002A677E" w:rsidDel="00BF0637" w:rsidRDefault="00BF0637" w:rsidP="00BF0637">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489A5E0D" w14:textId="66C7EDC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and</w:t>
            </w:r>
            <w:r w:rsidR="00027D90"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6516FF73"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”NO” shall be reported otherwise.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21165B4A" w14:textId="5FB284D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 Article 81(1)</w:t>
            </w:r>
            <w:r w:rsidR="00B83DDE">
              <w:rPr>
                <w:rFonts w:ascii="Times New Roman" w:hAnsi="Times New Roman"/>
                <w:sz w:val="24"/>
              </w:rPr>
              <w:t>, p</w:t>
            </w:r>
            <w:r w:rsidR="00F217D5" w:rsidRPr="002A677E">
              <w:rPr>
                <w:rFonts w:ascii="Times New Roman" w:hAnsi="Times New Roman"/>
                <w:sz w:val="24"/>
              </w:rPr>
              <w:t xml:space="preserve">oint (a)(ii) </w:t>
            </w:r>
            <w:r w:rsidRPr="002A677E">
              <w:rPr>
                <w:rFonts w:ascii="Times New Roman" w:hAnsi="Times New Roman"/>
                <w:sz w:val="24"/>
              </w:rPr>
              <w:t>and Article 82(1)</w:t>
            </w:r>
            <w:r w:rsidR="00B83DDE">
              <w:rPr>
                <w:rFonts w:ascii="Times New Roman" w:hAnsi="Times New Roman"/>
                <w:sz w:val="24"/>
              </w:rPr>
              <w:t>, p</w:t>
            </w:r>
            <w:r w:rsidR="00F217D5" w:rsidRPr="002A677E">
              <w:rPr>
                <w:rFonts w:ascii="Times New Roman" w:hAnsi="Times New Roman"/>
                <w:sz w:val="24"/>
              </w:rPr>
              <w:t xml:space="preserve">oint (a)(ii) </w:t>
            </w:r>
            <w:r w:rsidR="00975344" w:rsidRPr="001235ED">
              <w:rPr>
                <w:rFonts w:ascii="Times New Roman" w:hAnsi="Times New Roman"/>
                <w:sz w:val="24"/>
                <w:lang w:val="en-US"/>
              </w:rPr>
              <w:t>of Regulation (EU) No 575/2013</w:t>
            </w:r>
          </w:p>
          <w:p w14:paraId="71B8F9BA" w14:textId="42EB132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by virtue of applicable national law.</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5D2A09FE" w14:textId="77777777" w:rsidR="00BF0637" w:rsidRPr="002A677E" w:rsidRDefault="00BF0637" w:rsidP="00BF0637">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30CE472B"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748D0214" w14:textId="36C11362"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(1)</w:t>
            </w:r>
            <w:r w:rsidR="00FF161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769CB69" w14:textId="28115CBC"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76F51E72" w14:textId="1487306D"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lastRenderedPageBreak/>
              <w:tab/>
              <w:t>Article 4(1)</w:t>
            </w:r>
            <w:r w:rsidR="00F217D5" w:rsidRPr="002A677E">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00CE7221" w:rsidRPr="002A677E">
              <w:rPr>
                <w:rStyle w:val="InstructionsTabelleText"/>
                <w:rFonts w:ascii="Times New Roman" w:hAnsi="Times New Roman"/>
                <w:bCs/>
                <w:sz w:val="24"/>
              </w:rPr>
              <w:t>p</w:t>
            </w:r>
            <w:r w:rsidR="00F217D5" w:rsidRPr="002A677E">
              <w:rPr>
                <w:rStyle w:val="InstructionsTabelleText"/>
                <w:rFonts w:ascii="Times New Roman" w:hAnsi="Times New Roman"/>
                <w:bCs/>
                <w:sz w:val="24"/>
              </w:rPr>
              <w:t>oints (20), (21) and (26)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p>
          <w:p w14:paraId="349DF21A" w14:textId="1832F024" w:rsidR="00BF0637" w:rsidRPr="002A677E" w:rsidRDefault="00BF0637" w:rsidP="00BF0637">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(26)</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w:t>
            </w:r>
            <w:r w:rsidR="001D6D53">
              <w:rPr>
                <w:rStyle w:val="InstructionsTabelleText"/>
                <w:rFonts w:ascii="Times New Roman" w:hAnsi="Times New Roman"/>
                <w:bCs/>
                <w:sz w:val="24"/>
              </w:rPr>
              <w:t>, (e)</w:t>
            </w:r>
            <w:r w:rsidRPr="002A677E">
              <w:rPr>
                <w:rStyle w:val="InstructionsTabelleText"/>
                <w:rFonts w:ascii="Times New Roman" w:hAnsi="Times New Roman"/>
                <w:bCs/>
                <w:sz w:val="24"/>
              </w:rPr>
              <w:t xml:space="preserve"> or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649639D0" w14:textId="0C80AA6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oints (20) and (21)</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6E8074D3" w14:textId="3F1729E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(18)</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3D7BA722" w14:textId="76B085D8"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(66)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1A33E0A7"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Entity other than those referred to in points (a) to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entity is not subject to </w:t>
            </w:r>
            <w:r w:rsidR="00975344" w:rsidRPr="001235ED">
              <w:rPr>
                <w:rFonts w:ascii="Times New Roman" w:hAnsi="Times New Roman"/>
                <w:sz w:val="24"/>
                <w:lang w:val="en-US"/>
              </w:rPr>
              <w:t xml:space="preserve">Regulation (EU) No 575/2013 </w:t>
            </w:r>
            <w:r w:rsidRPr="002A677E">
              <w:rPr>
                <w:rStyle w:val="InstructionsTabelleberschrift"/>
                <w:rFonts w:ascii="Times New Roman" w:hAnsi="Times New Roman"/>
                <w:b w:val="0"/>
                <w:sz w:val="24"/>
                <w:u w:val="none"/>
              </w:rPr>
              <w:t xml:space="preserve">and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but subject to provisions at least equivalent to Basel provisions, the relevant category shall be determined on a best effort basis.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040</w:t>
            </w:r>
          </w:p>
        </w:tc>
        <w:tc>
          <w:tcPr>
            <w:tcW w:w="8640" w:type="dxa"/>
          </w:tcPr>
          <w:p w14:paraId="3FCAB347"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5E4C77AB" w14:textId="77777777" w:rsidR="00BF0637" w:rsidRPr="002A677E" w:rsidRDefault="00BF0637" w:rsidP="00BF0637">
            <w:pPr>
              <w:rPr>
                <w:rStyle w:val="Heading1Char"/>
                <w:rFonts w:ascii="Times New Roman" w:hAnsi="Times New Roman"/>
                <w:sz w:val="24"/>
                <w:szCs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szCs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050</w:t>
            </w:r>
          </w:p>
        </w:tc>
        <w:tc>
          <w:tcPr>
            <w:tcW w:w="8640" w:type="dxa"/>
          </w:tcPr>
          <w:p w14:paraId="00B83A33"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COUNTRY CODE </w:t>
            </w:r>
          </w:p>
          <w:p w14:paraId="369D600A"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the two-letter country code referred to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5BA3A5B5" w14:textId="5C23FDA1" w:rsidR="00BF0637" w:rsidRPr="002A677E" w:rsidRDefault="00BF0637" w:rsidP="00B14047">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oint (16)</w:t>
            </w:r>
            <w:r w:rsidR="00FF1617">
              <w:rPr>
                <w:rStyle w:val="InstructionsTabelleText"/>
                <w:rFonts w:ascii="Times New Roman" w:hAnsi="Times New Roman"/>
                <w:sz w:val="24"/>
              </w:rPr>
              <w:t>,</w:t>
            </w:r>
            <w:r w:rsidR="00B14047"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5B034F" w:rsidRPr="002A677E" w14:paraId="4BF1970B" w14:textId="77777777" w:rsidTr="00672D2A">
        <w:tc>
          <w:tcPr>
            <w:tcW w:w="1188" w:type="dxa"/>
          </w:tcPr>
          <w:p w14:paraId="162FBA02" w14:textId="4D6F62EC" w:rsidR="005B034F" w:rsidRPr="002A677E" w:rsidRDefault="005B034F" w:rsidP="00BF0637">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5170EE5D" w14:textId="71F76515" w:rsidR="004C32A6" w:rsidRPr="002A677E" w:rsidRDefault="004C32A6" w:rsidP="004C32A6">
            <w:pPr>
              <w:rPr>
                <w:rFonts w:ascii="Times New Roman" w:hAnsi="Times New Roman"/>
                <w:b/>
                <w:sz w:val="24"/>
                <w:u w:val="single"/>
              </w:rPr>
            </w:pPr>
            <w:r>
              <w:rPr>
                <w:rFonts w:ascii="Times New Roman" w:hAnsi="Times New Roman"/>
                <w:b/>
                <w:sz w:val="24"/>
                <w:u w:val="single"/>
              </w:rPr>
              <w:t>OFFSETTING GROUP</w:t>
            </w:r>
          </w:p>
          <w:p w14:paraId="103B3510" w14:textId="77777777" w:rsidR="000F4F88" w:rsidRDefault="000F4F88" w:rsidP="000F4F88">
            <w:pPr>
              <w:rPr>
                <w:rStyle w:val="InstructionsTabelleText"/>
                <w:rFonts w:ascii="Times New Roman" w:hAnsi="Times New Roman"/>
                <w:sz w:val="24"/>
              </w:rPr>
            </w:pPr>
            <w:r>
              <w:rPr>
                <w:rStyle w:val="InstructionsTabelleText"/>
                <w:rFonts w:ascii="Times New Roman" w:hAnsi="Times New Roman"/>
                <w:sz w:val="24"/>
              </w:rPr>
              <w:t>‘O</w:t>
            </w:r>
            <w:r w:rsidRPr="000F4F88">
              <w:rPr>
                <w:rStyle w:val="InstructionsTabelleText"/>
                <w:rFonts w:ascii="Times New Roman" w:hAnsi="Times New Roman"/>
                <w:sz w:val="24"/>
              </w:rPr>
              <w:t xml:space="preserve">ffsetting group’ shall mean </w:t>
            </w:r>
            <w:r>
              <w:rPr>
                <w:rStyle w:val="InstructionsTabelleText"/>
                <w:rFonts w:ascii="Times New Roman" w:hAnsi="Times New Roman"/>
                <w:sz w:val="24"/>
              </w:rPr>
              <w:t>any of the following:</w:t>
            </w:r>
          </w:p>
          <w:p w14:paraId="203B5602" w14:textId="4B2623F4" w:rsidR="000F4F88" w:rsidRPr="000F4F88" w:rsidRDefault="000F4F88" w:rsidP="000059B8">
            <w:pPr>
              <w:pStyle w:val="ListParagraph"/>
              <w:numPr>
                <w:ilvl w:val="0"/>
                <w:numId w:val="75"/>
              </w:numPr>
              <w:rPr>
                <w:rStyle w:val="InstructionsTabelleText"/>
                <w:rFonts w:ascii="Times New Roman" w:hAnsi="Times New Roman"/>
                <w:sz w:val="24"/>
              </w:rPr>
            </w:pPr>
            <w:r w:rsidRPr="000F4F88">
              <w:rPr>
                <w:rStyle w:val="InstructionsTabelleText"/>
                <w:rFonts w:ascii="Times New Roman" w:hAnsi="Times New Roman"/>
                <w:sz w:val="24"/>
              </w:rPr>
              <w:t>a group of entities, for which the competent authority has granted the permission to use positions in one institution or undertaking of that group to offset positions in another institution or undertaking of that group in accordance with Article 325b of Regulation (EU) No 575/2013</w:t>
            </w:r>
            <w:r w:rsidR="004A16B5">
              <w:rPr>
                <w:rStyle w:val="InstructionsTabelleText"/>
                <w:rFonts w:ascii="Times New Roman" w:hAnsi="Times New Roman"/>
                <w:sz w:val="24"/>
              </w:rPr>
              <w:t>;</w:t>
            </w:r>
          </w:p>
          <w:p w14:paraId="7E2EC04D" w14:textId="4484FB2A" w:rsidR="005B034F" w:rsidRPr="000059B8" w:rsidRDefault="000F4F88" w:rsidP="004A16B5">
            <w:pPr>
              <w:pStyle w:val="ListParagraph"/>
              <w:numPr>
                <w:ilvl w:val="0"/>
                <w:numId w:val="75"/>
              </w:numPr>
              <w:rPr>
                <w:rStyle w:val="InstructionsTabelleText"/>
                <w:rFonts w:ascii="Times New Roman" w:hAnsi="Times New Roman"/>
                <w:b/>
                <w:bCs/>
                <w:sz w:val="24"/>
                <w:u w:val="single"/>
              </w:rPr>
            </w:pPr>
            <w:r w:rsidRPr="000F4F88">
              <w:rPr>
                <w:rStyle w:val="InstructionsTabelleText"/>
                <w:rFonts w:ascii="Times New Roman" w:hAnsi="Times New Roman"/>
                <w:sz w:val="24"/>
              </w:rPr>
              <w:t xml:space="preserve">any individual entity whose positions cannot be offset against the positions of any other entity of the same group subject to consolidated supervision in accordance with </w:t>
            </w:r>
            <w:r w:rsidRPr="000F4F88">
              <w:rPr>
                <w:rStyle w:val="InstructionsTabelleText"/>
                <w:rFonts w:ascii="Times New Roman" w:hAnsi="Times New Roman"/>
                <w:sz w:val="24"/>
              </w:rPr>
              <w:lastRenderedPageBreak/>
              <w:t xml:space="preserve">Directive 2013/36/EU, because the competent authority has not granted the permission in accordance with Article 325b of </w:t>
            </w:r>
            <w:r w:rsidR="00281798">
              <w:rPr>
                <w:rStyle w:val="InstructionsTabelleText"/>
                <w:rFonts w:ascii="Times New Roman" w:hAnsi="Times New Roman"/>
                <w:sz w:val="24"/>
              </w:rPr>
              <w:t xml:space="preserve">that </w:t>
            </w:r>
            <w:r w:rsidRPr="000F4F88">
              <w:rPr>
                <w:rStyle w:val="InstructionsTabelleText"/>
                <w:rFonts w:ascii="Times New Roman" w:hAnsi="Times New Roman"/>
                <w:sz w:val="24"/>
              </w:rPr>
              <w:t>Regulation.</w:t>
            </w:r>
          </w:p>
          <w:p w14:paraId="57A55E5B" w14:textId="173150B5" w:rsidR="004A16B5" w:rsidRPr="000059B8" w:rsidRDefault="00281798" w:rsidP="004A16B5">
            <w:pPr>
              <w:rPr>
                <w:rStyle w:val="InstructionsTabelleText"/>
                <w:rFonts w:ascii="Times New Roman" w:hAnsi="Times New Roman"/>
                <w:sz w:val="24"/>
              </w:rPr>
            </w:pPr>
            <w:r w:rsidRPr="000059B8">
              <w:rPr>
                <w:rStyle w:val="InstructionsTabelleText"/>
                <w:rFonts w:ascii="Times New Roman" w:hAnsi="Times New Roman"/>
                <w:sz w:val="24"/>
              </w:rPr>
              <w:t xml:space="preserve">Institutions shall </w:t>
            </w:r>
            <w:r w:rsidR="00741412">
              <w:rPr>
                <w:rStyle w:val="InstructionsTabelleText"/>
                <w:rFonts w:ascii="Times New Roman" w:hAnsi="Times New Roman"/>
                <w:sz w:val="24"/>
              </w:rPr>
              <w:t>indicate the offsetting group that each entity listed</w:t>
            </w:r>
            <w:r>
              <w:rPr>
                <w:rStyle w:val="InstructionsTabelleText"/>
                <w:rFonts w:ascii="Times New Roman" w:hAnsi="Times New Roman"/>
                <w:sz w:val="24"/>
              </w:rPr>
              <w:t xml:space="preserve"> in </w:t>
            </w:r>
            <w:r w:rsidR="00741412">
              <w:rPr>
                <w:rStyle w:val="InstructionsTabelleText"/>
                <w:rFonts w:ascii="Times New Roman" w:hAnsi="Times New Roman"/>
                <w:sz w:val="24"/>
              </w:rPr>
              <w:t>the template belongs to</w:t>
            </w:r>
            <w:r w:rsidRPr="000059B8">
              <w:rPr>
                <w:rStyle w:val="InstructionsTabelleText"/>
                <w:rFonts w:ascii="Times New Roman" w:hAnsi="Times New Roman"/>
                <w:sz w:val="24"/>
              </w:rPr>
              <w:t>, if they meet the following two conditions:</w:t>
            </w:r>
          </w:p>
          <w:p w14:paraId="676485CD" w14:textId="77777777" w:rsidR="00281798" w:rsidRPr="000059B8" w:rsidRDefault="00281798" w:rsidP="004A16B5">
            <w:pPr>
              <w:rPr>
                <w:rStyle w:val="InstructionsTabelleText"/>
                <w:rFonts w:ascii="Times New Roman" w:hAnsi="Times New Roman"/>
                <w:sz w:val="24"/>
              </w:rPr>
            </w:pPr>
            <w:r w:rsidRPr="000059B8">
              <w:rPr>
                <w:rStyle w:val="InstructionsTabelleText"/>
                <w:rFonts w:ascii="Times New Roman" w:hAnsi="Times New Roman"/>
                <w:sz w:val="24"/>
              </w:rPr>
              <w:t>(a) They calculate the own funds requirements for their business subject to market risk in accordance with Part Three, Title IV, Chapter 1a or Chapter 1b</w:t>
            </w:r>
            <w:r w:rsidR="00514287" w:rsidRPr="000059B8">
              <w:rPr>
                <w:rStyle w:val="InstructionsTabelleText"/>
                <w:rFonts w:ascii="Times New Roman" w:hAnsi="Times New Roman"/>
                <w:sz w:val="24"/>
              </w:rPr>
              <w:t>, or both, of Regulation (EU) No 575/2013, or are subject to the obligation to report information on those own funds requirements in accordance with Article 430(2a) or (2b) of that Regulation;</w:t>
            </w:r>
          </w:p>
          <w:p w14:paraId="67980940" w14:textId="77777777" w:rsidR="00514287" w:rsidRDefault="00514287" w:rsidP="004A16B5">
            <w:pPr>
              <w:rPr>
                <w:rStyle w:val="InstructionsTabelleText"/>
                <w:rFonts w:ascii="Times New Roman" w:hAnsi="Times New Roman"/>
                <w:sz w:val="24"/>
              </w:rPr>
            </w:pPr>
            <w:r w:rsidRPr="000059B8">
              <w:rPr>
                <w:rStyle w:val="InstructionsTabelleText"/>
                <w:rFonts w:ascii="Times New Roman" w:hAnsi="Times New Roman"/>
                <w:sz w:val="24"/>
              </w:rPr>
              <w:t xml:space="preserve">(b) </w:t>
            </w:r>
            <w:r w:rsidR="00741412" w:rsidRPr="000059B8">
              <w:rPr>
                <w:rStyle w:val="InstructionsTabelleText"/>
                <w:rFonts w:ascii="Times New Roman" w:hAnsi="Times New Roman"/>
                <w:sz w:val="24"/>
              </w:rPr>
              <w:t xml:space="preserve">The group subject to consolidation supervision </w:t>
            </w:r>
            <w:r w:rsidR="00741412" w:rsidRPr="000F4F88">
              <w:rPr>
                <w:rStyle w:val="InstructionsTabelleText"/>
                <w:rFonts w:ascii="Times New Roman" w:hAnsi="Times New Roman"/>
                <w:sz w:val="24"/>
              </w:rPr>
              <w:t>in accordance with Directive 2013/36/EU</w:t>
            </w:r>
            <w:r w:rsidR="00741412">
              <w:rPr>
                <w:rStyle w:val="InstructionsTabelleText"/>
                <w:rFonts w:ascii="Times New Roman" w:hAnsi="Times New Roman"/>
                <w:sz w:val="24"/>
              </w:rPr>
              <w:t xml:space="preserve"> includes at least two offsetting groups.</w:t>
            </w:r>
          </w:p>
          <w:p w14:paraId="242BC6A3" w14:textId="77777777" w:rsidR="00741412" w:rsidRDefault="00505538" w:rsidP="004A16B5">
            <w:pPr>
              <w:rPr>
                <w:rStyle w:val="InstructionsTabelleText"/>
                <w:rFonts w:ascii="Times New Roman" w:hAnsi="Times New Roman"/>
                <w:sz w:val="24"/>
              </w:rPr>
            </w:pPr>
            <w:r w:rsidRPr="000059B8">
              <w:rPr>
                <w:rStyle w:val="InstructionsTabelleText"/>
                <w:rFonts w:ascii="Times New Roman" w:hAnsi="Times New Roman"/>
                <w:sz w:val="24"/>
              </w:rPr>
              <w:t xml:space="preserve">The </w:t>
            </w:r>
            <w:r w:rsidR="00591292" w:rsidRPr="000059B8">
              <w:rPr>
                <w:rStyle w:val="InstructionsTabelleText"/>
                <w:rFonts w:ascii="Times New Roman" w:hAnsi="Times New Roman"/>
                <w:sz w:val="24"/>
              </w:rPr>
              <w:t>value</w:t>
            </w:r>
            <w:r w:rsidR="00764EB7" w:rsidRPr="000059B8">
              <w:rPr>
                <w:rStyle w:val="InstructionsTabelleText"/>
                <w:rFonts w:ascii="Times New Roman" w:hAnsi="Times New Roman"/>
                <w:sz w:val="24"/>
              </w:rPr>
              <w:t>s</w:t>
            </w:r>
            <w:r w:rsidR="00591292" w:rsidRPr="000059B8">
              <w:rPr>
                <w:rStyle w:val="InstructionsTabelleText"/>
                <w:rFonts w:ascii="Times New Roman" w:hAnsi="Times New Roman"/>
                <w:sz w:val="24"/>
              </w:rPr>
              <w:t xml:space="preserve"> reported in this column shall be </w:t>
            </w:r>
            <w:r w:rsidR="00764EB7">
              <w:rPr>
                <w:rStyle w:val="InstructionsTabelleText"/>
                <w:rFonts w:ascii="Times New Roman" w:hAnsi="Times New Roman"/>
                <w:sz w:val="24"/>
              </w:rPr>
              <w:t>‘</w:t>
            </w:r>
            <w:r w:rsidR="00764EB7" w:rsidRPr="000059B8">
              <w:rPr>
                <w:rStyle w:val="InstructionsTabelleText"/>
                <w:rFonts w:ascii="Times New Roman" w:hAnsi="Times New Roman"/>
                <w:sz w:val="24"/>
              </w:rPr>
              <w:t>Offsetting group 1’, ‘Offsetting group 2’</w:t>
            </w:r>
            <w:r w:rsidR="00764EB7">
              <w:rPr>
                <w:rStyle w:val="InstructionsTabelleText"/>
                <w:rFonts w:ascii="Times New Roman" w:hAnsi="Times New Roman"/>
                <w:sz w:val="24"/>
              </w:rPr>
              <w:t>, etc. The mapping provided between the legal entities and the offsetting groups shall be</w:t>
            </w:r>
            <w:r w:rsidR="008F10C4">
              <w:rPr>
                <w:rStyle w:val="InstructionsTabelleText"/>
                <w:rFonts w:ascii="Times New Roman" w:hAnsi="Times New Roman"/>
                <w:sz w:val="24"/>
              </w:rPr>
              <w:t xml:space="preserve"> consistent over time, consisten across reports of the same group subject to consolidated supervision and consistent with the identification of the offsetting groups in the templates included in </w:t>
            </w:r>
            <w:r w:rsidR="008F10C4" w:rsidRPr="000059B8">
              <w:rPr>
                <w:rStyle w:val="InstructionsTabelleText"/>
                <w:rFonts w:ascii="Times New Roman" w:hAnsi="Times New Roman"/>
                <w:sz w:val="24"/>
                <w:highlight w:val="yellow"/>
              </w:rPr>
              <w:t>[Annex I to Regulatoin (EU) 2021/453]</w:t>
            </w:r>
            <w:r w:rsidR="008F10C4">
              <w:rPr>
                <w:rStyle w:val="InstructionsTabelleText"/>
                <w:rFonts w:ascii="Times New Roman" w:hAnsi="Times New Roman"/>
                <w:sz w:val="24"/>
              </w:rPr>
              <w:t>.</w:t>
            </w:r>
          </w:p>
          <w:p w14:paraId="3FFF9B32" w14:textId="799FF9BE" w:rsidR="005B034F" w:rsidRPr="002A677E" w:rsidRDefault="008F10C4" w:rsidP="00BF0637">
            <w:pPr>
              <w:rPr>
                <w:rStyle w:val="InstructionsTabelleberschrift"/>
                <w:rFonts w:ascii="Times New Roman" w:hAnsi="Times New Roman"/>
                <w:sz w:val="24"/>
              </w:rPr>
            </w:pPr>
            <w:r w:rsidRPr="000059B8">
              <w:rPr>
                <w:rStyle w:val="InstructionsTabelleText"/>
                <w:rFonts w:ascii="Times New Roman" w:hAnsi="Times New Roman"/>
                <w:sz w:val="24"/>
              </w:rPr>
              <w:t>Where the</w:t>
            </w:r>
            <w:r>
              <w:rPr>
                <w:rStyle w:val="InstructionsTabelleText"/>
                <w:rFonts w:ascii="Times New Roman" w:hAnsi="Times New Roman"/>
                <w:sz w:val="24"/>
              </w:rPr>
              <w:t xml:space="preserve"> institution meets condition (a) specified above, but </w:t>
            </w:r>
            <w:r w:rsidR="00366473">
              <w:rPr>
                <w:rStyle w:val="InstructionsTabelleText"/>
                <w:rFonts w:ascii="Times New Roman" w:hAnsi="Times New Roman"/>
                <w:sz w:val="24"/>
              </w:rPr>
              <w:t>t</w:t>
            </w:r>
            <w:r w:rsidR="00366473" w:rsidRPr="00C21289">
              <w:rPr>
                <w:rStyle w:val="InstructionsTabelleText"/>
                <w:rFonts w:ascii="Times New Roman" w:hAnsi="Times New Roman"/>
                <w:sz w:val="24"/>
              </w:rPr>
              <w:t xml:space="preserve">he group subject to consolidation supervision </w:t>
            </w:r>
            <w:r w:rsidR="00366473" w:rsidRPr="000F4F88">
              <w:rPr>
                <w:rStyle w:val="InstructionsTabelleText"/>
                <w:rFonts w:ascii="Times New Roman" w:hAnsi="Times New Roman"/>
                <w:sz w:val="24"/>
              </w:rPr>
              <w:t>in accordance with Directive 2013/36/EU</w:t>
            </w:r>
            <w:r w:rsidR="00366473">
              <w:rPr>
                <w:rStyle w:val="InstructionsTabelleText"/>
                <w:rFonts w:ascii="Times New Roman" w:hAnsi="Times New Roman"/>
                <w:sz w:val="24"/>
              </w:rPr>
              <w:t xml:space="preserve"> includes only one single offsetting group, institutions shall indicate ‘Single offsetting group’ in the row corresponding to the parent of the group reported in this template.</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070-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78F7BB92" w14:textId="5376CC4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section of detailed information (i.e.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240) shall gather information only on those entities and subgroups which, being within the scope of consolidation (</w:t>
            </w:r>
            <w:r w:rsidRPr="002A677E">
              <w:rPr>
                <w:rFonts w:ascii="Times New Roman" w:hAnsi="Times New Roman"/>
                <w:sz w:val="24"/>
              </w:rPr>
              <w:t>Part One</w:t>
            </w:r>
            <w:r w:rsidR="00975344" w:rsidRPr="002A677E">
              <w:rPr>
                <w:rFonts w:ascii="Times New Roman" w:hAnsi="Times New Roman"/>
                <w:sz w:val="24"/>
              </w:rPr>
              <w:t>,</w:t>
            </w:r>
            <w:r w:rsidRPr="002A677E">
              <w:rPr>
                <w:rFonts w:ascii="Times New Roman" w:hAnsi="Times New Roman"/>
                <w:sz w:val="24"/>
              </w:rPr>
              <w:t xml:space="preserve"> </w:t>
            </w:r>
            <w:r w:rsidR="00975344" w:rsidRPr="002A677E">
              <w:rPr>
                <w:rFonts w:ascii="Times New Roman" w:hAnsi="Times New Roman"/>
                <w:sz w:val="24"/>
              </w:rPr>
              <w:t xml:space="preserve">Title II, Chapter 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 xml:space="preserve">or provisions at least equivalent to Basel provisions (i.e, reported yes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w:t>
            </w:r>
          </w:p>
          <w:p w14:paraId="52E3CD2B" w14:textId="77777777"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842D1A7" w14:textId="1E4B7089"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necessary to do a double calculation on an individual basis on the basis of the parent institution’s rules). When local solvency rules differ from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06719DC8" w14:textId="77777777" w:rsidR="00BF0637" w:rsidRPr="002A677E" w:rsidRDefault="00BF0637" w:rsidP="00BF0637">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of this template.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5DD1978D"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110 shall be reported.</w:t>
            </w:r>
          </w:p>
        </w:tc>
      </w:tr>
      <w:tr w:rsidR="0016047E" w:rsidRPr="002A677E" w14:paraId="590A4090" w14:textId="77777777" w:rsidTr="00E40F04">
        <w:tc>
          <w:tcPr>
            <w:tcW w:w="1188" w:type="dxa"/>
          </w:tcPr>
          <w:p w14:paraId="7D75A454" w14:textId="77777777" w:rsidR="0016047E" w:rsidRPr="002A677E" w:rsidRDefault="0016047E" w:rsidP="00E40F04">
            <w:pPr>
              <w:rPr>
                <w:rStyle w:val="InstructionsTabelleText"/>
                <w:rFonts w:ascii="Times New Roman" w:hAnsi="Times New Roman"/>
                <w:sz w:val="24"/>
              </w:rPr>
            </w:pPr>
            <w:r>
              <w:rPr>
                <w:rStyle w:val="InstructionsTabelleText"/>
                <w:rFonts w:ascii="Times New Roman" w:hAnsi="Times New Roman"/>
                <w:sz w:val="24"/>
              </w:rPr>
              <w:lastRenderedPageBreak/>
              <w:t>0075</w:t>
            </w:r>
          </w:p>
        </w:tc>
        <w:tc>
          <w:tcPr>
            <w:tcW w:w="8640" w:type="dxa"/>
          </w:tcPr>
          <w:p w14:paraId="252E22DA" w14:textId="77777777" w:rsidR="0016047E" w:rsidRDefault="0016047E" w:rsidP="00E40F04">
            <w:pPr>
              <w:rPr>
                <w:rStyle w:val="InstructionsTabelleberschrift"/>
                <w:rFonts w:ascii="Times New Roman" w:hAnsi="Times New Roman"/>
                <w:sz w:val="24"/>
              </w:rPr>
            </w:pPr>
            <w:r>
              <w:rPr>
                <w:rStyle w:val="InstructionsTabelleberschrift"/>
                <w:rFonts w:ascii="Times New Roman" w:hAnsi="Times New Roman"/>
                <w:sz w:val="24"/>
              </w:rPr>
              <w:t>OF WHICH: FLOOR ADJUSTMENT (OUTPUT FLOOR TREA)</w:t>
            </w:r>
          </w:p>
          <w:p w14:paraId="75FBD43E" w14:textId="77777777" w:rsidR="0016047E" w:rsidRPr="002A677E" w:rsidRDefault="0016047E" w:rsidP="00E40F04">
            <w:pPr>
              <w:rPr>
                <w:rStyle w:val="InstructionsTabelleberschrift"/>
                <w:rFonts w:ascii="Times New Roman" w:hAnsi="Times New Roman"/>
                <w:sz w:val="24"/>
              </w:rPr>
            </w:pPr>
            <w:r>
              <w:rPr>
                <w:rStyle w:val="InstructionsTabelleberschrift"/>
                <w:rFonts w:ascii="Times New Roman" w:hAnsi="Times New Roman"/>
                <w:b w:val="0"/>
                <w:bCs w:val="0"/>
                <w:sz w:val="24"/>
                <w:u w:val="none"/>
              </w:rPr>
              <w:t>Entities shall report the floor adjustment calculated on an individual basis.</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CE823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040 “</w:t>
            </w:r>
            <w:r w:rsidRPr="002A677E">
              <w:rPr>
                <w:rStyle w:val="InstructionsTabelleberschrift"/>
                <w:rFonts w:ascii="Times New Roman" w:hAnsi="Times New Roman"/>
                <w:b w:val="0"/>
                <w:sz w:val="24"/>
                <w:u w:val="none"/>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490 “TOTAL RISK EXPOSURE AMOUNT FOR SETTLEMENT/DELIVERY RISKS” of template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8640" w:type="dxa"/>
          </w:tcPr>
          <w:p w14:paraId="2EF8E237" w14:textId="75334867" w:rsidR="00BF0637" w:rsidRPr="002A677E" w:rsidRDefault="00E757FA" w:rsidP="00BF0637">
            <w:pPr>
              <w:rPr>
                <w:rStyle w:val="InstructionsTabelleberschrift"/>
                <w:rFonts w:ascii="Times New Roman" w:hAnsi="Times New Roman"/>
                <w:sz w:val="24"/>
              </w:rPr>
            </w:pPr>
            <w:r>
              <w:rPr>
                <w:rStyle w:val="InstructionsTabelleberschrift"/>
                <w:rFonts w:ascii="Times New Roman" w:hAnsi="Times New Roman"/>
                <w:sz w:val="24"/>
              </w:rPr>
              <w:t>MARKET RISKS</w:t>
            </w:r>
          </w:p>
          <w:p w14:paraId="1D0B2589" w14:textId="4B6D8184"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520 “TOTAL RISK EXPOSURE AMOUNT FOR </w:t>
            </w:r>
            <w:r w:rsidR="00E757FA">
              <w:rPr>
                <w:rStyle w:val="InstructionsTabelleText"/>
                <w:rFonts w:ascii="Times New Roman" w:hAnsi="Times New Roman"/>
                <w:sz w:val="24"/>
              </w:rPr>
              <w:t>THE BUSINESS SUBJECT TO MARKET RISK</w:t>
            </w:r>
            <w:r w:rsidRPr="002A677E">
              <w:rPr>
                <w:rStyle w:val="InstructionsTabelleText"/>
                <w:rFonts w:ascii="Times New Roman" w:hAnsi="Times New Roman"/>
                <w:sz w:val="24"/>
              </w:rPr>
              <w:t>” of template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6BB980A0"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590 “TOTAL RISK EXPOSURE AMOUNT FOR OPERATIONAL RISKS (OpR)” of the template CA2.</w:t>
            </w:r>
          </w:p>
          <w:p w14:paraId="46886FD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Fixed overheads shall be included in this column including the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630 “ADDITIONAL RISK EXPOSURE AMOUNT DUE TO FIXED OVERHEADS” of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6D4418F"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640,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680 and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690 of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2D591A5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63658095"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010 “OWN FUNDS” of the template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09996C03" w14:textId="21A99D7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5DD15394"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2804037" w14:textId="61A6A15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Qualifying holdings are, for the subsidiaries specified above, the instruments (plus related retained earnings, share premium accounts and other reserves) owned by persons other than the undertakings and included in the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4D2C4397"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0E7A59AB" w14:textId="3612AEC9"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87(1)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25080D2" w14:textId="04BF5CF8" w:rsidR="00BF0637" w:rsidRPr="001235ED" w:rsidRDefault="00BF0637" w:rsidP="00BF0637">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00975344" w:rsidRPr="001235ED">
              <w:rPr>
                <w:rFonts w:ascii="Times New Roman" w:hAnsi="Times New Roman"/>
                <w:sz w:val="24"/>
                <w:lang w:val="en-US"/>
              </w:rPr>
              <w:t>of Regulation (EU) No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3617A71D" w14:textId="3C5E3B6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p>
          <w:p w14:paraId="4472C46C"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1E6489E" w14:textId="0619F02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7A7C7FA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563BAF9E" w14:textId="6E8D3C07" w:rsidR="00BF0637" w:rsidRPr="002A677E" w:rsidRDefault="00BF0637" w:rsidP="00B14047">
            <w:pPr>
              <w:rPr>
                <w:rStyle w:val="InstructionsTabelleberschrift"/>
                <w:rFonts w:ascii="Times New Roman" w:hAnsi="Times New Roman"/>
                <w:sz w:val="24"/>
              </w:rPr>
            </w:pPr>
            <w:r w:rsidRPr="002A677E">
              <w:rPr>
                <w:rStyle w:val="InstructionsTabelleberschrift"/>
                <w:rFonts w:ascii="Times New Roman" w:hAnsi="Times New Roman"/>
                <w:b w:val="0"/>
                <w:sz w:val="24"/>
                <w:u w:val="none"/>
              </w:rPr>
              <w:t>of Article 85(1)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24F9DF96" w14:textId="26CD99E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00975344" w:rsidRPr="001235ED">
              <w:rPr>
                <w:rFonts w:ascii="Times New Roman" w:hAnsi="Times New Roman"/>
                <w:sz w:val="24"/>
                <w:lang w:val="en-US"/>
              </w:rPr>
              <w:t>of Regulation (EU) No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6E57A6CD" w14:textId="3896917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00975344" w:rsidRPr="001235ED">
              <w:rPr>
                <w:rFonts w:ascii="Times New Roman" w:hAnsi="Times New Roman"/>
                <w:sz w:val="24"/>
                <w:lang w:val="en-US"/>
              </w:rPr>
              <w:t>of Regulation (EU) No 575/2013</w:t>
            </w:r>
          </w:p>
          <w:p w14:paraId="33A6FE49" w14:textId="3AEC578F"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875FB15" w14:textId="553FED4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12E0FD2"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2FC270C0" w14:textId="67E382D3"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84(1)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70D8C1C5" w14:textId="485B4D5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00975344" w:rsidRPr="001235ED">
              <w:rPr>
                <w:rFonts w:ascii="Times New Roman" w:hAnsi="Times New Roman"/>
                <w:sz w:val="24"/>
                <w:lang w:val="en-US"/>
              </w:rPr>
              <w:t>of Regulation (EU) No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49B3C4BB" w14:textId="71B36A4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108F1773" w14:textId="49BECF7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5C833E43" w14:textId="5C8E172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AT1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1F885FA"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26B39E27" w14:textId="52EB1D2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00975344" w:rsidRPr="001235ED">
              <w:rPr>
                <w:rFonts w:ascii="Times New Roman" w:hAnsi="Times New Roman"/>
                <w:sz w:val="24"/>
                <w:lang w:val="en-US"/>
              </w:rPr>
              <w:t>of Regulation (EU) No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3F7B6259" w14:textId="20CAD0A4"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7B78D183" w14:textId="6D2D9790"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the purpose of all the calculations required in Article 87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00975344"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 xml:space="preserve">, otherwise on a solo basis. </w:t>
            </w:r>
          </w:p>
          <w:p w14:paraId="650A7EFB" w14:textId="786D34B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EB64EB4" w14:textId="77777777" w:rsidR="00BF0637" w:rsidRPr="002A677E" w:rsidRDefault="00BF0637" w:rsidP="001B43BD">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w:t>
            </w:r>
            <w:r w:rsidR="001B43BD"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It shall be the eligible amount on the </w:t>
            </w:r>
            <w:r w:rsidR="001B43BD" w:rsidRPr="002A677E">
              <w:rPr>
                <w:rStyle w:val="InstructionsTabelleText"/>
                <w:rFonts w:ascii="Times New Roman" w:hAnsi="Times New Roman"/>
                <w:sz w:val="24"/>
              </w:rPr>
              <w:t>reference date</w:t>
            </w:r>
            <w:r w:rsidRPr="002A677E">
              <w:rPr>
                <w:rStyle w:val="InstructionsTabelleText"/>
                <w:rFonts w:ascii="Times New Roman" w:hAnsi="Times New Roman"/>
                <w:sz w:val="24"/>
              </w:rPr>
              <w:t>.</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072B72C1" w14:textId="77777777" w:rsidR="00BF0637" w:rsidRPr="002A677E" w:rsidRDefault="00BF0637" w:rsidP="00BF0637">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40F6AE1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lastRenderedPageBreak/>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260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290 shall be reported.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72CBAFCB" w14:textId="106D5FE5" w:rsidR="00BF0637" w:rsidRPr="002A677E" w:rsidRDefault="00BF0637" w:rsidP="00975344">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270</w:t>
            </w:r>
          </w:p>
        </w:tc>
        <w:tc>
          <w:tcPr>
            <w:tcW w:w="8640" w:type="dxa"/>
          </w:tcPr>
          <w:p w14:paraId="7BE882F5" w14:textId="430E8696" w:rsidR="00BF0637" w:rsidRPr="002A677E" w:rsidRDefault="006219CF" w:rsidP="00BF0637">
            <w:pPr>
              <w:rPr>
                <w:rStyle w:val="InstructionsTabelleberschrift"/>
                <w:rFonts w:ascii="Times New Roman" w:hAnsi="Times New Roman"/>
                <w:sz w:val="24"/>
              </w:rPr>
            </w:pPr>
            <w:r>
              <w:rPr>
                <w:rStyle w:val="InstructionsTabelleberschrift"/>
                <w:rFonts w:ascii="Times New Roman" w:hAnsi="Times New Roman"/>
                <w:sz w:val="24"/>
              </w:rPr>
              <w:t>MARKET</w:t>
            </w:r>
            <w:r w:rsidR="00BF0637" w:rsidRPr="002A677E">
              <w:rPr>
                <w:rStyle w:val="InstructionsTabelleberschrift"/>
                <w:rFonts w:ascii="Times New Roman" w:hAnsi="Times New Roman"/>
                <w:sz w:val="24"/>
              </w:rPr>
              <w:t xml:space="preserve"> RISKS</w:t>
            </w:r>
          </w:p>
          <w:p w14:paraId="21F4E9B7" w14:textId="2C64FDCE" w:rsidR="00BF0637" w:rsidRPr="001235ED" w:rsidRDefault="00BF0637" w:rsidP="00D768D3">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w:t>
            </w:r>
            <w:r w:rsidR="00DE588A">
              <w:rPr>
                <w:rStyle w:val="InstructionsTabelleText"/>
                <w:rFonts w:ascii="Times New Roman" w:hAnsi="Times New Roman"/>
                <w:sz w:val="24"/>
              </w:rPr>
              <w:t>market risk</w:t>
            </w:r>
            <w:r w:rsidRPr="002A677E">
              <w:rPr>
                <w:rStyle w:val="InstructionsTabelleText"/>
                <w:rFonts w:ascii="Times New Roman" w:hAnsi="Times New Roman"/>
                <w:sz w:val="24"/>
              </w:rPr>
              <w:t xml:space="preserve"> of the group. The sum of amounts reported here shall correspond to the amount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520 “TOTAL RISK EXPOSURE AMOUNT FOR </w:t>
            </w:r>
            <w:r w:rsidR="00864E94">
              <w:rPr>
                <w:rStyle w:val="InstructionsTabelleText"/>
                <w:rFonts w:ascii="Times New Roman" w:hAnsi="Times New Roman"/>
                <w:sz w:val="24"/>
              </w:rPr>
              <w:t xml:space="preserve">THE BUSINESS SUBJECT TO MARKET </w:t>
            </w:r>
            <w:r w:rsidRPr="002A677E">
              <w:rPr>
                <w:rStyle w:val="InstructionsTabelleText"/>
                <w:rFonts w:ascii="Times New Roman" w:hAnsi="Times New Roman"/>
                <w:sz w:val="24"/>
              </w:rPr>
              <w:t xml:space="preserve">RISK” of the </w:t>
            </w:r>
            <w:r w:rsidRPr="00D768D3">
              <w:t>consolidated</w:t>
            </w:r>
            <w:r w:rsidRPr="002A677E">
              <w:rPr>
                <w:rStyle w:val="InstructionsTabelleText"/>
                <w:rFonts w:ascii="Times New Roman" w:hAnsi="Times New Roman"/>
                <w:sz w:val="24"/>
              </w:rPr>
              <w:t xml:space="preserve"> report.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BF1BD4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In case of AMA, the reported risk exposure amounts for operational risk shall include the effect of diversification.</w:t>
            </w:r>
          </w:p>
          <w:p w14:paraId="53F6E3CC" w14:textId="77777777" w:rsidR="00BF0637" w:rsidRPr="002A677E" w:rsidRDefault="00BF0637" w:rsidP="00BF0637">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A7799CF" w14:textId="7CA6909D"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for risks other than </w:t>
            </w:r>
            <w:r w:rsidR="00864E94">
              <w:rPr>
                <w:rStyle w:val="InstructionsTabelleText"/>
                <w:rFonts w:ascii="Times New Roman" w:hAnsi="Times New Roman"/>
                <w:sz w:val="24"/>
              </w:rPr>
              <w:t xml:space="preserve">those </w:t>
            </w:r>
            <w:r w:rsidRPr="002A677E">
              <w:rPr>
                <w:rStyle w:val="InstructionsTabelleText"/>
                <w:rFonts w:ascii="Times New Roman" w:hAnsi="Times New Roman"/>
                <w:sz w:val="24"/>
              </w:rPr>
              <w:t>listed above.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 xml:space="preserve">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300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360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400 shall be reported for all consolidated entities which contribute to the consolidated own funds.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B0CC8E1" w14:textId="0855B600" w:rsidR="00BF0637" w:rsidRPr="002A677E" w:rsidRDefault="00BF0637" w:rsidP="00975344">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as “QUALIFYING OWN FUNDS INCLUDED IN CONSOLIDATED OWN FUNDS” shall be the amount as derived from Part Two</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lastRenderedPageBreak/>
              <w:t>0</w:t>
            </w:r>
            <w:r w:rsidR="00BF0637" w:rsidRPr="002A677E">
              <w:rPr>
                <w:rFonts w:ascii="Times New Roman" w:hAnsi="Times New Roman"/>
                <w:sz w:val="24"/>
              </w:rPr>
              <w:t>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1633436E" w14:textId="5B33D71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00975344" w:rsidRPr="001235ED">
              <w:rPr>
                <w:rFonts w:ascii="Times New Roman" w:hAnsi="Times New Roman"/>
                <w:sz w:val="24"/>
                <w:lang w:val="en-US"/>
              </w:rPr>
              <w:t>of Regulation (EU) No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94A052C" w14:textId="6ECF9D4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00975344" w:rsidRPr="001235ED">
              <w:rPr>
                <w:rFonts w:ascii="Times New Roman" w:hAnsi="Times New Roman"/>
                <w:sz w:val="24"/>
                <w:lang w:val="en-US"/>
              </w:rPr>
              <w:t>of Regulation (EU) No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3911EDD5" w14:textId="2DD21D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00975344" w:rsidRPr="001235ED">
              <w:rPr>
                <w:rFonts w:ascii="Times New Roman" w:hAnsi="Times New Roman"/>
                <w:sz w:val="24"/>
                <w:lang w:val="en-US"/>
              </w:rPr>
              <w:t>of Regulation (EU) No 575/2013</w:t>
            </w:r>
          </w:p>
          <w:p w14:paraId="7FDDD9A5" w14:textId="3C4981F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00975344"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5D53AAB" w14:textId="6B0C151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00975344" w:rsidRPr="001235ED">
              <w:rPr>
                <w:rFonts w:ascii="Times New Roman" w:hAnsi="Times New Roman"/>
                <w:sz w:val="24"/>
                <w:lang w:val="en-US"/>
              </w:rPr>
              <w:t>of Regulation (EU) No 575/2013</w:t>
            </w:r>
          </w:p>
          <w:p w14:paraId="203897A7" w14:textId="4991A87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4291CA19" w14:textId="73F97F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00DE583B" w:rsidRPr="001235ED">
              <w:rPr>
                <w:rFonts w:ascii="Times New Roman" w:hAnsi="Times New Roman"/>
                <w:sz w:val="24"/>
                <w:lang w:val="en-US"/>
              </w:rPr>
              <w:t>of Regulation (EU) No 575/2013</w:t>
            </w:r>
          </w:p>
          <w:p w14:paraId="6E02F526" w14:textId="45A02523" w:rsidR="00BF0637" w:rsidRPr="002A677E" w:rsidRDefault="00BF0637" w:rsidP="00DE583B">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00DE583B"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r w:rsidRPr="002A677E">
              <w:rPr>
                <w:rFonts w:ascii="Times New Roman" w:hAnsi="Times New Roman"/>
                <w:sz w:val="24"/>
              </w:rPr>
              <w:t>0</w:t>
            </w:r>
            <w:r w:rsidR="00BF0637" w:rsidRPr="002A677E">
              <w:rPr>
                <w:rFonts w:ascii="Times New Roman" w:hAnsi="Times New Roman"/>
                <w:sz w:val="24"/>
              </w:rPr>
              <w:t>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36D104D8" w14:textId="2BBD77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00DE583B" w:rsidRPr="001235ED">
              <w:rPr>
                <w:rFonts w:ascii="Times New Roman" w:hAnsi="Times New Roman"/>
                <w:sz w:val="24"/>
                <w:lang w:val="en-US"/>
              </w:rPr>
              <w:t>of Regulation (EU) No 575/2013</w:t>
            </w:r>
          </w:p>
          <w:p w14:paraId="0BB39ADB"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468209C6"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6CABAE8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0394476" w14:textId="34D6AAB6"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xml:space="preserve"> and on</w:t>
            </w:r>
            <w:r w:rsidR="00DE583B" w:rsidRPr="001235ED">
              <w:rPr>
                <w:rFonts w:ascii="Times New Roman" w:hAnsi="Times New Roman"/>
                <w:sz w:val="24"/>
                <w:lang w:val="en-US"/>
              </w:rPr>
              <w:t xml:space="preserve"> Regulation (EU) No 575/2013</w:t>
            </w:r>
            <w:r w:rsidRPr="002A677E">
              <w:rPr>
                <w:rStyle w:val="InstructionsTabelleberschrift"/>
                <w:rFonts w:ascii="Times New Roman" w:hAnsi="Times New Roman"/>
                <w:b w:val="0"/>
                <w:sz w:val="24"/>
                <w:u w:val="none"/>
              </w:rPr>
              <w:t>, including any transitional provisions provided for therein.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(6) </w:t>
            </w:r>
            <w:r w:rsidR="00027D90" w:rsidRPr="002A677E">
              <w:rPr>
                <w:rFonts w:ascii="Times New Roman" w:hAnsi="Times New Roman"/>
                <w:sz w:val="24"/>
              </w:rPr>
              <w:t>of Directive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7A1DFE23" w14:textId="6FB2BF8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 </w:t>
            </w:r>
            <w:r w:rsidRPr="002A677E">
              <w:rPr>
                <w:rStyle w:val="InstructionsTabelleText"/>
                <w:rFonts w:ascii="Times New Roman" w:hAnsi="Times New Roman"/>
                <w:sz w:val="24"/>
              </w:rPr>
              <w:t xml:space="preserve">and Article 129 </w:t>
            </w:r>
            <w:r w:rsidR="00027D90" w:rsidRPr="002A677E">
              <w:rPr>
                <w:rFonts w:ascii="Times New Roman" w:hAnsi="Times New Roman"/>
                <w:sz w:val="24"/>
              </w:rPr>
              <w:t>of Directive 2013/36/EU</w:t>
            </w:r>
          </w:p>
          <w:p w14:paraId="6BAB745B" w14:textId="64C721C3" w:rsidR="00BF0637" w:rsidRPr="002A677E" w:rsidRDefault="00BF0637" w:rsidP="00B055FF">
            <w:pPr>
              <w:pStyle w:val="InstructionsText"/>
              <w:rPr>
                <w:rStyle w:val="InstructionsTabelleText"/>
                <w:rFonts w:ascii="Times New Roman" w:hAnsi="Times New Roman"/>
                <w:sz w:val="24"/>
                <w:lang w:eastAsia="en-US"/>
              </w:rPr>
            </w:pPr>
            <w:r w:rsidRPr="001235ED">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60BB7D4D" w14:textId="45B1CD6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3A3899" w:rsidRPr="002A677E">
              <w:rPr>
                <w:rStyle w:val="InstructionsTabelleText"/>
                <w:rFonts w:ascii="Times New Roman" w:hAnsi="Times New Roman"/>
                <w:sz w:val="24"/>
              </w:rPr>
              <w:t xml:space="preserve">oint (2), </w:t>
            </w:r>
            <w:r w:rsidRPr="002A677E">
              <w:rPr>
                <w:rStyle w:val="InstructionsTabelleText"/>
                <w:rFonts w:ascii="Times New Roman" w:hAnsi="Times New Roman"/>
                <w:sz w:val="24"/>
              </w:rPr>
              <w:t xml:space="preserve">Article 130 and Articles 135 to 140 </w:t>
            </w:r>
            <w:r w:rsidR="00027D90" w:rsidRPr="002A677E">
              <w:rPr>
                <w:rFonts w:ascii="Times New Roman" w:hAnsi="Times New Roman"/>
                <w:sz w:val="24"/>
              </w:rPr>
              <w:t>of Directive 2013/36/EU</w:t>
            </w:r>
          </w:p>
          <w:p w14:paraId="13C2D32F" w14:textId="77777777" w:rsidR="00BF0637" w:rsidRPr="002A677E" w:rsidRDefault="001B43BD" w:rsidP="00B055FF">
            <w:pPr>
              <w:pStyle w:val="InstructionsText"/>
              <w:rPr>
                <w:rStyle w:val="InstructionsTabelleText"/>
                <w:rFonts w:ascii="Times New Roman" w:hAnsi="Times New Roman"/>
                <w:sz w:val="24"/>
                <w:lang w:eastAsia="en-US"/>
              </w:rPr>
            </w:pPr>
            <w:r w:rsidRPr="001235ED">
              <w:t>T</w:t>
            </w:r>
            <w:r w:rsidR="00BF0637" w:rsidRPr="002A677E">
              <w:t>he concrete amount of the countercyclical buffer shall be reported</w:t>
            </w:r>
            <w:r w:rsidRPr="002A677E">
              <w:t xml:space="preserve"> in this cell</w:t>
            </w:r>
            <w:r w:rsidR="00BF0637" w:rsidRPr="002A677E">
              <w:t>.</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582CB6E0" w14:textId="2A4C4B2C"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458(2)</w:t>
            </w:r>
            <w:r w:rsidR="003A3899" w:rsidRPr="002A677E">
              <w:rPr>
                <w:rStyle w:val="InstructionsTabelleberschrift"/>
                <w:rFonts w:ascii="Times New Roman" w:hAnsi="Times New Roman"/>
                <w:b w:val="0"/>
                <w:sz w:val="24"/>
                <w:u w:val="none"/>
              </w:rPr>
              <w:t xml:space="preserve">,point (d)(iv) </w:t>
            </w:r>
            <w:r w:rsidR="00DE583B" w:rsidRPr="001235ED">
              <w:rPr>
                <w:rFonts w:ascii="Times New Roman" w:hAnsi="Times New Roman"/>
                <w:sz w:val="24"/>
                <w:lang w:val="en-US"/>
              </w:rPr>
              <w:t>of Regulation (EU) No 575/2013</w:t>
            </w:r>
          </w:p>
          <w:p w14:paraId="4670889D" w14:textId="323C3C12" w:rsidR="00BF0637" w:rsidRPr="002A677E" w:rsidRDefault="001B43BD" w:rsidP="00B055FF">
            <w:pPr>
              <w:pStyle w:val="InstructionsText"/>
              <w:rPr>
                <w:rStyle w:val="InstructionsTabelleberschrift"/>
                <w:rFonts w:ascii="Times New Roman" w:hAnsi="Times New Roman"/>
                <w:sz w:val="24"/>
                <w:lang w:eastAsia="en-US"/>
              </w:rPr>
            </w:pPr>
            <w:r w:rsidRPr="001235ED">
              <w:t>T</w:t>
            </w:r>
            <w:r w:rsidR="00BF0637" w:rsidRPr="002A677E">
              <w:t xml:space="preserve">he amount of the conservation buffer due to macro-prudential or systemic risk identified at the level of a Member State, which can be requested in accordance with Article 458 </w:t>
            </w:r>
            <w:r w:rsidR="00DE583B" w:rsidRPr="001235ED">
              <w:rPr>
                <w:lang w:val="en-US"/>
              </w:rPr>
              <w:t>of Regulation (EU) No 575/2013</w:t>
            </w:r>
            <w:r w:rsidR="00402284">
              <w:rPr>
                <w:lang w:val="en-US"/>
              </w:rPr>
              <w:t xml:space="preserve"> </w:t>
            </w:r>
            <w:r w:rsidR="00BF0637" w:rsidRPr="002A677E">
              <w:t>in addition to the capital conservation buffer, shall be reported</w:t>
            </w:r>
            <w:r w:rsidRPr="002A677E">
              <w:t xml:space="preserve"> in this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1EC2BAA7" w14:textId="0181C20C" w:rsidR="00BF0637" w:rsidRPr="002A677E" w:rsidRDefault="00BF0637" w:rsidP="00B055FF">
            <w:pPr>
              <w:pStyle w:val="InstructionsText"/>
            </w:pPr>
            <w:r w:rsidRPr="002A677E">
              <w:t>Article 128</w:t>
            </w:r>
            <w:r w:rsidR="00B83DDE">
              <w:t>, p</w:t>
            </w:r>
            <w:r w:rsidR="003A3899" w:rsidRPr="002A677E">
              <w:t>oint (5)</w:t>
            </w:r>
            <w:r w:rsidRPr="002A677E">
              <w:t xml:space="preserve">, Articles 133 and 134 </w:t>
            </w:r>
            <w:r w:rsidR="00027D90" w:rsidRPr="002A677E">
              <w:t>of Directive 2013/36/EU</w:t>
            </w:r>
            <w:r w:rsidRPr="002A677E">
              <w:t xml:space="preserve"> </w:t>
            </w:r>
          </w:p>
          <w:p w14:paraId="2F7F49AC" w14:textId="77777777" w:rsidR="00BF0637" w:rsidRPr="001235ED" w:rsidRDefault="001B43BD" w:rsidP="001B43BD">
            <w:pPr>
              <w:rPr>
                <w:rStyle w:val="InstructionsTabelleberschrift"/>
                <w:rFonts w:ascii="Times New Roman" w:hAnsi="Times New Roman"/>
                <w:sz w:val="24"/>
              </w:rPr>
            </w:pPr>
            <w:r w:rsidRPr="001235ED">
              <w:rPr>
                <w:rFonts w:ascii="Times New Roman" w:hAnsi="Times New Roman"/>
                <w:sz w:val="24"/>
              </w:rPr>
              <w:t>T</w:t>
            </w:r>
            <w:r w:rsidR="00BF0637" w:rsidRPr="002A677E">
              <w:rPr>
                <w:rFonts w:ascii="Times New Roman" w:hAnsi="Times New Roman"/>
                <w:sz w:val="24"/>
              </w:rPr>
              <w:t>he amount of the systemic risk buffer shall be reported</w:t>
            </w:r>
            <w:r w:rsidRPr="002A677E">
              <w:rPr>
                <w:rFonts w:ascii="Times New Roman" w:hAnsi="Times New Roman"/>
                <w:sz w:val="24"/>
              </w:rPr>
              <w:t xml:space="preserve"> in this cell</w:t>
            </w:r>
            <w:r w:rsidR="00BF0637" w:rsidRPr="002A677E">
              <w:rPr>
                <w:rFonts w:ascii="Times New Roman" w:hAnsi="Times New Roman"/>
                <w:sz w:val="24"/>
              </w:rPr>
              <w:t>.</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4898CD" w14:textId="275F2822" w:rsidR="00BF0637" w:rsidRPr="002A677E" w:rsidRDefault="00BF0637" w:rsidP="00B055FF">
            <w:pPr>
              <w:pStyle w:val="InstructionsText"/>
              <w:rPr>
                <w:rStyle w:val="InstructionsTabelleberschrift"/>
                <w:rFonts w:ascii="Times New Roman" w:hAnsi="Times New Roman"/>
                <w:b w:val="0"/>
                <w:sz w:val="24"/>
                <w:u w:val="none"/>
                <w:lang w:eastAsia="en-US"/>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3A3899"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231ADF38" w14:textId="77777777" w:rsidR="00BF0637" w:rsidRPr="002A677E" w:rsidRDefault="001B43BD" w:rsidP="00B055FF">
            <w:pPr>
              <w:pStyle w:val="InstructionsText"/>
              <w:rPr>
                <w:rStyle w:val="InstructionsTabelleberschrift"/>
                <w:rFonts w:ascii="Times New Roman" w:hAnsi="Times New Roman"/>
                <w:sz w:val="24"/>
                <w:lang w:eastAsia="en-US"/>
              </w:rPr>
            </w:pPr>
            <w:r w:rsidRPr="001235ED">
              <w:t>T</w:t>
            </w:r>
            <w:r w:rsidR="00BF0637" w:rsidRPr="002A677E">
              <w:t>he amount of the Global Systemically Important Institution buffer shall be reported</w:t>
            </w:r>
            <w:r w:rsidRPr="002A677E">
              <w:t xml:space="preserve"> in this cell</w:t>
            </w:r>
            <w:r w:rsidR="00BF0637" w:rsidRPr="002A677E">
              <w:t>.</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3BE461F6" w14:textId="343A0FC1" w:rsidR="00BF0637" w:rsidRPr="002A677E" w:rsidRDefault="00BF0637" w:rsidP="00B055FF">
            <w:pPr>
              <w:pStyle w:val="InstructionsText"/>
            </w:pPr>
            <w:r w:rsidRPr="002A677E">
              <w:t>Article 128</w:t>
            </w:r>
            <w:r w:rsidR="00B83DDE">
              <w:t>, p</w:t>
            </w:r>
            <w:r w:rsidR="003A3899" w:rsidRPr="002A677E">
              <w:t xml:space="preserve">oint (4) </w:t>
            </w:r>
            <w:r w:rsidRPr="002A677E">
              <w:t xml:space="preserve">and Article 131 </w:t>
            </w:r>
            <w:r w:rsidR="00027D90" w:rsidRPr="002A677E">
              <w:t>of Directive 2013/36/EU</w:t>
            </w:r>
          </w:p>
          <w:p w14:paraId="438EEBF7" w14:textId="77777777" w:rsidR="00BF0637" w:rsidRPr="002A677E" w:rsidRDefault="001B43BD" w:rsidP="00B055FF">
            <w:pPr>
              <w:pStyle w:val="InstructionsText"/>
              <w:rPr>
                <w:rStyle w:val="InstructionsTabelleberschrift"/>
                <w:rFonts w:ascii="Times New Roman" w:hAnsi="Times New Roman"/>
                <w:sz w:val="24"/>
              </w:rPr>
            </w:pPr>
            <w:r w:rsidRPr="001235ED">
              <w:lastRenderedPageBreak/>
              <w:t>T</w:t>
            </w:r>
            <w:r w:rsidR="00BF0637" w:rsidRPr="002A677E">
              <w:t>he amount of the Other Systemically Important Institution buffer shall be reported</w:t>
            </w:r>
            <w:r w:rsidRPr="002A677E">
              <w:t xml:space="preserve"> in this cell</w:t>
            </w:r>
            <w:r w:rsidR="00BF0637" w:rsidRPr="002A677E">
              <w:t>.</w:t>
            </w:r>
          </w:p>
        </w:tc>
      </w:tr>
    </w:tbl>
    <w:p w14:paraId="45A6EB84" w14:textId="77777777" w:rsidR="00FC1030" w:rsidRPr="002A677E" w:rsidRDefault="00FC1030" w:rsidP="00B055FF">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lang w:val="en-GB"/>
        </w:rPr>
      </w:pPr>
      <w:bookmarkStart w:id="114" w:name="_Toc310415013"/>
      <w:bookmarkStart w:id="115" w:name="_Toc360188344"/>
      <w:bookmarkStart w:id="116" w:name="_Toc473560893"/>
      <w:bookmarkStart w:id="117" w:name="_Toc151714381"/>
      <w:r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Credit Risk Templates</w:t>
      </w:r>
      <w:bookmarkEnd w:id="114"/>
      <w:bookmarkEnd w:id="115"/>
      <w:bookmarkEnd w:id="116"/>
      <w:bookmarkEnd w:id="11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8" w:name="_Toc360188345"/>
      <w:bookmarkStart w:id="119" w:name="_Toc473560894"/>
      <w:bookmarkStart w:id="120" w:name="_Toc151714382"/>
      <w:bookmarkStart w:id="121" w:name="_Toc262568022"/>
      <w:bookmarkStart w:id="122" w:name="_Toc295829848"/>
      <w:bookmarkStart w:id="123"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18"/>
      <w:bookmarkEnd w:id="119"/>
      <w:bookmarkEnd w:id="120"/>
      <w:r w:rsidR="00464F34" w:rsidRPr="002A677E">
        <w:rPr>
          <w:rFonts w:ascii="Times New Roman" w:hAnsi="Times New Roman" w:cs="Times New Roman"/>
          <w:sz w:val="24"/>
          <w:lang w:val="en-GB"/>
        </w:rPr>
        <w:t xml:space="preserve"> </w:t>
      </w:r>
      <w:bookmarkEnd w:id="121"/>
      <w:bookmarkEnd w:id="122"/>
      <w:bookmarkEnd w:id="123"/>
    </w:p>
    <w:p w14:paraId="3920365D" w14:textId="40BB14EC" w:rsidR="00464F34" w:rsidRPr="002A677E" w:rsidRDefault="008F3052" w:rsidP="007F28DF">
      <w:pPr>
        <w:pStyle w:val="InstructionsText2"/>
        <w:numPr>
          <w:ilvl w:val="0"/>
          <w:numId w:val="0"/>
        </w:numPr>
        <w:ind w:left="1353"/>
      </w:pPr>
      <w:r>
        <w:fldChar w:fldCharType="begin"/>
      </w:r>
      <w:r>
        <w:instrText>seq paragraphs</w:instrText>
      </w:r>
      <w:r>
        <w:fldChar w:fldCharType="separate"/>
      </w:r>
      <w:r w:rsidR="005E3D5A">
        <w:rPr>
          <w:noProof/>
        </w:rPr>
        <w:t>39</w:t>
      </w:r>
      <w:r>
        <w:fldChar w:fldCharType="end"/>
      </w:r>
      <w:r w:rsidR="00125707" w:rsidRPr="002A677E">
        <w:t>.</w:t>
      </w:r>
      <w:r w:rsidR="00125707" w:rsidRPr="002A677E">
        <w:tab/>
      </w:r>
      <w:r w:rsidR="00480A69" w:rsidRPr="002A677E">
        <w:t xml:space="preserve">There </w:t>
      </w:r>
      <w:r w:rsidR="00464F34" w:rsidRPr="002A677E">
        <w:t>a</w:t>
      </w:r>
      <w:r w:rsidR="00480A69" w:rsidRPr="002A677E">
        <w:t>re</w:t>
      </w:r>
      <w:r w:rsidR="00464F34" w:rsidRPr="002A677E">
        <w:t xml:space="preserve"> different set</w:t>
      </w:r>
      <w:r w:rsidR="00480A69" w:rsidRPr="002A677E">
        <w:t>s</w:t>
      </w:r>
      <w:r w:rsidR="00464F34" w:rsidRPr="002A677E">
        <w:t xml:space="preserve"> of templates for the </w:t>
      </w:r>
      <w:r w:rsidR="00CA21CA" w:rsidRPr="002A677E">
        <w:t xml:space="preserve">Standardised </w:t>
      </w:r>
      <w:r w:rsidR="009A4399" w:rsidRPr="002A677E">
        <w:t xml:space="preserve">approach </w:t>
      </w:r>
      <w:r w:rsidR="00464F34" w:rsidRPr="002A677E">
        <w:t xml:space="preserve">and the </w:t>
      </w:r>
      <w:r w:rsidR="008241B9" w:rsidRPr="002A677E">
        <w:t xml:space="preserve">IRB </w:t>
      </w:r>
      <w:r w:rsidR="009A4399" w:rsidRPr="002A677E">
        <w:t xml:space="preserve">approach </w:t>
      </w:r>
      <w:r w:rsidR="00480A69" w:rsidRPr="002A677E">
        <w:t xml:space="preserve">for credit risk. Additionally, </w:t>
      </w:r>
      <w:r w:rsidR="00464F34" w:rsidRPr="002A677E">
        <w:t>separate template</w:t>
      </w:r>
      <w:r w:rsidR="00480A69" w:rsidRPr="002A677E">
        <w:t>s</w:t>
      </w:r>
      <w:r w:rsidR="00464F34" w:rsidRPr="002A677E">
        <w:t xml:space="preserve"> for the geographical breakdown of positions subject to cred</w:t>
      </w:r>
      <w:r w:rsidR="00480A69" w:rsidRPr="002A677E">
        <w:t>it risk shall</w:t>
      </w:r>
      <w:r w:rsidR="00464F34" w:rsidRPr="002A677E">
        <w:t xml:space="preserve"> be reported if the relevant threshold </w:t>
      </w:r>
      <w:r w:rsidR="00480A69" w:rsidRPr="002A677E">
        <w:t>set out in Article 5(</w:t>
      </w:r>
      <w:r w:rsidR="00CB3146" w:rsidRPr="002A677E">
        <w:t>5</w:t>
      </w:r>
      <w:r w:rsidR="00480A69" w:rsidRPr="002A677E">
        <w:t>)</w:t>
      </w:r>
      <w:r w:rsidR="001E0C80" w:rsidRPr="002A677E">
        <w:t xml:space="preserve"> of this Implementing Regulation</w:t>
      </w:r>
      <w:r w:rsidR="00480A69" w:rsidRPr="002A677E">
        <w:t xml:space="preserve"> </w:t>
      </w:r>
      <w:r w:rsidR="00464F34" w:rsidRPr="002A677E">
        <w:t xml:space="preserve">is exceeded. </w:t>
      </w:r>
      <w:r w:rsidR="00D002E0">
        <w:t xml:space="preserve">For </w:t>
      </w:r>
      <w:r w:rsidR="00BA4245">
        <w:t xml:space="preserve">institution </w:t>
      </w:r>
      <w:r w:rsidR="000714EC">
        <w:t>which</w:t>
      </w:r>
      <w:r w:rsidR="00FC6298">
        <w:t xml:space="preserve"> apply</w:t>
      </w:r>
      <w:r w:rsidR="000714EC">
        <w:t xml:space="preserve"> the IRB approach</w:t>
      </w:r>
      <w:r w:rsidR="00FC6298">
        <w:t>, a</w:t>
      </w:r>
      <w:r w:rsidR="00AA515F">
        <w:t xml:space="preserve"> </w:t>
      </w:r>
      <w:r w:rsidR="004954CC">
        <w:t>separate template</w:t>
      </w:r>
      <w:r w:rsidR="00070642">
        <w:t xml:space="preserve"> C</w:t>
      </w:r>
      <w:r w:rsidR="00732AB8">
        <w:t> </w:t>
      </w:r>
      <w:r w:rsidR="00070642">
        <w:t>10.00 shall be r</w:t>
      </w:r>
      <w:r w:rsidR="008E74BB">
        <w:t>eported for the purpose o</w:t>
      </w:r>
      <w:r w:rsidR="008E0570">
        <w:t>f the output floor.</w:t>
      </w:r>
      <w:r w:rsidR="004954CC">
        <w:t xml:space="preserve"> </w:t>
      </w:r>
    </w:p>
    <w:p w14:paraId="23D2606F" w14:textId="67FC25A0"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24" w:name="_Toc262568023"/>
      <w:bookmarkStart w:id="125" w:name="_Toc295829849"/>
      <w:bookmarkStart w:id="126" w:name="_Toc310415015"/>
      <w:bookmarkStart w:id="127" w:name="_Toc360188346"/>
      <w:bookmarkStart w:id="128" w:name="_Toc473560895"/>
      <w:bookmarkStart w:id="129" w:name="_Toc151714383"/>
      <w:r w:rsidRPr="1C9C81DC">
        <w:rPr>
          <w:rFonts w:ascii="Times New Roman" w:hAnsi="Times New Roman" w:cs="Times New Roman"/>
          <w:sz w:val="24"/>
          <w:u w:val="none"/>
          <w:lang w:val="en-GB"/>
        </w:rPr>
        <w:t>3.1.1.</w:t>
      </w:r>
      <w:r>
        <w:tab/>
      </w:r>
      <w:r w:rsidR="00464F34" w:rsidRPr="1C9C81DC">
        <w:rPr>
          <w:rFonts w:ascii="Times New Roman" w:hAnsi="Times New Roman" w:cs="Times New Roman"/>
          <w:sz w:val="24"/>
          <w:lang w:val="en-GB"/>
        </w:rPr>
        <w:t>Reporting of CRM techniques with substitution effect</w:t>
      </w:r>
      <w:bookmarkEnd w:id="124"/>
      <w:bookmarkEnd w:id="125"/>
      <w:bookmarkEnd w:id="126"/>
      <w:bookmarkEnd w:id="127"/>
      <w:bookmarkEnd w:id="128"/>
      <w:bookmarkEnd w:id="129"/>
    </w:p>
    <w:p w14:paraId="58CA4336" w14:textId="39699935" w:rsidR="00464F34" w:rsidRPr="002A677E" w:rsidRDefault="008F3052" w:rsidP="00660F94">
      <w:pPr>
        <w:pStyle w:val="InstructionsText2"/>
        <w:numPr>
          <w:ilvl w:val="0"/>
          <w:numId w:val="0"/>
        </w:numPr>
        <w:ind w:left="993"/>
        <w:rPr>
          <w:noProof/>
        </w:rPr>
      </w:pPr>
      <w:r>
        <w:rPr>
          <w:noProof/>
        </w:rPr>
        <w:fldChar w:fldCharType="begin"/>
      </w:r>
      <w:r>
        <w:rPr>
          <w:noProof/>
        </w:rPr>
        <w:instrText>seq paragraphs</w:instrText>
      </w:r>
      <w:r>
        <w:rPr>
          <w:noProof/>
        </w:rPr>
        <w:fldChar w:fldCharType="separate"/>
      </w:r>
      <w:r w:rsidR="005E3D5A">
        <w:rPr>
          <w:noProof/>
        </w:rPr>
        <w:t>40</w:t>
      </w:r>
      <w:r>
        <w:rPr>
          <w:noProof/>
        </w:rPr>
        <w:fldChar w:fldCharType="end"/>
      </w:r>
      <w:r w:rsidR="1559DEC5">
        <w:rPr>
          <w:noProof/>
        </w:rPr>
        <w:t>.</w:t>
      </w:r>
      <w:r>
        <w:rPr>
          <w:noProof/>
        </w:rPr>
        <w:tab/>
      </w:r>
      <w:r w:rsidR="06F2BCC5">
        <w:rPr>
          <w:noProof/>
        </w:rPr>
        <w:t>E</w:t>
      </w:r>
      <w:r w:rsidR="1BA5554B">
        <w:rPr>
          <w:noProof/>
        </w:rPr>
        <w:t xml:space="preserve">xposures to obligors (immediate counterparties) and  </w:t>
      </w:r>
      <w:r w:rsidR="436B67E3">
        <w:rPr>
          <w:noProof/>
        </w:rPr>
        <w:t xml:space="preserve">protection providers </w:t>
      </w:r>
      <w:r w:rsidR="1BA5554B">
        <w:rPr>
          <w:noProof/>
        </w:rPr>
        <w:t xml:space="preserve">which are assigned to the same exposure class shall be </w:t>
      </w:r>
      <w:r w:rsidR="06F2BCC5">
        <w:rPr>
          <w:noProof/>
        </w:rPr>
        <w:t xml:space="preserve">reported </w:t>
      </w:r>
      <w:r w:rsidR="1BA5554B">
        <w:rPr>
          <w:noProof/>
        </w:rPr>
        <w:t xml:space="preserve">as an inflow as well as </w:t>
      </w:r>
      <w:r w:rsidR="439A76D2">
        <w:rPr>
          <w:noProof/>
        </w:rPr>
        <w:t>an</w:t>
      </w:r>
      <w:r w:rsidR="1BA5554B">
        <w:rPr>
          <w:noProof/>
        </w:rPr>
        <w:t xml:space="preserve"> outflow to the same exposure class.</w:t>
      </w:r>
    </w:p>
    <w:p w14:paraId="628153FE" w14:textId="6CA326C7" w:rsidR="00464F34" w:rsidRPr="002A677E" w:rsidRDefault="008F3052" w:rsidP="00892B00">
      <w:pPr>
        <w:pStyle w:val="InstructionsText2"/>
        <w:numPr>
          <w:ilvl w:val="0"/>
          <w:numId w:val="0"/>
        </w:numPr>
        <w:ind w:left="1353" w:hanging="360"/>
        <w:rPr>
          <w:noProof/>
        </w:rPr>
      </w:pPr>
      <w:r>
        <w:rPr>
          <w:noProof/>
        </w:rPr>
        <w:fldChar w:fldCharType="begin"/>
      </w:r>
      <w:r>
        <w:rPr>
          <w:noProof/>
        </w:rPr>
        <w:instrText>seq paragraphs</w:instrText>
      </w:r>
      <w:r>
        <w:rPr>
          <w:noProof/>
        </w:rPr>
        <w:fldChar w:fldCharType="separate"/>
      </w:r>
      <w:r w:rsidR="005E3D5A">
        <w:rPr>
          <w:noProof/>
        </w:rPr>
        <w:t>41</w:t>
      </w:r>
      <w:r>
        <w:rPr>
          <w:noProof/>
        </w:rPr>
        <w:fldChar w:fldCharType="end"/>
      </w:r>
      <w:r w:rsidR="00125707" w:rsidRPr="002A677E">
        <w:rPr>
          <w:noProof/>
        </w:rPr>
        <w:t>.</w:t>
      </w:r>
      <w:r w:rsidR="00125707" w:rsidRPr="002A677E">
        <w:rPr>
          <w:noProof/>
        </w:rPr>
        <w:tab/>
      </w:r>
      <w:r w:rsidR="001C7AB7" w:rsidRPr="002A677E">
        <w:rPr>
          <w:noProof/>
        </w:rPr>
        <w:t>The e</w:t>
      </w:r>
      <w:r w:rsidR="00464F34" w:rsidRPr="002A677E">
        <w:rPr>
          <w:noProof/>
        </w:rPr>
        <w:t xml:space="preserve">xposure type </w:t>
      </w:r>
      <w:r w:rsidR="00283C5E" w:rsidRPr="002A677E">
        <w:rPr>
          <w:noProof/>
        </w:rPr>
        <w:t xml:space="preserve">shall </w:t>
      </w:r>
      <w:r w:rsidR="00464F34" w:rsidRPr="002A677E">
        <w:rPr>
          <w:noProof/>
        </w:rPr>
        <w:t>not change because of unfunded credit protection</w:t>
      </w:r>
      <w:r w:rsidR="001C7AB7" w:rsidRPr="002A677E">
        <w:rPr>
          <w:noProof/>
        </w:rPr>
        <w:t>.</w:t>
      </w:r>
    </w:p>
    <w:p w14:paraId="16802E43" w14:textId="64742511" w:rsidR="00464F34" w:rsidRPr="002A677E" w:rsidRDefault="008F3052" w:rsidP="00660F94">
      <w:pPr>
        <w:pStyle w:val="InstructionsText2"/>
        <w:numPr>
          <w:ilvl w:val="0"/>
          <w:numId w:val="0"/>
        </w:numPr>
        <w:ind w:left="993"/>
        <w:rPr>
          <w:noProof/>
        </w:rPr>
      </w:pPr>
      <w:r>
        <w:rPr>
          <w:noProof/>
        </w:rPr>
        <w:fldChar w:fldCharType="begin"/>
      </w:r>
      <w:r>
        <w:rPr>
          <w:noProof/>
        </w:rPr>
        <w:instrText>seq paragraphs</w:instrText>
      </w:r>
      <w:r>
        <w:rPr>
          <w:noProof/>
        </w:rPr>
        <w:fldChar w:fldCharType="separate"/>
      </w:r>
      <w:r w:rsidR="005E3D5A">
        <w:rPr>
          <w:noProof/>
        </w:rPr>
        <w:t>42</w:t>
      </w:r>
      <w:r>
        <w:rPr>
          <w:noProof/>
        </w:rPr>
        <w:fldChar w:fldCharType="end"/>
      </w:r>
      <w:r w:rsidR="1559DEC5">
        <w:rPr>
          <w:noProof/>
        </w:rPr>
        <w:t>.</w:t>
      </w:r>
      <w:r>
        <w:rPr>
          <w:noProof/>
        </w:rPr>
        <w:tab/>
      </w:r>
      <w:r w:rsidR="1BA5554B">
        <w:rPr>
          <w:noProof/>
        </w:rPr>
        <w:t xml:space="preserve">If an exposure is secured by an unfunded credit protection, the secured part </w:t>
      </w:r>
      <w:r w:rsidR="06F2BCC5">
        <w:rPr>
          <w:noProof/>
        </w:rPr>
        <w:t xml:space="preserve">shall be </w:t>
      </w:r>
      <w:r w:rsidR="1BA5554B">
        <w:rPr>
          <w:noProof/>
        </w:rPr>
        <w:t xml:space="preserve">assigned as an outflow  in the exposure class of the obligor and as an inflow in the exposure class of the </w:t>
      </w:r>
      <w:r w:rsidR="268409C7">
        <w:rPr>
          <w:noProof/>
        </w:rPr>
        <w:t>protection provider</w:t>
      </w:r>
      <w:r w:rsidR="51B9F60C">
        <w:rPr>
          <w:noProof/>
        </w:rPr>
        <w:t xml:space="preserve"> </w:t>
      </w:r>
      <w:r w:rsidR="1BA5554B">
        <w:rPr>
          <w:noProof/>
        </w:rPr>
        <w:t xml:space="preserve">. However, the </w:t>
      </w:r>
      <w:r w:rsidR="4D03D945">
        <w:rPr>
          <w:noProof/>
        </w:rPr>
        <w:t xml:space="preserve">exposure type </w:t>
      </w:r>
      <w:r w:rsidR="1BA5554B">
        <w:rPr>
          <w:noProof/>
        </w:rPr>
        <w:t xml:space="preserve"> </w:t>
      </w:r>
      <w:r w:rsidR="06F2BCC5">
        <w:rPr>
          <w:noProof/>
        </w:rPr>
        <w:t xml:space="preserve">shall </w:t>
      </w:r>
      <w:r w:rsidR="1BA5554B">
        <w:rPr>
          <w:noProof/>
        </w:rPr>
        <w:t>not change due to the change of the exposure class.</w:t>
      </w:r>
    </w:p>
    <w:p w14:paraId="4E7B84E6" w14:textId="63211380" w:rsidR="00464F34" w:rsidRPr="002A677E" w:rsidRDefault="008F3052" w:rsidP="000059B8">
      <w:pPr>
        <w:ind w:left="993"/>
      </w:pPr>
      <w:r w:rsidRPr="00F901E0">
        <w:fldChar w:fldCharType="begin"/>
      </w:r>
      <w:r w:rsidRPr="000059B8">
        <w:rPr>
          <w:rFonts w:ascii="Times New Roman" w:hAnsi="Times New Roman"/>
          <w:noProof/>
          <w:sz w:val="24"/>
          <w:lang w:eastAsia="de-DE"/>
        </w:rPr>
        <w:instrText>seq paragraphs</w:instrText>
      </w:r>
      <w:r w:rsidRPr="00F901E0">
        <w:fldChar w:fldCharType="separate"/>
      </w:r>
      <w:r w:rsidR="005E3D5A">
        <w:rPr>
          <w:rFonts w:ascii="Times New Roman" w:hAnsi="Times New Roman"/>
          <w:noProof/>
          <w:sz w:val="24"/>
          <w:lang w:eastAsia="de-DE"/>
        </w:rPr>
        <w:t>43</w:t>
      </w:r>
      <w:r w:rsidRPr="00F901E0">
        <w:fldChar w:fldCharType="end"/>
      </w:r>
      <w:r w:rsidR="00125707" w:rsidRPr="006D2232">
        <w:rPr>
          <w:rFonts w:ascii="Times New Roman" w:hAnsi="Times New Roman"/>
          <w:noProof/>
          <w:sz w:val="24"/>
          <w:lang w:eastAsia="de-DE"/>
        </w:rPr>
        <w:t>.</w:t>
      </w:r>
      <w:r>
        <w:tab/>
      </w:r>
      <w:r w:rsidR="00464F34" w:rsidRPr="006D2232">
        <w:rPr>
          <w:rFonts w:ascii="Times New Roman" w:hAnsi="Times New Roman"/>
          <w:sz w:val="24"/>
          <w:lang w:eastAsia="de-DE"/>
        </w:rPr>
        <w:t xml:space="preserve">The substitution effect in the COREP reporting framework </w:t>
      </w:r>
      <w:r w:rsidR="00C93697" w:rsidRPr="006D2232">
        <w:rPr>
          <w:rFonts w:ascii="Times New Roman" w:hAnsi="Times New Roman"/>
          <w:sz w:val="24"/>
          <w:lang w:eastAsia="de-DE"/>
        </w:rPr>
        <w:t>shall</w:t>
      </w:r>
      <w:r w:rsidR="00464F34" w:rsidRPr="006D2232">
        <w:rPr>
          <w:rFonts w:ascii="Times New Roman" w:hAnsi="Times New Roman"/>
          <w:sz w:val="24"/>
          <w:lang w:eastAsia="de-DE"/>
        </w:rPr>
        <w:t xml:space="preserve"> reflect the risk weighting treatment effectively applicable to the covered part of the exposure. As such, the covered part of the exposure</w:t>
      </w:r>
      <w:r w:rsidR="00464F34" w:rsidRPr="319E2AC4">
        <w:rPr>
          <w:rFonts w:eastAsia="Verdana" w:cs="Verdana"/>
        </w:rPr>
        <w:t xml:space="preserve"> </w:t>
      </w:r>
      <w:r w:rsidR="00283C5E" w:rsidRPr="319E2AC4">
        <w:rPr>
          <w:rFonts w:eastAsia="Verdana" w:cs="Verdana"/>
        </w:rPr>
        <w:t xml:space="preserve">shall be </w:t>
      </w:r>
      <w:r w:rsidR="417369C0" w:rsidRPr="319E2AC4">
        <w:rPr>
          <w:rFonts w:eastAsia="Verdana" w:cs="Verdana"/>
        </w:rPr>
        <w:t xml:space="preserve">reported in the exposure class of the protection provider, showing the ultimate risk of the covered part. For example, if the covered part is </w:t>
      </w:r>
      <w:r w:rsidR="00464F34" w:rsidRPr="319E2AC4">
        <w:rPr>
          <w:rFonts w:eastAsia="Verdana" w:cs="Verdana"/>
        </w:rPr>
        <w:t>risk weighte</w:t>
      </w:r>
      <w:r w:rsidR="00C93697" w:rsidRPr="319E2AC4">
        <w:rPr>
          <w:rFonts w:eastAsia="Verdana" w:cs="Verdana"/>
        </w:rPr>
        <w:t xml:space="preserve">d </w:t>
      </w:r>
      <w:r w:rsidR="00BB22D4" w:rsidRPr="319E2AC4">
        <w:rPr>
          <w:rFonts w:eastAsia="Verdana" w:cs="Verdana"/>
        </w:rPr>
        <w:t>in accordance with</w:t>
      </w:r>
      <w:r w:rsidR="00C93697" w:rsidRPr="319E2AC4">
        <w:rPr>
          <w:rFonts w:eastAsia="Verdana" w:cs="Verdana"/>
        </w:rPr>
        <w:t xml:space="preserve"> the S</w:t>
      </w:r>
      <w:r w:rsidR="00283C5E" w:rsidRPr="319E2AC4">
        <w:rPr>
          <w:rFonts w:eastAsia="Verdana" w:cs="Verdana"/>
        </w:rPr>
        <w:t xml:space="preserve">tandardised </w:t>
      </w:r>
      <w:r w:rsidR="009A4399" w:rsidRPr="319E2AC4">
        <w:rPr>
          <w:rFonts w:eastAsia="Verdana" w:cs="Verdana"/>
        </w:rPr>
        <w:t>approach</w:t>
      </w:r>
      <w:r w:rsidR="417369C0" w:rsidRPr="319E2AC4">
        <w:rPr>
          <w:rFonts w:eastAsia="Verdana" w:cs="Verdana"/>
        </w:rPr>
        <w:t>, it</w:t>
      </w:r>
      <w:r w:rsidR="00C93697" w:rsidRPr="319E2AC4">
        <w:rPr>
          <w:rFonts w:eastAsia="Verdana" w:cs="Verdana"/>
        </w:rPr>
        <w:t xml:space="preserve"> shall </w:t>
      </w:r>
      <w:r w:rsidR="00464F34" w:rsidRPr="000059B8">
        <w:rPr>
          <w:rFonts w:ascii="Times New Roman" w:hAnsi="Times New Roman"/>
          <w:sz w:val="24"/>
          <w:lang w:eastAsia="de-DE"/>
        </w:rPr>
        <w:t>be reported in the CR SA template.</w:t>
      </w:r>
      <w:r w:rsidR="00464F34" w:rsidRPr="319E2AC4">
        <w:rPr>
          <w:rFonts w:eastAsia="Verdana" w:cs="Verdana"/>
        </w:rPr>
        <w:t xml:space="preserve"> </w:t>
      </w:r>
    </w:p>
    <w:p w14:paraId="73A64D1C" w14:textId="1F98E52E"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30" w:name="_Toc262568024"/>
      <w:bookmarkStart w:id="131" w:name="_Toc295829850"/>
      <w:bookmarkStart w:id="132" w:name="_Toc310415016"/>
      <w:bookmarkStart w:id="133" w:name="_Toc360188347"/>
      <w:bookmarkStart w:id="134" w:name="_Toc473560896"/>
      <w:bookmarkStart w:id="135" w:name="_Toc151714384"/>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Counterparty Credit Risk</w:t>
      </w:r>
      <w:bookmarkEnd w:id="130"/>
      <w:bookmarkEnd w:id="131"/>
      <w:bookmarkEnd w:id="132"/>
      <w:bookmarkEnd w:id="133"/>
      <w:bookmarkEnd w:id="134"/>
      <w:bookmarkEnd w:id="135"/>
    </w:p>
    <w:p w14:paraId="4DE9180B" w14:textId="18DBFCAC" w:rsidR="00464F34" w:rsidRPr="002A677E" w:rsidRDefault="008F3052" w:rsidP="00660F94">
      <w:pPr>
        <w:pStyle w:val="InstructionsText2"/>
        <w:numPr>
          <w:ilvl w:val="0"/>
          <w:numId w:val="0"/>
        </w:numPr>
        <w:ind w:left="993"/>
      </w:pPr>
      <w:r>
        <w:fldChar w:fldCharType="begin"/>
      </w:r>
      <w:r>
        <w:instrText>seq paragraphs</w:instrText>
      </w:r>
      <w:r>
        <w:fldChar w:fldCharType="separate"/>
      </w:r>
      <w:r w:rsidR="005E3D5A">
        <w:rPr>
          <w:noProof/>
        </w:rPr>
        <w:t>44</w:t>
      </w:r>
      <w:r>
        <w:fldChar w:fldCharType="end"/>
      </w:r>
      <w:r w:rsidR="00125707" w:rsidRPr="002A677E">
        <w:t>.</w:t>
      </w:r>
      <w:r w:rsidR="00125707" w:rsidRPr="002A677E">
        <w:tab/>
      </w:r>
      <w:r w:rsidR="00464F34" w:rsidRPr="002A677E">
        <w:t xml:space="preserve">Exposures stemming from Counterparty Credit Risk positions shall be reported in templates CR SA or CR IRB independent from whether they are Banking Book items or Trading Book items. </w:t>
      </w:r>
    </w:p>
    <w:p w14:paraId="024C34FE" w14:textId="7FCBB6D5"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36" w:name="_Toc292456202"/>
      <w:bookmarkStart w:id="137" w:name="_Toc295829851"/>
      <w:bookmarkStart w:id="138" w:name="_Toc310415017"/>
      <w:bookmarkStart w:id="139" w:name="_Toc360188348"/>
      <w:bookmarkStart w:id="140" w:name="_Toc473560897"/>
      <w:bookmarkStart w:id="141" w:name="_Toc151714385"/>
      <w:r w:rsidRPr="002A677E">
        <w:rPr>
          <w:rFonts w:ascii="Times New Roman" w:hAnsi="Times New Roman" w:cs="Times New Roman"/>
          <w:sz w:val="24"/>
          <w:u w:val="none"/>
          <w:lang w:val="en-GB"/>
        </w:rPr>
        <w:t>3.2.</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07.00 - </w:t>
      </w:r>
      <w:r w:rsidR="00464F34" w:rsidRPr="002A677E">
        <w:rPr>
          <w:rFonts w:ascii="Times New Roman" w:hAnsi="Times New Roman" w:cs="Times New Roman"/>
          <w:sz w:val="24"/>
          <w:lang w:val="en-GB"/>
        </w:rPr>
        <w:t xml:space="preserve">Credit and counterparty credit risks and free deliveries: Standardised </w:t>
      </w:r>
      <w:r w:rsidR="009A4399" w:rsidRPr="002A677E">
        <w:rPr>
          <w:rFonts w:ascii="Times New Roman" w:hAnsi="Times New Roman" w:cs="Times New Roman"/>
          <w:sz w:val="24"/>
          <w:lang w:val="en-GB"/>
        </w:rPr>
        <w:t xml:space="preserve">approach </w:t>
      </w:r>
      <w:r w:rsidR="00464F34" w:rsidRPr="002A677E">
        <w:rPr>
          <w:rFonts w:ascii="Times New Roman" w:hAnsi="Times New Roman" w:cs="Times New Roman"/>
          <w:sz w:val="24"/>
          <w:lang w:val="en-GB"/>
        </w:rPr>
        <w:t xml:space="preserve">to </w:t>
      </w:r>
      <w:r w:rsidR="000758FE" w:rsidRPr="002A677E">
        <w:rPr>
          <w:rFonts w:ascii="Times New Roman" w:hAnsi="Times New Roman" w:cs="Times New Roman"/>
          <w:sz w:val="24"/>
          <w:lang w:val="en-GB"/>
        </w:rPr>
        <w:t>Capital</w:t>
      </w:r>
      <w:r w:rsidR="00464F34" w:rsidRPr="002A677E">
        <w:rPr>
          <w:rFonts w:ascii="Times New Roman" w:hAnsi="Times New Roman" w:cs="Times New Roman"/>
          <w:sz w:val="24"/>
          <w:lang w:val="en-GB"/>
        </w:rPr>
        <w:t xml:space="preserve"> Requirements</w:t>
      </w:r>
      <w:bookmarkEnd w:id="136"/>
      <w:bookmarkEnd w:id="137"/>
      <w:bookmarkEnd w:id="138"/>
      <w:bookmarkEnd w:id="139"/>
      <w:r w:rsidR="00FC20DD" w:rsidRPr="002A677E">
        <w:rPr>
          <w:rFonts w:ascii="Times New Roman" w:hAnsi="Times New Roman" w:cs="Times New Roman"/>
          <w:sz w:val="24"/>
          <w:lang w:val="en-GB"/>
        </w:rPr>
        <w:t xml:space="preserve"> (CR SA)</w:t>
      </w:r>
      <w:bookmarkEnd w:id="140"/>
      <w:bookmarkEnd w:id="141"/>
    </w:p>
    <w:p w14:paraId="4099A354" w14:textId="77777777"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42" w:name="_Toc262568026"/>
      <w:bookmarkStart w:id="143" w:name="_Toc264038424"/>
      <w:bookmarkStart w:id="144" w:name="_Toc292456203"/>
      <w:bookmarkStart w:id="145" w:name="_Toc295829852"/>
      <w:bookmarkStart w:id="146" w:name="_Toc310415018"/>
      <w:bookmarkStart w:id="147" w:name="_Toc360188349"/>
      <w:bookmarkStart w:id="148" w:name="_Toc473560898"/>
      <w:bookmarkStart w:id="149" w:name="_Toc151714386"/>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42"/>
      <w:bookmarkEnd w:id="143"/>
      <w:bookmarkEnd w:id="144"/>
      <w:bookmarkEnd w:id="145"/>
      <w:bookmarkEnd w:id="146"/>
      <w:bookmarkEnd w:id="147"/>
      <w:bookmarkEnd w:id="148"/>
      <w:bookmarkEnd w:id="149"/>
    </w:p>
    <w:p w14:paraId="611BAA0D" w14:textId="1FF1FF86" w:rsidR="00464F34" w:rsidRPr="002A677E" w:rsidRDefault="008F3052" w:rsidP="00660F94">
      <w:pPr>
        <w:pStyle w:val="InstructionsText2"/>
        <w:numPr>
          <w:ilvl w:val="0"/>
          <w:numId w:val="0"/>
        </w:numPr>
        <w:ind w:left="993"/>
      </w:pPr>
      <w:r>
        <w:fldChar w:fldCharType="begin"/>
      </w:r>
      <w:r>
        <w:instrText>seq paragraphs</w:instrText>
      </w:r>
      <w:r>
        <w:fldChar w:fldCharType="separate"/>
      </w:r>
      <w:r w:rsidR="005E3D5A">
        <w:rPr>
          <w:noProof/>
        </w:rPr>
        <w:t>45</w:t>
      </w:r>
      <w:r>
        <w:fldChar w:fldCharType="end"/>
      </w:r>
      <w:r w:rsidR="00125707" w:rsidRPr="002A677E">
        <w:t>.</w:t>
      </w:r>
      <w:r w:rsidR="00125707" w:rsidRPr="002A677E">
        <w:tab/>
      </w:r>
      <w:r w:rsidR="00464F34" w:rsidRPr="002A677E">
        <w:t xml:space="preserve">The CR SA templates provide the necessary information on the calculation of own funds requirements for credit risk </w:t>
      </w:r>
      <w:r w:rsidR="00BB22D4" w:rsidRPr="002A677E">
        <w:t>in accordance with</w:t>
      </w:r>
      <w:r w:rsidR="00464F34" w:rsidRPr="002A677E">
        <w:t xml:space="preserve"> the </w:t>
      </w:r>
      <w:r w:rsidR="00BB22D4" w:rsidRPr="002A677E">
        <w:t>S</w:t>
      </w:r>
      <w:r w:rsidR="00464F34" w:rsidRPr="002A677E">
        <w:t xml:space="preserve">tandardised </w:t>
      </w:r>
      <w:r w:rsidR="009A4399" w:rsidRPr="002A677E">
        <w:t>approach</w:t>
      </w:r>
      <w:r w:rsidR="00464F34" w:rsidRPr="002A677E">
        <w:t>. In particular, they provide detailed information on:</w:t>
      </w:r>
    </w:p>
    <w:p w14:paraId="7D57B213" w14:textId="77777777" w:rsidR="00464F34" w:rsidRPr="002A677E" w:rsidRDefault="00125707" w:rsidP="0047337A">
      <w:pPr>
        <w:pStyle w:val="InstructionsText2"/>
        <w:numPr>
          <w:ilvl w:val="0"/>
          <w:numId w:val="0"/>
        </w:numPr>
        <w:ind w:left="993"/>
      </w:pPr>
      <w:r w:rsidRPr="002A677E">
        <w:t>a)</w:t>
      </w:r>
      <w:r w:rsidRPr="002A677E">
        <w:tab/>
      </w:r>
      <w:r w:rsidR="00464F34" w:rsidRPr="002A677E">
        <w:t>the distribution of the exposure values according to the different, exposure types, risk weights and exposure classes ;</w:t>
      </w:r>
    </w:p>
    <w:p w14:paraId="28577EB0" w14:textId="77777777" w:rsidR="00464F34" w:rsidRPr="002A677E" w:rsidRDefault="00125707" w:rsidP="0047337A">
      <w:pPr>
        <w:pStyle w:val="InstructionsText2"/>
        <w:numPr>
          <w:ilvl w:val="0"/>
          <w:numId w:val="0"/>
        </w:numPr>
        <w:ind w:left="993"/>
      </w:pPr>
      <w:r w:rsidRPr="002A677E">
        <w:lastRenderedPageBreak/>
        <w:t>b)</w:t>
      </w:r>
      <w:r w:rsidRPr="002A677E">
        <w:tab/>
      </w:r>
      <w:r w:rsidR="00464F34" w:rsidRPr="002A677E">
        <w:t xml:space="preserve">the amount and type of credit risk mitigation techniques used for mitigating the risks. </w:t>
      </w:r>
    </w:p>
    <w:p w14:paraId="3FA3DC1C" w14:textId="5F932B23"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50" w:name="_Toc262568027"/>
      <w:bookmarkStart w:id="151" w:name="_Toc264038425"/>
      <w:bookmarkStart w:id="152" w:name="_Toc292456204"/>
      <w:bookmarkStart w:id="153" w:name="_Toc295829853"/>
      <w:bookmarkStart w:id="154" w:name="_Toc310415019"/>
      <w:bookmarkStart w:id="155" w:name="_Toc360188350"/>
      <w:bookmarkStart w:id="156" w:name="_Toc473560899"/>
      <w:bookmarkStart w:id="157" w:name="_Toc151714387"/>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Scope of the CR SA template</w:t>
      </w:r>
      <w:bookmarkEnd w:id="150"/>
      <w:bookmarkEnd w:id="151"/>
      <w:bookmarkEnd w:id="152"/>
      <w:bookmarkEnd w:id="153"/>
      <w:bookmarkEnd w:id="154"/>
      <w:bookmarkEnd w:id="155"/>
      <w:bookmarkEnd w:id="156"/>
      <w:bookmarkEnd w:id="157"/>
    </w:p>
    <w:p w14:paraId="0C400487" w14:textId="5625CA37" w:rsidR="00464F34" w:rsidRPr="002A677E" w:rsidRDefault="008F3052" w:rsidP="00660F94">
      <w:pPr>
        <w:pStyle w:val="InstructionsText2"/>
        <w:numPr>
          <w:ilvl w:val="0"/>
          <w:numId w:val="0"/>
        </w:numPr>
        <w:ind w:left="993"/>
      </w:pPr>
      <w:r>
        <w:fldChar w:fldCharType="begin"/>
      </w:r>
      <w:r>
        <w:instrText>seq paragraphs</w:instrText>
      </w:r>
      <w:r>
        <w:fldChar w:fldCharType="separate"/>
      </w:r>
      <w:r w:rsidR="005E3D5A">
        <w:rPr>
          <w:noProof/>
        </w:rPr>
        <w:t>46</w:t>
      </w:r>
      <w:r>
        <w:fldChar w:fldCharType="end"/>
      </w:r>
      <w:r w:rsidR="00125707" w:rsidRPr="002A677E">
        <w:t>.</w:t>
      </w:r>
      <w:r w:rsidR="00125707" w:rsidRPr="002A677E">
        <w:tab/>
      </w:r>
      <w:r w:rsidR="00BB22D4" w:rsidRPr="002A677E">
        <w:t>In accordance with</w:t>
      </w:r>
      <w:r w:rsidR="00464F34" w:rsidRPr="002A677E">
        <w:t xml:space="preserve"> Article 112 </w:t>
      </w:r>
      <w:r w:rsidR="00DE583B" w:rsidRPr="001235ED">
        <w:rPr>
          <w:lang w:val="en-US"/>
        </w:rPr>
        <w:t>of Regulation (EU) No 575/2013</w:t>
      </w:r>
      <w:r w:rsidR="00402284">
        <w:rPr>
          <w:lang w:val="en-US"/>
        </w:rPr>
        <w:t xml:space="preserve"> </w:t>
      </w:r>
      <w:r w:rsidR="00464F34" w:rsidRPr="002A677E">
        <w:t>each SA exposure shall be assigned to one of the 16 SA exposure classes to calculate the own funds</w:t>
      </w:r>
      <w:r w:rsidR="00730040" w:rsidRPr="002A677E">
        <w:t xml:space="preserve"> </w:t>
      </w:r>
      <w:r w:rsidR="00464F34" w:rsidRPr="002A677E">
        <w:t>requirements.</w:t>
      </w:r>
    </w:p>
    <w:p w14:paraId="0EFA672B" w14:textId="54942D5F" w:rsidR="00464F34" w:rsidRPr="002A677E" w:rsidRDefault="008F3052" w:rsidP="00660F94">
      <w:pPr>
        <w:pStyle w:val="InstructionsText2"/>
        <w:numPr>
          <w:ilvl w:val="0"/>
          <w:numId w:val="0"/>
        </w:numPr>
        <w:ind w:left="993"/>
      </w:pPr>
      <w:r>
        <w:fldChar w:fldCharType="begin"/>
      </w:r>
      <w:r>
        <w:instrText>seq paragraphs</w:instrText>
      </w:r>
      <w:r>
        <w:fldChar w:fldCharType="separate"/>
      </w:r>
      <w:r w:rsidR="005E3D5A">
        <w:rPr>
          <w:noProof/>
        </w:rPr>
        <w:t>47</w:t>
      </w:r>
      <w:r>
        <w:fldChar w:fldCharType="end"/>
      </w:r>
      <w:r w:rsidR="00125707" w:rsidRPr="002A677E">
        <w:t>.</w:t>
      </w:r>
      <w:r w:rsidR="00125707" w:rsidRPr="002A677E">
        <w:tab/>
      </w:r>
      <w:r w:rsidR="00464F34" w:rsidRPr="002A677E">
        <w:t>The information in CR SA is</w:t>
      </w:r>
      <w:r w:rsidR="00AA7658" w:rsidRPr="002A677E">
        <w:t xml:space="preserve"> required</w:t>
      </w:r>
      <w:r w:rsidR="00464F34" w:rsidRPr="002A677E">
        <w:t xml:space="preserve"> for the total exposure classes and indivi</w:t>
      </w:r>
      <w:r w:rsidR="00D618CD" w:rsidRPr="002A677E">
        <w:softHyphen/>
      </w:r>
      <w:r w:rsidR="00464F34" w:rsidRPr="002A677E">
        <w:t xml:space="preserve">dually for each of the exposure classes </w:t>
      </w:r>
      <w:r w:rsidR="00283C5E" w:rsidRPr="002A677E">
        <w:t>under</w:t>
      </w:r>
      <w:r w:rsidR="00464F34" w:rsidRPr="002A677E">
        <w:t xml:space="preserve"> the </w:t>
      </w:r>
      <w:r w:rsidR="00283C5E" w:rsidRPr="002A677E">
        <w:t>S</w:t>
      </w:r>
      <w:r w:rsidR="00464F34" w:rsidRPr="002A677E">
        <w:t xml:space="preserve">tandardised </w:t>
      </w:r>
      <w:r w:rsidR="009A4399" w:rsidRPr="002A677E">
        <w:t>approach</w:t>
      </w:r>
      <w:r w:rsidR="00464F34" w:rsidRPr="002A677E">
        <w:t xml:space="preserve">. The total figures as well as the information of each exposure class are reported in a separate dimension. </w:t>
      </w:r>
    </w:p>
    <w:p w14:paraId="375491F9" w14:textId="5BF35F48"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48</w:t>
      </w:r>
      <w:r>
        <w:fldChar w:fldCharType="end"/>
      </w:r>
      <w:r w:rsidR="00125707" w:rsidRPr="002A677E">
        <w:t>.</w:t>
      </w:r>
      <w:r w:rsidR="00125707" w:rsidRPr="002A677E">
        <w:tab/>
      </w:r>
      <w:r w:rsidR="00464F34" w:rsidRPr="002A677E">
        <w:t>However the following positions are not within the scope of CR SA:</w:t>
      </w:r>
    </w:p>
    <w:p w14:paraId="4270BD85" w14:textId="7F62CBAC" w:rsidR="00464F34" w:rsidRPr="002A677E" w:rsidRDefault="1559DEC5" w:rsidP="0047337A">
      <w:pPr>
        <w:pStyle w:val="InstructionsText2"/>
        <w:numPr>
          <w:ilvl w:val="0"/>
          <w:numId w:val="0"/>
        </w:numPr>
        <w:ind w:left="993"/>
      </w:pPr>
      <w:r>
        <w:t>(a)</w:t>
      </w:r>
      <w:r w:rsidR="00125707">
        <w:tab/>
      </w:r>
      <w:r w:rsidR="1BA5554B">
        <w:t xml:space="preserve">Exposures assigned to exposure class ‘items representing securitisation positions’ </w:t>
      </w:r>
      <w:r w:rsidR="06F2BCC5">
        <w:t xml:space="preserve">as referred to in </w:t>
      </w:r>
      <w:r w:rsidR="1BA5554B">
        <w:t>Article 112</w:t>
      </w:r>
      <w:r w:rsidR="1EF31AD6">
        <w:t>, point (m)</w:t>
      </w:r>
      <w:r w:rsidR="3C7486FA">
        <w:t>,</w:t>
      </w:r>
      <w:r w:rsidR="1EF31AD6">
        <w:t xml:space="preserve"> </w:t>
      </w:r>
      <w:r w:rsidR="2A277C65" w:rsidRPr="24B43B11">
        <w:rPr>
          <w:lang w:val="en-US"/>
        </w:rPr>
        <w:t>of Regulation (EU) No 575/2013</w:t>
      </w:r>
      <w:r w:rsidR="57F9AA62">
        <w:t>,</w:t>
      </w:r>
      <w:r w:rsidR="1BA5554B">
        <w:t xml:space="preserve"> which shall be reported in the CR SEC templates.</w:t>
      </w:r>
    </w:p>
    <w:p w14:paraId="7A237CC4" w14:textId="77777777" w:rsidR="00464F34" w:rsidRPr="002A677E" w:rsidRDefault="00125707" w:rsidP="0047337A">
      <w:pPr>
        <w:pStyle w:val="InstructionsText2"/>
        <w:numPr>
          <w:ilvl w:val="0"/>
          <w:numId w:val="0"/>
        </w:numPr>
        <w:ind w:left="993"/>
      </w:pPr>
      <w:r w:rsidRPr="002A677E">
        <w:t>(b)</w:t>
      </w:r>
      <w:r w:rsidRPr="002A677E">
        <w:tab/>
      </w:r>
      <w:r w:rsidR="00464F34" w:rsidRPr="002A677E">
        <w:t>Exposures deducted from own funds.</w:t>
      </w:r>
    </w:p>
    <w:p w14:paraId="3E766928" w14:textId="34B27C21"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49</w:t>
      </w:r>
      <w:r>
        <w:fldChar w:fldCharType="end"/>
      </w:r>
      <w:r w:rsidR="00125707" w:rsidRPr="002A677E">
        <w:t>.</w:t>
      </w:r>
      <w:r w:rsidR="00125707" w:rsidRPr="002A677E">
        <w:tab/>
      </w:r>
      <w:r w:rsidR="00464F34" w:rsidRPr="002A677E">
        <w:t xml:space="preserve">The scope of the CR SA template </w:t>
      </w:r>
      <w:r w:rsidR="00283C5E" w:rsidRPr="002A677E">
        <w:t xml:space="preserve">shall </w:t>
      </w:r>
      <w:r w:rsidR="00464F34" w:rsidRPr="002A677E">
        <w:t>cover the following own funds</w:t>
      </w:r>
      <w:r w:rsidR="00730040" w:rsidRPr="002A677E">
        <w:t xml:space="preserve"> </w:t>
      </w:r>
      <w:r w:rsidR="00464F34" w:rsidRPr="002A677E">
        <w:t>requirements:</w:t>
      </w:r>
    </w:p>
    <w:p w14:paraId="5FAD0A68" w14:textId="0F4991B1" w:rsidR="00464F34" w:rsidRPr="002A677E" w:rsidRDefault="00125707" w:rsidP="0047337A">
      <w:pPr>
        <w:pStyle w:val="InstructionsText2"/>
        <w:numPr>
          <w:ilvl w:val="0"/>
          <w:numId w:val="0"/>
        </w:numPr>
        <w:ind w:left="993"/>
      </w:pPr>
      <w:r w:rsidRPr="002A677E">
        <w:t>(a)</w:t>
      </w:r>
      <w:r w:rsidRPr="002A677E">
        <w:tab/>
      </w:r>
      <w:r w:rsidR="00464F34" w:rsidRPr="002A677E">
        <w:t xml:space="preserve">Credit risk in accordance with Chapter 2 (Standardised </w:t>
      </w:r>
      <w:r w:rsidR="009A4399" w:rsidRPr="002A677E">
        <w:t>approach</w:t>
      </w:r>
      <w:r w:rsidR="00464F34" w:rsidRPr="002A677E">
        <w:t>) of Part Three</w:t>
      </w:r>
      <w:r w:rsidR="00DE583B" w:rsidRPr="002A677E">
        <w:t>,</w:t>
      </w:r>
      <w:r w:rsidR="00464F34" w:rsidRPr="002A677E">
        <w:t xml:space="preserve"> </w:t>
      </w:r>
      <w:r w:rsidR="00DE583B" w:rsidRPr="002A677E">
        <w:t xml:space="preserve">Title II </w:t>
      </w:r>
      <w:r w:rsidR="00DE583B" w:rsidRPr="001235ED">
        <w:rPr>
          <w:lang w:val="en-US"/>
        </w:rPr>
        <w:t>of Regulation (EU) No 575/2013</w:t>
      </w:r>
      <w:r w:rsidR="00464F34" w:rsidRPr="002A677E">
        <w:t xml:space="preserve"> in the banking book, among which Counterparty credit risk in accordance with Part Three</w:t>
      </w:r>
      <w:r w:rsidR="00DE583B" w:rsidRPr="002A677E">
        <w:t>,</w:t>
      </w:r>
      <w:r w:rsidR="00464F34" w:rsidRPr="002A677E">
        <w:t xml:space="preserve"> </w:t>
      </w:r>
      <w:r w:rsidR="00DE583B" w:rsidRPr="002A677E">
        <w:t>Title II</w:t>
      </w:r>
      <w:r w:rsidR="00CE797B">
        <w:t>, Chapters 4 and 6 of that Regulation</w:t>
      </w:r>
      <w:r w:rsidR="000A0FC4" w:rsidRPr="000A0FC4">
        <w:t xml:space="preserve"> </w:t>
      </w:r>
      <w:r w:rsidR="000A0FC4">
        <w:t>in the banking book</w:t>
      </w:r>
      <w:r w:rsidR="00464F34" w:rsidRPr="002A677E">
        <w:t>;</w:t>
      </w:r>
    </w:p>
    <w:p w14:paraId="0C7520AF" w14:textId="5265E5C0" w:rsidR="00464F34" w:rsidRPr="002A677E" w:rsidRDefault="00125707" w:rsidP="0047337A">
      <w:pPr>
        <w:pStyle w:val="InstructionsText2"/>
        <w:numPr>
          <w:ilvl w:val="0"/>
          <w:numId w:val="0"/>
        </w:numPr>
        <w:ind w:left="993"/>
      </w:pPr>
      <w:r w:rsidRPr="002A677E">
        <w:t>(b)</w:t>
      </w:r>
      <w:r w:rsidRPr="002A677E">
        <w:tab/>
      </w:r>
      <w:r w:rsidR="00464F34" w:rsidRPr="002A677E">
        <w:t>Counterparty credit risk in accordance with Part Three</w:t>
      </w:r>
      <w:r w:rsidR="00162E47" w:rsidRPr="002A677E">
        <w:t>,</w:t>
      </w:r>
      <w:r w:rsidR="00464F34" w:rsidRPr="002A677E">
        <w:t xml:space="preserve"> </w:t>
      </w:r>
      <w:r w:rsidR="00162E47" w:rsidRPr="002A677E">
        <w:t>Title II</w:t>
      </w:r>
      <w:r w:rsidR="00350AC4">
        <w:t xml:space="preserve">, </w:t>
      </w:r>
      <w:r w:rsidR="00350AC4" w:rsidRPr="002A677E">
        <w:t xml:space="preserve">Chapters 4 and 6 of </w:t>
      </w:r>
      <w:r w:rsidR="00162E47" w:rsidRPr="001235ED">
        <w:rPr>
          <w:lang w:val="en-US"/>
        </w:rPr>
        <w:t>Regulation (EU) No 575/2013</w:t>
      </w:r>
      <w:r w:rsidR="000A0FC4" w:rsidRPr="000A0FC4">
        <w:t xml:space="preserve"> </w:t>
      </w:r>
      <w:r w:rsidR="000A0FC4" w:rsidRPr="002A677E">
        <w:t>in the trading book</w:t>
      </w:r>
      <w:r w:rsidR="00464F34" w:rsidRPr="002A677E">
        <w:t>;</w:t>
      </w:r>
    </w:p>
    <w:p w14:paraId="04739871" w14:textId="74F6DD51" w:rsidR="00464F34" w:rsidRPr="002A677E" w:rsidRDefault="00125707" w:rsidP="0047337A">
      <w:pPr>
        <w:pStyle w:val="InstructionsText2"/>
        <w:numPr>
          <w:ilvl w:val="0"/>
          <w:numId w:val="0"/>
        </w:numPr>
        <w:ind w:left="993"/>
      </w:pPr>
      <w:r w:rsidRPr="002A677E">
        <w:t>(c)</w:t>
      </w:r>
      <w:r w:rsidRPr="002A677E">
        <w:tab/>
      </w:r>
      <w:r w:rsidR="00464F34" w:rsidRPr="002A677E">
        <w:t xml:space="preserve">Settlement risk arising from free deliveries in accordance with Article 379 </w:t>
      </w:r>
      <w:r w:rsidR="002A67C8" w:rsidRPr="001235ED">
        <w:rPr>
          <w:lang w:val="en-US"/>
        </w:rPr>
        <w:t>of Regulation (EU) No 575/2013</w:t>
      </w:r>
      <w:r w:rsidR="00464F34" w:rsidRPr="002A677E">
        <w:t xml:space="preserve"> in respect of all the business activities.</w:t>
      </w:r>
    </w:p>
    <w:p w14:paraId="61ABE9BC" w14:textId="06F60F56"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50</w:t>
      </w:r>
      <w:r>
        <w:fldChar w:fldCharType="end"/>
      </w:r>
      <w:r w:rsidR="00125707" w:rsidRPr="002A677E">
        <w:t>.</w:t>
      </w:r>
      <w:r w:rsidR="00125707" w:rsidRPr="002A677E">
        <w:tab/>
      </w:r>
      <w:r w:rsidR="00464F34" w:rsidRPr="002A677E">
        <w:t xml:space="preserve">The template </w:t>
      </w:r>
      <w:r w:rsidR="00283C5E" w:rsidRPr="002A677E">
        <w:t xml:space="preserve">shall include </w:t>
      </w:r>
      <w:r w:rsidR="00464F34" w:rsidRPr="002A677E">
        <w:t xml:space="preserve">all exposures for which the own funds requirements are calculated </w:t>
      </w:r>
      <w:r w:rsidR="00BB22D4" w:rsidRPr="002A677E">
        <w:t>in accordance with</w:t>
      </w:r>
      <w:r w:rsidR="00464F34" w:rsidRPr="002A677E">
        <w:t xml:space="preserve">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 2 </w:t>
      </w:r>
      <w:r w:rsidR="002A67C8" w:rsidRPr="001235ED">
        <w:rPr>
          <w:lang w:val="en-US"/>
        </w:rPr>
        <w:t>of Regulation (EU) No 575/2013</w:t>
      </w:r>
      <w:r w:rsidR="00464F34" w:rsidRPr="002A677E">
        <w:t xml:space="preserve"> in conjunction with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Chapters 4 and 6 </w:t>
      </w:r>
      <w:r w:rsidR="002A67C8" w:rsidRPr="001235ED">
        <w:rPr>
          <w:lang w:val="en-US"/>
        </w:rPr>
        <w:t>of Regulation (EU) No 575/2013</w:t>
      </w:r>
      <w:r w:rsidR="00464F34" w:rsidRPr="002A677E">
        <w:t xml:space="preserve">. Institutions that apply Article 94(1) </w:t>
      </w:r>
      <w:r w:rsidR="002A67C8" w:rsidRPr="001235ED">
        <w:rPr>
          <w:lang w:val="en-US"/>
        </w:rPr>
        <w:t>of Regulation (EU) No 575/2013</w:t>
      </w:r>
      <w:r w:rsidR="00464F34" w:rsidRPr="002A677E">
        <w:t xml:space="preserve"> also need to report their trading book positions </w:t>
      </w:r>
      <w:r w:rsidR="00BF0637" w:rsidRPr="002A677E">
        <w:t xml:space="preserve">referred to in </w:t>
      </w:r>
      <w:r w:rsidR="00922F04" w:rsidRPr="002A677E">
        <w:t>Article 92(</w:t>
      </w:r>
      <w:r w:rsidR="00A97932">
        <w:t>4</w:t>
      </w:r>
      <w:r w:rsidR="00922F04" w:rsidRPr="002A677E">
        <w:t>)</w:t>
      </w:r>
      <w:r w:rsidR="00B83DDE">
        <w:t>, p</w:t>
      </w:r>
      <w:r w:rsidR="00CC73DA" w:rsidRPr="002A677E">
        <w:t>oint (b)</w:t>
      </w:r>
      <w:r w:rsidR="00BE1277">
        <w:t>,</w:t>
      </w:r>
      <w:r w:rsidR="00CC73DA" w:rsidRPr="002A677E">
        <w:t xml:space="preserve"> </w:t>
      </w:r>
      <w:r w:rsidR="002A67C8" w:rsidRPr="001235ED">
        <w:rPr>
          <w:lang w:val="en-US"/>
        </w:rPr>
        <w:t xml:space="preserve">of that Regulation </w:t>
      </w:r>
      <w:r w:rsidR="00464F34" w:rsidRPr="002A677E">
        <w:t xml:space="preserve">in this template when they apply </w:t>
      </w:r>
      <w:r w:rsidR="00283C5E" w:rsidRPr="002A677E">
        <w:t>P</w:t>
      </w:r>
      <w:r w:rsidR="00464F34" w:rsidRPr="002A677E">
        <w:t xml:space="preserve">art </w:t>
      </w:r>
      <w:r w:rsidR="00283C5E" w:rsidRPr="002A677E">
        <w:t>Three</w:t>
      </w:r>
      <w:r w:rsidR="00CC73DA" w:rsidRPr="002A677E">
        <w:t>,</w:t>
      </w:r>
      <w:r w:rsidR="00283C5E" w:rsidRPr="002A677E">
        <w:t xml:space="preserve"> </w:t>
      </w:r>
      <w:r w:rsidR="00CC73DA" w:rsidRPr="002A677E">
        <w:t xml:space="preserve">Title II, Chapter 2 </w:t>
      </w:r>
      <w:r w:rsidR="002A67C8" w:rsidRPr="002A677E">
        <w:t xml:space="preserve">of that Regulation </w:t>
      </w:r>
      <w:r w:rsidR="00464F34" w:rsidRPr="002A677E">
        <w:t>to calculate the own funds requirements thereof (</w:t>
      </w:r>
      <w:r w:rsidR="00283C5E" w:rsidRPr="002A677E">
        <w:t>P</w:t>
      </w:r>
      <w:r w:rsidR="00464F34" w:rsidRPr="002A677E">
        <w:t xml:space="preserve">art </w:t>
      </w:r>
      <w:r w:rsidR="00283C5E" w:rsidRPr="002A677E">
        <w:t>Three</w:t>
      </w:r>
      <w:r w:rsidR="002A67C8" w:rsidRPr="002A677E">
        <w:t>,</w:t>
      </w:r>
      <w:r w:rsidR="00464F34" w:rsidRPr="002A677E">
        <w:t xml:space="preserve"> </w:t>
      </w:r>
      <w:r w:rsidR="002A67C8" w:rsidRPr="002A677E">
        <w:t xml:space="preserve">Title II, Chapters 2 and 6 </w:t>
      </w:r>
      <w:r w:rsidR="00464F34" w:rsidRPr="002A677E">
        <w:t xml:space="preserve">and </w:t>
      </w:r>
      <w:r w:rsidR="00283C5E" w:rsidRPr="002A677E">
        <w:t>Part Three</w:t>
      </w:r>
      <w:r w:rsidR="002A67C8" w:rsidRPr="002A677E">
        <w:t>,</w:t>
      </w:r>
      <w:r w:rsidR="00283C5E" w:rsidRPr="002A677E">
        <w:t xml:space="preserve"> </w:t>
      </w:r>
      <w:r w:rsidR="002A67C8" w:rsidRPr="002A677E">
        <w:t>Title V of that Regulation</w:t>
      </w:r>
      <w:r w:rsidR="00464F34" w:rsidRPr="002A677E">
        <w:t xml:space="preserve">). Therefore the template </w:t>
      </w:r>
      <w:r w:rsidR="00283C5E" w:rsidRPr="002A677E">
        <w:t xml:space="preserve">shall </w:t>
      </w:r>
      <w:r w:rsidR="00464F34" w:rsidRPr="002A677E">
        <w:t xml:space="preserve">not only </w:t>
      </w:r>
      <w:r w:rsidR="00283C5E" w:rsidRPr="002A677E">
        <w:t xml:space="preserve">provide </w:t>
      </w:r>
      <w:r w:rsidR="00464F34" w:rsidRPr="002A677E">
        <w:t>detailed information on the type of the exposure (e.g. on balance sheet/ off balance sheet items), but also information on the allocation of risk weights within the respective exposure class.</w:t>
      </w:r>
    </w:p>
    <w:bookmarkStart w:id="158" w:name="_Toc264033212"/>
    <w:bookmarkStart w:id="159" w:name="_Toc294166813"/>
    <w:bookmarkStart w:id="160" w:name="_Toc294256386"/>
    <w:bookmarkStart w:id="161" w:name="_Toc294256487"/>
    <w:bookmarkStart w:id="162" w:name="_Toc294267371"/>
    <w:bookmarkStart w:id="163" w:name="_Toc294267476"/>
    <w:bookmarkStart w:id="164" w:name="_Toc294267607"/>
    <w:bookmarkStart w:id="165" w:name="_Toc294267709"/>
    <w:bookmarkStart w:id="166" w:name="_Toc294274817"/>
    <w:bookmarkStart w:id="167" w:name="_Toc294280261"/>
    <w:bookmarkStart w:id="168" w:name="_Toc294281586"/>
    <w:bookmarkStart w:id="169" w:name="_Toc294281806"/>
    <w:bookmarkStart w:id="170" w:name="_Toc294282020"/>
    <w:bookmarkStart w:id="171" w:name="_Toc294282223"/>
    <w:bookmarkStart w:id="172" w:name="_Toc294714158"/>
    <w:bookmarkStart w:id="173" w:name="_Toc295314184"/>
    <w:bookmarkStart w:id="174" w:name="_Toc295829573"/>
    <w:bookmarkStart w:id="175" w:name="_Toc295829856"/>
    <w:bookmarkStart w:id="176" w:name="_Toc301772744"/>
    <w:bookmarkStart w:id="177" w:name="_Toc301772822"/>
    <w:bookmarkStart w:id="178" w:name="_Toc302657761"/>
    <w:bookmarkStart w:id="179" w:name="_Toc302657880"/>
    <w:bookmarkStart w:id="180" w:name="_Toc307582992"/>
    <w:bookmarkStart w:id="181" w:name="_Toc3075830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14:paraId="1B32C477" w14:textId="28B7170F" w:rsidR="00464F34" w:rsidRPr="002A677E" w:rsidRDefault="0056002D" w:rsidP="00660F94">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5E3D5A">
        <w:rPr>
          <w:noProof/>
        </w:rPr>
        <w:t>51</w:t>
      </w:r>
      <w:r w:rsidRPr="00624117">
        <w:fldChar w:fldCharType="end"/>
      </w:r>
      <w:r w:rsidR="00125707" w:rsidRPr="002A677E">
        <w:t>.</w:t>
      </w:r>
      <w:r w:rsidR="00125707" w:rsidRPr="002A677E">
        <w:tab/>
      </w:r>
      <w:r w:rsidR="00464F34" w:rsidRPr="002A677E">
        <w:t>In addition</w:t>
      </w:r>
      <w:r w:rsidR="0060043C" w:rsidRPr="002A677E">
        <w:t>,</w:t>
      </w:r>
      <w:r w:rsidR="00464F34" w:rsidRPr="002A677E">
        <w:t xml:space="preserve"> CR SA includes memorandum items in rows </w:t>
      </w:r>
      <w:r w:rsidR="00FF15C6" w:rsidRPr="002A677E">
        <w:t>0</w:t>
      </w:r>
      <w:r w:rsidR="00CF2D64" w:rsidRPr="002A677E">
        <w:t xml:space="preserve">290 </w:t>
      </w:r>
      <w:r w:rsidR="00464F34" w:rsidRPr="002A677E">
        <w:t xml:space="preserve">to </w:t>
      </w:r>
      <w:r w:rsidR="00FF15C6" w:rsidRPr="002A677E">
        <w:t>0</w:t>
      </w:r>
      <w:r w:rsidR="00CF2D64" w:rsidRPr="002A677E">
        <w:t>3</w:t>
      </w:r>
      <w:r w:rsidR="00C001FC">
        <w:t>4</w:t>
      </w:r>
      <w:r w:rsidR="00CF2D64" w:rsidRPr="002A677E">
        <w:t xml:space="preserve">0 </w:t>
      </w:r>
      <w:r w:rsidR="00464F34" w:rsidRPr="002A677E">
        <w:t xml:space="preserve">to collect further information about exposures secured by mortgages on immovable property </w:t>
      </w:r>
      <w:r w:rsidR="002C4579" w:rsidRPr="002A677E">
        <w:t xml:space="preserve">and </w:t>
      </w:r>
      <w:r w:rsidR="002C4579">
        <w:t>ADC exposures</w:t>
      </w:r>
      <w:r w:rsidR="002C4579" w:rsidRPr="002A677E">
        <w:t xml:space="preserve"> </w:t>
      </w:r>
      <w:r w:rsidR="00464F34" w:rsidRPr="002A677E">
        <w:t xml:space="preserve">and exposures in default. </w:t>
      </w:r>
    </w:p>
    <w:p w14:paraId="05A7C3AE" w14:textId="36748BA8" w:rsidR="00464F34" w:rsidRPr="002A677E" w:rsidRDefault="008F3052" w:rsidP="00660F94">
      <w:pPr>
        <w:pStyle w:val="InstructionsText2"/>
        <w:numPr>
          <w:ilvl w:val="0"/>
          <w:numId w:val="0"/>
        </w:numPr>
        <w:ind w:left="1353" w:hanging="360"/>
      </w:pPr>
      <w:r>
        <w:lastRenderedPageBreak/>
        <w:fldChar w:fldCharType="begin"/>
      </w:r>
      <w:r>
        <w:instrText>seq paragraphs</w:instrText>
      </w:r>
      <w:r>
        <w:fldChar w:fldCharType="separate"/>
      </w:r>
      <w:r w:rsidR="005E3D5A">
        <w:rPr>
          <w:noProof/>
        </w:rPr>
        <w:t>52</w:t>
      </w:r>
      <w:r>
        <w:fldChar w:fldCharType="end"/>
      </w:r>
      <w:r w:rsidR="00125707" w:rsidRPr="002A677E">
        <w:t>.</w:t>
      </w:r>
      <w:r w:rsidR="00125707" w:rsidRPr="002A677E">
        <w:tab/>
      </w:r>
      <w:r w:rsidR="00464F34" w:rsidRPr="002A677E">
        <w:t>Th</w:t>
      </w:r>
      <w:r w:rsidR="00283C5E" w:rsidRPr="002A677E">
        <w:t>o</w:t>
      </w:r>
      <w:r w:rsidR="00464F34" w:rsidRPr="002A677E">
        <w:t xml:space="preserve">se memorandum items shall only be reported for the following exposure classes: </w:t>
      </w:r>
    </w:p>
    <w:p w14:paraId="100A9167" w14:textId="4D6315E9" w:rsidR="00464F34" w:rsidRPr="002A677E" w:rsidRDefault="00125707" w:rsidP="0047337A">
      <w:pPr>
        <w:pStyle w:val="InstructionsText2"/>
        <w:numPr>
          <w:ilvl w:val="0"/>
          <w:numId w:val="0"/>
        </w:numPr>
        <w:ind w:left="993"/>
      </w:pPr>
      <w:r w:rsidRPr="002A677E">
        <w:t>(a)</w:t>
      </w:r>
      <w:r w:rsidRPr="002A677E">
        <w:tab/>
      </w:r>
      <w:r w:rsidR="00464F34" w:rsidRPr="002A677E">
        <w:t>Central governments or central banks (Article 112</w:t>
      </w:r>
      <w:r w:rsidR="00B83DDE">
        <w:t>, p</w:t>
      </w:r>
      <w:r w:rsidR="00880E92" w:rsidRPr="002A677E">
        <w:t>oint (a)</w:t>
      </w:r>
      <w:r w:rsidR="00CF5957">
        <w:t>,</w:t>
      </w:r>
      <w:r w:rsidR="00880E92" w:rsidRPr="002A677E">
        <w:t xml:space="preserve"> </w:t>
      </w:r>
      <w:r w:rsidR="002A67C8" w:rsidRPr="001235ED">
        <w:rPr>
          <w:lang w:val="en-US"/>
        </w:rPr>
        <w:t>of Regulation (EU) No 575/2013 of Regulation (EU) No 575/2013</w:t>
      </w:r>
      <w:r w:rsidR="00464F34" w:rsidRPr="002A677E">
        <w:t>)</w:t>
      </w:r>
      <w:r w:rsidR="00283C5E" w:rsidRPr="002A677E">
        <w:t>;</w:t>
      </w:r>
    </w:p>
    <w:p w14:paraId="0078CFD3" w14:textId="1D83DCFD" w:rsidR="00464F34" w:rsidRPr="002A677E" w:rsidRDefault="00125707" w:rsidP="0047337A">
      <w:pPr>
        <w:pStyle w:val="InstructionsText2"/>
        <w:numPr>
          <w:ilvl w:val="0"/>
          <w:numId w:val="0"/>
        </w:numPr>
        <w:ind w:left="993"/>
      </w:pPr>
      <w:r w:rsidRPr="002A677E">
        <w:t>(b)</w:t>
      </w:r>
      <w:r w:rsidRPr="002A677E">
        <w:tab/>
      </w:r>
      <w:r w:rsidR="00464F34" w:rsidRPr="002A677E">
        <w:t>Regional governments or local authorities (Article 112</w:t>
      </w:r>
      <w:r w:rsidR="00B83DDE">
        <w:t>, p</w:t>
      </w:r>
      <w:r w:rsidR="00880E92" w:rsidRPr="002A677E">
        <w:t>oint (b)</w:t>
      </w:r>
      <w:r w:rsidR="00BE1277">
        <w:t>,</w:t>
      </w:r>
      <w:r w:rsidR="00880E92" w:rsidRPr="002A677E">
        <w:t xml:space="preserve"> </w:t>
      </w:r>
      <w:r w:rsidR="002A67C8" w:rsidRPr="001235ED">
        <w:rPr>
          <w:lang w:val="en-US"/>
        </w:rPr>
        <w:t>of Regulation (EU) No 575/2013</w:t>
      </w:r>
      <w:r w:rsidR="00464F34" w:rsidRPr="002A677E">
        <w:t>)</w:t>
      </w:r>
      <w:r w:rsidR="00C44C83" w:rsidRPr="002A677E">
        <w:t>;</w:t>
      </w:r>
    </w:p>
    <w:p w14:paraId="35C975FE" w14:textId="66C18A5C" w:rsidR="00464F34" w:rsidRPr="002A677E" w:rsidRDefault="00125707" w:rsidP="0047337A">
      <w:pPr>
        <w:pStyle w:val="InstructionsText2"/>
        <w:numPr>
          <w:ilvl w:val="0"/>
          <w:numId w:val="0"/>
        </w:numPr>
        <w:ind w:left="993"/>
      </w:pPr>
      <w:r w:rsidRPr="002A677E">
        <w:t>(c)</w:t>
      </w:r>
      <w:r w:rsidRPr="002A677E">
        <w:tab/>
      </w:r>
      <w:r w:rsidR="00464F34" w:rsidRPr="002A677E">
        <w:t>Public sector entities (Article 112</w:t>
      </w:r>
      <w:r w:rsidR="00B83DDE">
        <w:t>, p</w:t>
      </w:r>
      <w:r w:rsidR="00880E92" w:rsidRPr="002A677E">
        <w:t>oint (c)</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CC06ECA" w14:textId="29E5CAF5" w:rsidR="00464F34" w:rsidRPr="002A677E" w:rsidRDefault="00125707" w:rsidP="0047337A">
      <w:pPr>
        <w:pStyle w:val="InstructionsText2"/>
        <w:numPr>
          <w:ilvl w:val="0"/>
          <w:numId w:val="0"/>
        </w:numPr>
        <w:ind w:left="993"/>
      </w:pPr>
      <w:r w:rsidRPr="002A677E">
        <w:t>(d)</w:t>
      </w:r>
      <w:r w:rsidRPr="002A677E">
        <w:tab/>
      </w:r>
      <w:r w:rsidR="00464F34" w:rsidRPr="002A677E">
        <w:t>Institutions (Article 112</w:t>
      </w:r>
      <w:r w:rsidR="00B83DDE">
        <w:t>, p</w:t>
      </w:r>
      <w:r w:rsidR="00880E92" w:rsidRPr="002A677E">
        <w:t>oint (f)</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4D66EE55" w14:textId="6FA7E32E" w:rsidR="00464F34" w:rsidRPr="002A677E" w:rsidRDefault="00125707" w:rsidP="0047337A">
      <w:pPr>
        <w:pStyle w:val="InstructionsText2"/>
        <w:numPr>
          <w:ilvl w:val="0"/>
          <w:numId w:val="0"/>
        </w:numPr>
        <w:ind w:left="993"/>
      </w:pPr>
      <w:r w:rsidRPr="002A677E">
        <w:t>(e)</w:t>
      </w:r>
      <w:r w:rsidRPr="002A677E">
        <w:tab/>
      </w:r>
      <w:r w:rsidR="00464F34" w:rsidRPr="002A677E">
        <w:t>Corporates (Article 112</w:t>
      </w:r>
      <w:r w:rsidR="00B83DDE">
        <w:t>, p</w:t>
      </w:r>
      <w:r w:rsidR="00880E92" w:rsidRPr="002A677E">
        <w:t>oint (g)</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0D22081" w14:textId="16C3552C" w:rsidR="00464F34" w:rsidRPr="002A677E" w:rsidRDefault="00125707" w:rsidP="0047337A">
      <w:pPr>
        <w:pStyle w:val="InstructionsText2"/>
        <w:numPr>
          <w:ilvl w:val="0"/>
          <w:numId w:val="0"/>
        </w:numPr>
        <w:ind w:left="993"/>
      </w:pPr>
      <w:r w:rsidRPr="002A677E">
        <w:t>(f)</w:t>
      </w:r>
      <w:r w:rsidRPr="002A677E">
        <w:tab/>
      </w:r>
      <w:r w:rsidR="00464F34" w:rsidRPr="002A677E">
        <w:t>Retail (Article 112</w:t>
      </w:r>
      <w:r w:rsidR="00B83DDE">
        <w:t>, p</w:t>
      </w:r>
      <w:r w:rsidR="00880E92" w:rsidRPr="002A677E">
        <w:t>oint (h)</w:t>
      </w:r>
      <w:r w:rsidR="00BE1277">
        <w:t>,</w:t>
      </w:r>
      <w:r w:rsidR="00880E92" w:rsidRPr="002A677E">
        <w:t xml:space="preserve"> </w:t>
      </w:r>
      <w:r w:rsidR="002A67C8" w:rsidRPr="001235ED">
        <w:rPr>
          <w:lang w:val="en-US"/>
        </w:rPr>
        <w:t>of Regulation (EU) No 575/2013</w:t>
      </w:r>
      <w:r w:rsidR="00464F34" w:rsidRPr="002A677E">
        <w:t>).</w:t>
      </w:r>
    </w:p>
    <w:p w14:paraId="18359E60" w14:textId="1BE62600"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53</w:t>
      </w:r>
      <w:r>
        <w:fldChar w:fldCharType="end"/>
      </w:r>
      <w:r w:rsidR="00125707" w:rsidRPr="002A677E">
        <w:t>.</w:t>
      </w:r>
      <w:r w:rsidR="00125707" w:rsidRPr="002A677E">
        <w:tab/>
      </w:r>
      <w:r w:rsidR="00464F34" w:rsidRPr="002A677E">
        <w:t xml:space="preserve">The reporting of the memorandum items </w:t>
      </w:r>
      <w:r w:rsidR="00283C5E" w:rsidRPr="002A677E">
        <w:t xml:space="preserve">shall </w:t>
      </w:r>
      <w:r w:rsidR="00464F34" w:rsidRPr="002A677E">
        <w:t xml:space="preserve">affect neither the calculation of the risk weighted exposure amounts of the exposure classes </w:t>
      </w:r>
      <w:r w:rsidR="00283C5E" w:rsidRPr="002A677E">
        <w:t>referred to in</w:t>
      </w:r>
      <w:r w:rsidR="00464F34" w:rsidRPr="002A677E">
        <w:t xml:space="preserve"> Article 112</w:t>
      </w:r>
      <w:r w:rsidR="00B83DDE">
        <w:t>, p</w:t>
      </w:r>
      <w:r w:rsidR="00880E92" w:rsidRPr="002A677E">
        <w:t>oints (a) to (c) and (f) to (h)</w:t>
      </w:r>
      <w:r w:rsidR="002E7287">
        <w:t>,</w:t>
      </w:r>
      <w:r w:rsidR="00880E92" w:rsidRPr="002A677E">
        <w:t xml:space="preserve"> </w:t>
      </w:r>
      <w:r w:rsidR="002A67C8" w:rsidRPr="001235ED">
        <w:rPr>
          <w:lang w:val="en-US"/>
        </w:rPr>
        <w:t>of Regulation (EU) No 575/2013</w:t>
      </w:r>
      <w:r w:rsidR="00464F34" w:rsidRPr="002A677E">
        <w:t xml:space="preserve"> nor of the exposure classes </w:t>
      </w:r>
      <w:r w:rsidR="00283C5E" w:rsidRPr="002A677E">
        <w:t xml:space="preserve">referred to in </w:t>
      </w:r>
      <w:r w:rsidR="00464F34" w:rsidRPr="002A677E">
        <w:t>Article 112</w:t>
      </w:r>
      <w:r w:rsidR="00B83DDE">
        <w:t>, p</w:t>
      </w:r>
      <w:r w:rsidR="00880E92" w:rsidRPr="002A677E">
        <w:t>oints (i) and (j)</w:t>
      </w:r>
      <w:r w:rsidR="002E7287">
        <w:t>,</w:t>
      </w:r>
      <w:r w:rsidR="00880E92" w:rsidRPr="002A677E">
        <w:t xml:space="preserve"> </w:t>
      </w:r>
      <w:r w:rsidR="002A67C8" w:rsidRPr="001235ED">
        <w:rPr>
          <w:lang w:val="en-US"/>
        </w:rPr>
        <w:t xml:space="preserve">of that Regulation </w:t>
      </w:r>
      <w:r w:rsidR="00464F34" w:rsidRPr="002A677E">
        <w:t xml:space="preserve">reported in </w:t>
      </w:r>
      <w:r w:rsidR="001C24B0" w:rsidRPr="002A677E">
        <w:t xml:space="preserve">template </w:t>
      </w:r>
      <w:r w:rsidR="00464F34" w:rsidRPr="002A677E">
        <w:t xml:space="preserve">CR SA. </w:t>
      </w:r>
    </w:p>
    <w:p w14:paraId="5C09947A" w14:textId="7E1E2AD5"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54</w:t>
      </w:r>
      <w:r>
        <w:fldChar w:fldCharType="end"/>
      </w:r>
      <w:r w:rsidR="1559DEC5">
        <w:t>.</w:t>
      </w:r>
      <w:r>
        <w:tab/>
      </w:r>
      <w:r w:rsidR="1BA5554B">
        <w:t>The memorandum rows provide additional information about the obligor structure of the exposure classes 'in default' or 'secured by immovable property</w:t>
      </w:r>
      <w:r w:rsidR="007350B4">
        <w:t xml:space="preserve"> and ADC exposures</w:t>
      </w:r>
      <w:r w:rsidR="1BA5554B">
        <w:t xml:space="preserve">'. </w:t>
      </w:r>
      <w:r w:rsidR="69723203">
        <w:t>E</w:t>
      </w:r>
      <w:r w:rsidR="1BA5554B">
        <w:t>xposures shall be reported</w:t>
      </w:r>
      <w:r w:rsidR="4A84F924">
        <w:t xml:space="preserve"> in these rows</w:t>
      </w:r>
      <w:r w:rsidR="1BA5554B">
        <w:t xml:space="preserve"> where</w:t>
      </w:r>
      <w:r w:rsidR="75AB0C62">
        <w:t xml:space="preserve"> </w:t>
      </w:r>
      <w:r w:rsidR="1BA5554B">
        <w:t>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w:t>
      </w:r>
      <w:r w:rsidR="00DD3391">
        <w:t xml:space="preserve"> and ADC exposures</w:t>
      </w:r>
      <w:r w:rsidR="1BA5554B">
        <w:t xml:space="preserve">'. </w:t>
      </w:r>
      <w:r w:rsidR="1E68F6A5">
        <w:t>T</w:t>
      </w:r>
      <w:r w:rsidR="69723203">
        <w:t>he figures reported</w:t>
      </w:r>
      <w:r w:rsidR="1E68F6A5">
        <w:t>, however,</w:t>
      </w:r>
      <w:r w:rsidR="69723203">
        <w:t xml:space="preserve"> are the same as used to calculate the risk weighted exposure amounts in the exposure classes ‘in default’ or </w:t>
      </w:r>
      <w:r w:rsidR="4A808856">
        <w:t>'</w:t>
      </w:r>
      <w:r w:rsidR="69723203">
        <w:t>secured by immovable property</w:t>
      </w:r>
      <w:r w:rsidR="00DD3391">
        <w:t xml:space="preserve"> and ADC exposures</w:t>
      </w:r>
      <w:r w:rsidR="4A808856">
        <w:t>'</w:t>
      </w:r>
      <w:r w:rsidR="69723203">
        <w:t>.</w:t>
      </w:r>
    </w:p>
    <w:p w14:paraId="7691FC39" w14:textId="4566861E"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55</w:t>
      </w:r>
      <w:r>
        <w:fldChar w:fldCharType="end"/>
      </w:r>
      <w:r w:rsidR="00125707" w:rsidRPr="002A677E">
        <w:t>.</w:t>
      </w:r>
      <w:r w:rsidR="00125707" w:rsidRPr="002A677E">
        <w:tab/>
      </w:r>
      <w:r w:rsidR="00464F34" w:rsidRPr="002A677E">
        <w:t xml:space="preserve">E.g. if an exposure, the risk exposure amounts of which are calculated </w:t>
      </w:r>
      <w:r w:rsidR="001C24B0" w:rsidRPr="002A677E">
        <w:t>in accordance with</w:t>
      </w:r>
      <w:r w:rsidR="00464F34" w:rsidRPr="002A677E">
        <w:t xml:space="preserve"> Article 127 </w:t>
      </w:r>
      <w:r w:rsidR="00185A19" w:rsidRPr="001235ED">
        <w:rPr>
          <w:lang w:val="en-US"/>
        </w:rPr>
        <w:t>of Regulation (EU) No 575/</w:t>
      </w:r>
      <w:r w:rsidR="00BC6F32" w:rsidRPr="001235ED">
        <w:rPr>
          <w:lang w:val="en-US"/>
        </w:rPr>
        <w:t>2013</w:t>
      </w:r>
      <w:r w:rsidR="00BD1863">
        <w:rPr>
          <w:lang w:val="en-US"/>
        </w:rPr>
        <w:t xml:space="preserve"> </w:t>
      </w:r>
      <w:r w:rsidR="00464F34" w:rsidRPr="002A677E">
        <w:t>and the value adjustments are less than 20</w:t>
      </w:r>
      <w:r w:rsidR="00B856D5">
        <w:t> </w:t>
      </w:r>
      <w:r w:rsidR="00464F34" w:rsidRPr="002A677E">
        <w:t>%, then th</w:t>
      </w:r>
      <w:r w:rsidR="001C24B0" w:rsidRPr="002A677E">
        <w:t>at</w:t>
      </w:r>
      <w:r w:rsidR="00464F34" w:rsidRPr="002A677E">
        <w:t xml:space="preserve"> information </w:t>
      </w:r>
      <w:r w:rsidR="001C24B0" w:rsidRPr="002A677E">
        <w:t xml:space="preserve">shall be </w:t>
      </w:r>
      <w:r w:rsidR="00464F34" w:rsidRPr="002A677E">
        <w:t xml:space="preserve">reported in CR SA, row </w:t>
      </w:r>
      <w:r w:rsidR="00FF15C6" w:rsidRPr="002A677E">
        <w:t>0</w:t>
      </w:r>
      <w:r w:rsidR="00CF2D64" w:rsidRPr="002A677E">
        <w:t xml:space="preserve">320 </w:t>
      </w:r>
      <w:r w:rsidR="00464F34" w:rsidRPr="002A677E">
        <w:t>in the total and in the exposure class ‘in default’. If this exposure, before it defaulted, was an exposure to an institution</w:t>
      </w:r>
      <w:r w:rsidR="001C24B0" w:rsidRPr="002A677E">
        <w:t>,</w:t>
      </w:r>
      <w:r w:rsidR="00464F34" w:rsidRPr="002A677E">
        <w:t xml:space="preserve"> then th</w:t>
      </w:r>
      <w:r w:rsidR="001C24B0" w:rsidRPr="002A677E">
        <w:t>at</w:t>
      </w:r>
      <w:r w:rsidR="00464F34" w:rsidRPr="002A677E">
        <w:t xml:space="preserve"> information shall also be reported in row </w:t>
      </w:r>
      <w:r w:rsidR="00FF15C6" w:rsidRPr="002A677E">
        <w:t>0</w:t>
      </w:r>
      <w:r w:rsidR="00CF2D64" w:rsidRPr="002A677E">
        <w:t xml:space="preserve">320 </w:t>
      </w:r>
      <w:r w:rsidR="00464F34" w:rsidRPr="002A677E">
        <w:t>of exposure class 'institutions'.</w:t>
      </w:r>
    </w:p>
    <w:p w14:paraId="59860E71" w14:textId="3707A68A"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182" w:name="_Toc262568030"/>
      <w:bookmarkStart w:id="183" w:name="_Toc264038428"/>
      <w:bookmarkStart w:id="184" w:name="_Toc292456207"/>
      <w:bookmarkStart w:id="185" w:name="_Toc295829858"/>
      <w:bookmarkStart w:id="186" w:name="_Toc151714388"/>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 </w:t>
      </w:r>
      <w:bookmarkStart w:id="187" w:name="_Toc310415022"/>
      <w:bookmarkStart w:id="188" w:name="_Toc360188351"/>
      <w:bookmarkStart w:id="189" w:name="_Toc473560900"/>
      <w:r w:rsidR="00464F34" w:rsidRPr="002A677E">
        <w:rPr>
          <w:rFonts w:ascii="Times New Roman" w:hAnsi="Times New Roman" w:cs="Times New Roman"/>
          <w:sz w:val="24"/>
          <w:lang w:val="en-GB"/>
        </w:rPr>
        <w:t xml:space="preserve">Assignment of exposures to exposure classes under the Standardised </w:t>
      </w:r>
      <w:r w:rsidR="009A4399" w:rsidRPr="002A677E">
        <w:rPr>
          <w:rFonts w:ascii="Times New Roman" w:hAnsi="Times New Roman" w:cs="Times New Roman"/>
          <w:sz w:val="24"/>
          <w:lang w:val="en-GB"/>
        </w:rPr>
        <w:t>a</w:t>
      </w:r>
      <w:r w:rsidR="00464F34" w:rsidRPr="002A677E">
        <w:rPr>
          <w:rFonts w:ascii="Times New Roman" w:hAnsi="Times New Roman" w:cs="Times New Roman"/>
          <w:sz w:val="24"/>
          <w:lang w:val="en-GB"/>
        </w:rPr>
        <w:t>pproach</w:t>
      </w:r>
      <w:bookmarkEnd w:id="182"/>
      <w:bookmarkEnd w:id="183"/>
      <w:bookmarkEnd w:id="184"/>
      <w:bookmarkEnd w:id="185"/>
      <w:bookmarkEnd w:id="186"/>
      <w:bookmarkEnd w:id="187"/>
      <w:bookmarkEnd w:id="188"/>
      <w:bookmarkEnd w:id="189"/>
    </w:p>
    <w:p w14:paraId="06E4E915" w14:textId="2D04660C"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56</w:t>
      </w:r>
      <w:r>
        <w:fldChar w:fldCharType="end"/>
      </w:r>
      <w:r w:rsidR="00125707" w:rsidRPr="002A677E">
        <w:t>.</w:t>
      </w:r>
      <w:r w:rsidR="00125707" w:rsidRPr="002A677E">
        <w:tab/>
      </w:r>
      <w:r w:rsidR="00464F34" w:rsidRPr="002A677E">
        <w:t xml:space="preserve">In order to ensure a consistent categorisation of exposures into the different exposure classes </w:t>
      </w:r>
      <w:r w:rsidR="007574C3" w:rsidRPr="002A677E">
        <w:t>referred to</w:t>
      </w:r>
      <w:r w:rsidR="00464F34" w:rsidRPr="002A677E">
        <w:t xml:space="preserve"> in Article 112 </w:t>
      </w:r>
      <w:r w:rsidR="00BC6F32" w:rsidRPr="001235ED">
        <w:rPr>
          <w:lang w:val="en-US"/>
        </w:rPr>
        <w:t>of Regulation (EU) No 575/2013</w:t>
      </w:r>
      <w:r w:rsidR="00464F34" w:rsidRPr="002A677E">
        <w:t xml:space="preserve"> the following sequential approach shall</w:t>
      </w:r>
      <w:r w:rsidR="00730040" w:rsidRPr="002A677E">
        <w:t xml:space="preserve"> </w:t>
      </w:r>
      <w:r w:rsidR="00464F34" w:rsidRPr="002A677E">
        <w:t xml:space="preserve">be applied: </w:t>
      </w:r>
    </w:p>
    <w:p w14:paraId="16CE90EA" w14:textId="53E09D7A" w:rsidR="00464F34" w:rsidRPr="002A677E" w:rsidRDefault="00125707" w:rsidP="0047337A">
      <w:pPr>
        <w:pStyle w:val="InstructionsText2"/>
        <w:numPr>
          <w:ilvl w:val="0"/>
          <w:numId w:val="0"/>
        </w:numPr>
        <w:ind w:left="993"/>
      </w:pPr>
      <w:r w:rsidRPr="002A677E">
        <w:t>(a)</w:t>
      </w:r>
      <w:r w:rsidRPr="002A677E">
        <w:tab/>
      </w:r>
      <w:r w:rsidR="00464F34" w:rsidRPr="002A677E">
        <w:t xml:space="preserve">In </w:t>
      </w:r>
      <w:r w:rsidR="007574C3" w:rsidRPr="002A677E">
        <w:t xml:space="preserve">a </w:t>
      </w:r>
      <w:r w:rsidR="00464F34" w:rsidRPr="002A677E">
        <w:t>first step</w:t>
      </w:r>
      <w:r w:rsidR="007574C3" w:rsidRPr="002A677E">
        <w:t>,</w:t>
      </w:r>
      <w:r w:rsidR="00464F34" w:rsidRPr="002A677E">
        <w:t xml:space="preserve"> the Original exposure pre</w:t>
      </w:r>
      <w:r w:rsidR="007574C3" w:rsidRPr="002A677E">
        <w:t>-</w:t>
      </w:r>
      <w:r w:rsidR="00464F34" w:rsidRPr="002A677E">
        <w:t xml:space="preserve">conversion factors </w:t>
      </w:r>
      <w:r w:rsidR="007574C3" w:rsidRPr="002A677E">
        <w:t xml:space="preserve">shall be </w:t>
      </w:r>
      <w:r w:rsidR="00464F34" w:rsidRPr="002A677E">
        <w:t xml:space="preserve">classified into the corresponding (original) exposure class referred to in Article 112 </w:t>
      </w:r>
      <w:r w:rsidR="00BC6F32" w:rsidRPr="001235ED">
        <w:rPr>
          <w:lang w:val="en-US"/>
        </w:rPr>
        <w:t>of Regulation (EU) No 575/2013</w:t>
      </w:r>
      <w:r w:rsidR="00464F34" w:rsidRPr="002A677E">
        <w:t xml:space="preserve">, without prejudice to the specific treatment (risk weight) that each specific exposure </w:t>
      </w:r>
      <w:r w:rsidR="00B811B0" w:rsidRPr="002A677E">
        <w:t>shall</w:t>
      </w:r>
      <w:r w:rsidR="00464F34" w:rsidRPr="002A677E">
        <w:t xml:space="preserve"> receive within the assigned exposure class.</w:t>
      </w:r>
    </w:p>
    <w:p w14:paraId="0D9A2306" w14:textId="77777777" w:rsidR="00464F34" w:rsidRPr="002A677E" w:rsidRDefault="00125707" w:rsidP="0047337A">
      <w:pPr>
        <w:pStyle w:val="InstructionsText2"/>
        <w:numPr>
          <w:ilvl w:val="0"/>
          <w:numId w:val="0"/>
        </w:numPr>
        <w:ind w:left="993"/>
      </w:pPr>
      <w:r w:rsidRPr="002A677E">
        <w:lastRenderedPageBreak/>
        <w:t>(b)</w:t>
      </w:r>
      <w:r w:rsidRPr="002A677E">
        <w:tab/>
      </w:r>
      <w:r w:rsidR="00464F34" w:rsidRPr="002A677E">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D3E51A1" w14:textId="12FC5280"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57</w:t>
      </w:r>
      <w:r>
        <w:fldChar w:fldCharType="end"/>
      </w:r>
      <w:r w:rsidR="00125707" w:rsidRPr="002A677E">
        <w:t>.</w:t>
      </w:r>
      <w:r w:rsidR="00125707" w:rsidRPr="002A677E">
        <w:tab/>
      </w:r>
      <w:r w:rsidR="00464F34" w:rsidRPr="002A677E">
        <w:t xml:space="preserve">The following criteria </w:t>
      </w:r>
      <w:r w:rsidR="007574C3" w:rsidRPr="002A677E">
        <w:t xml:space="preserve">shall </w:t>
      </w:r>
      <w:r w:rsidR="00464F34" w:rsidRPr="002A677E">
        <w:t>apply for the classification of the Original exposure pre</w:t>
      </w:r>
      <w:r w:rsidR="007574C3" w:rsidRPr="002A677E">
        <w:t>-</w:t>
      </w:r>
      <w:r w:rsidR="00464F34" w:rsidRPr="002A677E">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2A677E">
        <w:t>shall</w:t>
      </w:r>
      <w:r w:rsidR="00464F34" w:rsidRPr="002A677E">
        <w:t xml:space="preserve"> receive within the assigned exposure class.</w:t>
      </w:r>
    </w:p>
    <w:p w14:paraId="0ACE6D07" w14:textId="06E1D218"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58</w:t>
      </w:r>
      <w:r>
        <w:fldChar w:fldCharType="end"/>
      </w:r>
      <w:r w:rsidR="00125707" w:rsidRPr="002A677E">
        <w:t>.</w:t>
      </w:r>
      <w:r w:rsidR="00125707" w:rsidRPr="002A677E">
        <w:tab/>
      </w:r>
      <w:r w:rsidR="00464F34" w:rsidRPr="002A677E">
        <w:t>For the purpose of classifying the original exposure pre</w:t>
      </w:r>
      <w:r w:rsidR="007574C3" w:rsidRPr="002A677E">
        <w:t>-</w:t>
      </w:r>
      <w:r w:rsidR="00464F34" w:rsidRPr="002A677E">
        <w:t xml:space="preserve">conversion factor in the first step, the CRM techniques associated to the exposure shall not be considered (note that they </w:t>
      </w:r>
      <w:r w:rsidR="00B811B0" w:rsidRPr="002A677E">
        <w:t>shall</w:t>
      </w:r>
      <w:r w:rsidR="00464F34" w:rsidRPr="002A677E">
        <w:t xml:space="preserve"> be considered explicitly in the second phase) unless a protection effect is intrinsically part of the definition of an exposure class as it is the case in the exposure class </w:t>
      </w:r>
      <w:r w:rsidR="007574C3" w:rsidRPr="002A677E">
        <w:t xml:space="preserve">referred to in </w:t>
      </w:r>
      <w:r w:rsidR="00464F34" w:rsidRPr="002A677E">
        <w:t>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00464F34" w:rsidRPr="002A677E">
        <w:t xml:space="preserve"> (exposures secured by mortgages on immovable property</w:t>
      </w:r>
      <w:r w:rsidR="00DC5E8D">
        <w:t xml:space="preserve"> and ADC exposures</w:t>
      </w:r>
      <w:r w:rsidR="00464F34" w:rsidRPr="002A677E">
        <w:t>).</w:t>
      </w:r>
    </w:p>
    <w:p w14:paraId="2C39496F" w14:textId="279D197A"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59</w:t>
      </w:r>
      <w:r>
        <w:fldChar w:fldCharType="end"/>
      </w:r>
      <w:r w:rsidR="00125707" w:rsidRPr="002A677E">
        <w:t>.</w:t>
      </w:r>
      <w:r w:rsidR="00125707" w:rsidRPr="002A677E">
        <w:tab/>
      </w:r>
      <w:r w:rsidR="00464F34" w:rsidRPr="002A677E">
        <w:t xml:space="preserve">Article 112 </w:t>
      </w:r>
      <w:r w:rsidR="00BC6F32" w:rsidRPr="001235ED">
        <w:rPr>
          <w:lang w:val="en-US"/>
        </w:rPr>
        <w:t>of Regulation (EU) No 575/2013</w:t>
      </w:r>
      <w:r w:rsidR="00464F34"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2A677E">
        <w:t>case</w:t>
      </w:r>
      <w:r w:rsidR="00464F34" w:rsidRPr="002A677E">
        <w:t xml:space="preserve"> arises between exposures to institutions and corporate with a short-term credit assessment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00464F34" w:rsidRPr="002A677E">
        <w:t>) and exposures to institutions (Article 112</w:t>
      </w:r>
      <w:r w:rsidR="00B83DDE">
        <w:t>, p</w:t>
      </w:r>
      <w:r w:rsidR="00880E92" w:rsidRPr="002A677E">
        <w:t>oint (f)</w:t>
      </w:r>
      <w:r w:rsidR="00BE1277">
        <w:t>,</w:t>
      </w:r>
      <w:r w:rsidR="00880E92" w:rsidRPr="002A677E">
        <w:t xml:space="preserve"> </w:t>
      </w:r>
      <w:r w:rsidR="00BC6F32" w:rsidRPr="001235ED">
        <w:rPr>
          <w:lang w:val="en-US"/>
        </w:rPr>
        <w:t>of Regulation (EU) No 575/2013</w:t>
      </w:r>
      <w:r w:rsidR="00464F34" w:rsidRPr="002A677E">
        <w:t>)/ exposures to corporates (Article 112</w:t>
      </w:r>
      <w:r w:rsidR="00B83DDE">
        <w:t>, p</w:t>
      </w:r>
      <w:r w:rsidR="00880E92" w:rsidRPr="002A677E">
        <w:t>oint (g)</w:t>
      </w:r>
      <w:r w:rsidR="00BE1277">
        <w:t>,</w:t>
      </w:r>
      <w:r w:rsidR="00880E92" w:rsidRPr="002A677E">
        <w:t xml:space="preserve"> </w:t>
      </w:r>
      <w:r w:rsidR="00BC6F32" w:rsidRPr="001235ED">
        <w:rPr>
          <w:lang w:val="en-US"/>
        </w:rPr>
        <w:t>of Regulation (EU) No 575/2013</w:t>
      </w:r>
      <w:r w:rsidR="00464F34" w:rsidRPr="002A677E">
        <w:t>). In th</w:t>
      </w:r>
      <w:r w:rsidR="007574C3" w:rsidRPr="002A677E">
        <w:t>at</w:t>
      </w:r>
      <w:r w:rsidR="00464F34" w:rsidRPr="002A677E">
        <w:t xml:space="preserve"> </w:t>
      </w:r>
      <w:r w:rsidR="00C93697" w:rsidRPr="002A677E">
        <w:t>case</w:t>
      </w:r>
      <w:r w:rsidR="007574C3" w:rsidRPr="002A677E">
        <w:t>,</w:t>
      </w:r>
      <w:r w:rsidR="00464F34" w:rsidRPr="002A677E">
        <w:t xml:space="preserve"> it is clear that there is an implicit prioritisation in </w:t>
      </w:r>
      <w:r w:rsidR="00BC6F32" w:rsidRPr="001235ED">
        <w:rPr>
          <w:lang w:val="en-US"/>
        </w:rPr>
        <w:t xml:space="preserve">that Regulation </w:t>
      </w:r>
      <w:r w:rsidR="00464F34" w:rsidRPr="002A677E">
        <w:t xml:space="preserve">since it </w:t>
      </w:r>
      <w:r w:rsidR="00C93697" w:rsidRPr="002A677E">
        <w:t>shall</w:t>
      </w:r>
      <w:r w:rsidR="00464F34" w:rsidRPr="002A677E">
        <w:t xml:space="preserve"> be assessed first if a certain exposure </w:t>
      </w:r>
      <w:r w:rsidR="007574C3" w:rsidRPr="002A677E">
        <w:t xml:space="preserve">is </w:t>
      </w:r>
      <w:r w:rsidR="00464F34" w:rsidRPr="002A677E">
        <w:t>fit for being assigned to Short-term exposures to institutions and corporate</w:t>
      </w:r>
      <w:r w:rsidR="007574C3" w:rsidRPr="002A677E">
        <w:t>s</w:t>
      </w:r>
      <w:r w:rsidR="00464F34" w:rsidRPr="002A677E">
        <w:t xml:space="preserve"> and only afterwards </w:t>
      </w:r>
      <w:r w:rsidR="00CA21CA" w:rsidRPr="002A677E">
        <w:t xml:space="preserve">assessed if it fits </w:t>
      </w:r>
      <w:r w:rsidR="00464F34" w:rsidRPr="002A677E">
        <w:t xml:space="preserve">for </w:t>
      </w:r>
      <w:r w:rsidR="00CA21CA" w:rsidRPr="002A677E">
        <w:t xml:space="preserve">being assigned to </w:t>
      </w:r>
      <w:r w:rsidR="00464F34" w:rsidRPr="002A677E">
        <w:t xml:space="preserve">exposures to institutions </w:t>
      </w:r>
      <w:r w:rsidR="00CA21CA" w:rsidRPr="002A677E">
        <w:t xml:space="preserve">or </w:t>
      </w:r>
      <w:r w:rsidR="00464F34" w:rsidRPr="002A677E">
        <w:t xml:space="preserve">exposures to corporates. Otherwise it is obvious that the exposure class </w:t>
      </w:r>
      <w:r w:rsidR="007574C3" w:rsidRPr="002A677E">
        <w:t xml:space="preserve">referred to </w:t>
      </w:r>
      <w:r w:rsidR="00464F34" w:rsidRPr="002A677E">
        <w:t>in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00464F34" w:rsidRPr="002A677E">
        <w:t xml:space="preserve"> </w:t>
      </w:r>
      <w:r w:rsidR="00B811B0" w:rsidRPr="002A677E">
        <w:t>shall</w:t>
      </w:r>
      <w:r w:rsidR="00464F34" w:rsidRPr="002A677E">
        <w:t xml:space="preserve"> never be assigned an exposure. The example provided is one of the most obvious examples but </w:t>
      </w:r>
      <w:r w:rsidR="00CA21CA" w:rsidRPr="002A677E">
        <w:t xml:space="preserve">is </w:t>
      </w:r>
      <w:r w:rsidR="00464F34" w:rsidRPr="002A677E">
        <w:t xml:space="preserve">not the only one. It is worth noting that the criteria used for establishing the exposure classes under the </w:t>
      </w:r>
      <w:r w:rsidR="00CA21CA" w:rsidRPr="002A677E">
        <w:t>S</w:t>
      </w:r>
      <w:r w:rsidR="00464F34" w:rsidRPr="002A677E">
        <w:t xml:space="preserve">tandardised </w:t>
      </w:r>
      <w:r w:rsidR="009A4399" w:rsidRPr="002A677E">
        <w:t xml:space="preserve">approach </w:t>
      </w:r>
      <w:r w:rsidR="00464F34" w:rsidRPr="002A677E">
        <w:t>are different (institutional categorisation, term of the exposure</w:t>
      </w:r>
      <w:r w:rsidR="00B83DDE">
        <w:t>, p</w:t>
      </w:r>
      <w:r w:rsidR="00464F34" w:rsidRPr="002A677E">
        <w:t xml:space="preserve">ast due status, etc.) which is the underlying reason for </w:t>
      </w:r>
      <w:r w:rsidR="00167619" w:rsidRPr="002A677E">
        <w:t>non-disjoint</w:t>
      </w:r>
      <w:r w:rsidR="00464F34" w:rsidRPr="002A677E">
        <w:t xml:space="preserve"> groupings.</w:t>
      </w:r>
    </w:p>
    <w:p w14:paraId="2CC30164" w14:textId="4F420854"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60</w:t>
      </w:r>
      <w:r>
        <w:fldChar w:fldCharType="end"/>
      </w:r>
      <w:r w:rsidR="00125707" w:rsidRPr="002A677E">
        <w:t>.</w:t>
      </w:r>
      <w:r w:rsidR="00125707" w:rsidRPr="002A677E">
        <w:tab/>
      </w:r>
      <w:r w:rsidR="00464F34" w:rsidRPr="002A677E">
        <w:t>For a homogeneous and comparable reporting it is necessary to specify prioritisation assessment criteria for the assignment of the Original exposure pre</w:t>
      </w:r>
      <w:r w:rsidR="007574C3" w:rsidRPr="002A677E">
        <w:t>-</w:t>
      </w:r>
      <w:r w:rsidR="00464F34" w:rsidRPr="002A677E">
        <w:t xml:space="preserve">conversion factor by exposure classes, without prejudice to the specific treatment (risk weight) that each specific exposure </w:t>
      </w:r>
      <w:r w:rsidR="00C93697" w:rsidRPr="002A677E">
        <w:t>shall</w:t>
      </w:r>
      <w:r w:rsidR="00464F34" w:rsidRPr="002A677E">
        <w:t xml:space="preserve"> receive within the assigned exposure class. The prioritisation criteria presented below</w:t>
      </w:r>
      <w:r w:rsidR="00CA21CA" w:rsidRPr="002A677E">
        <w:t>,</w:t>
      </w:r>
      <w:r w:rsidR="00464F34" w:rsidRPr="002A677E">
        <w:t xml:space="preserve"> using a decision tree scheme</w:t>
      </w:r>
      <w:r w:rsidR="00CA21CA" w:rsidRPr="002A677E">
        <w:t>,</w:t>
      </w:r>
      <w:r w:rsidR="00464F34" w:rsidRPr="002A677E">
        <w:t xml:space="preserve"> are based on the assessment of the conditions explicitly laid down in</w:t>
      </w:r>
      <w:r w:rsidR="00BC6F32" w:rsidRPr="001235ED">
        <w:rPr>
          <w:lang w:val="en-US"/>
        </w:rPr>
        <w:t xml:space="preserve"> Regulation (EU) No 575/2013</w:t>
      </w:r>
      <w:r w:rsidR="00464F34" w:rsidRPr="002A677E">
        <w:t xml:space="preserve"> for an exposure to fit in a certain exposure class and, if </w:t>
      </w:r>
      <w:r w:rsidR="00CA21CA" w:rsidRPr="002A677E">
        <w:t xml:space="preserve">that </w:t>
      </w:r>
      <w:r w:rsidR="00464F34" w:rsidRPr="002A677E">
        <w:t xml:space="preserve">is the case, on any decision on the part of the reporting institutions or the supervisor on the applicability of certain exposure classes. </w:t>
      </w:r>
      <w:r w:rsidR="00CA21CA" w:rsidRPr="002A677E">
        <w:t>Therefore</w:t>
      </w:r>
      <w:r w:rsidR="00464F34" w:rsidRPr="002A677E">
        <w:t xml:space="preserve">, the outcome of the exposure assignment process for reporting purposes </w:t>
      </w:r>
      <w:r w:rsidR="00CA21CA" w:rsidRPr="002A677E">
        <w:t xml:space="preserve">shall </w:t>
      </w:r>
      <w:r w:rsidR="00464F34" w:rsidRPr="002A677E">
        <w:t xml:space="preserve">be in line with </w:t>
      </w:r>
      <w:r w:rsidR="00BC6F32" w:rsidRPr="001235ED">
        <w:rPr>
          <w:lang w:val="en-US"/>
        </w:rPr>
        <w:t>Regulation (EU) No 575/2013</w:t>
      </w:r>
      <w:r w:rsidR="00464F34" w:rsidRPr="002A677E">
        <w:t xml:space="preserve"> provisions. Th</w:t>
      </w:r>
      <w:r w:rsidR="00CA21CA" w:rsidRPr="002A677E">
        <w:t>at</w:t>
      </w:r>
      <w:r w:rsidR="00464F34" w:rsidRPr="002A677E">
        <w:t xml:space="preserve"> does not </w:t>
      </w:r>
      <w:r w:rsidR="00CA21CA" w:rsidRPr="002A677E">
        <w:t xml:space="preserve">prohibit </w:t>
      </w:r>
      <w:r w:rsidR="00464F34" w:rsidRPr="002A677E">
        <w:t xml:space="preserve">institutions </w:t>
      </w:r>
      <w:r w:rsidR="00167619" w:rsidRPr="002A677E">
        <w:t>from</w:t>
      </w:r>
      <w:r w:rsidR="00464F34" w:rsidRPr="002A677E">
        <w:t xml:space="preserve"> apply</w:t>
      </w:r>
      <w:r w:rsidR="00167619" w:rsidRPr="002A677E">
        <w:t>ing</w:t>
      </w:r>
      <w:r w:rsidR="00464F34" w:rsidRPr="002A677E">
        <w:t xml:space="preserve"> other internal assignment procedures that may also be consistent </w:t>
      </w:r>
      <w:r w:rsidR="00464F34" w:rsidRPr="002A677E">
        <w:lastRenderedPageBreak/>
        <w:t xml:space="preserve">with all relevant </w:t>
      </w:r>
      <w:r w:rsidR="00BC6F32" w:rsidRPr="001235ED">
        <w:rPr>
          <w:lang w:val="en-US"/>
        </w:rPr>
        <w:t>Regulation (EU) No 575/2013</w:t>
      </w:r>
      <w:r w:rsidR="00464F34" w:rsidRPr="002A677E">
        <w:t xml:space="preserve"> provisions and its interpretations issued by the appropriate fora.</w:t>
      </w:r>
    </w:p>
    <w:p w14:paraId="5019198B" w14:textId="2C1D33B7"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61</w:t>
      </w:r>
      <w:r>
        <w:fldChar w:fldCharType="end"/>
      </w:r>
      <w:r w:rsidR="00125707" w:rsidRPr="002A677E">
        <w:t>.</w:t>
      </w:r>
      <w:r w:rsidR="00125707" w:rsidRPr="002A677E">
        <w:tab/>
      </w:r>
      <w:r w:rsidR="00464F34" w:rsidRPr="002A677E">
        <w:t xml:space="preserve">An exposure class </w:t>
      </w:r>
      <w:r w:rsidR="00B811B0" w:rsidRPr="002A677E">
        <w:t>shall</w:t>
      </w:r>
      <w:r w:rsidR="00464F34" w:rsidRPr="002A677E">
        <w:t xml:space="preserve"> be given priority to others in the assessment ranking in the decision tree (i.e. it </w:t>
      </w:r>
      <w:r w:rsidR="00B811B0" w:rsidRPr="002A677E">
        <w:t>shall</w:t>
      </w:r>
      <w:r w:rsidR="00464F34" w:rsidRPr="002A677E">
        <w:t xml:space="preserve"> be first assessed if an exposure can be assigned to </w:t>
      </w:r>
      <w:r w:rsidR="00CA21CA" w:rsidRPr="002A677E">
        <w:t>an exposure class</w:t>
      </w:r>
      <w:r w:rsidR="00464F34" w:rsidRPr="002A677E">
        <w:t>, without prejudice to the outcome of that assessment) if otherwise no exposures would potentially be assigned to it. Th</w:t>
      </w:r>
      <w:r w:rsidR="00CA21CA" w:rsidRPr="002A677E">
        <w:t>at</w:t>
      </w:r>
      <w:r w:rsidR="00464F34" w:rsidRPr="002A677E">
        <w:t xml:space="preserve"> </w:t>
      </w:r>
      <w:r w:rsidR="00CA21CA" w:rsidRPr="002A677E">
        <w:t xml:space="preserve">will </w:t>
      </w:r>
      <w:r w:rsidR="00464F34" w:rsidRPr="002A677E">
        <w:t>be the case whe</w:t>
      </w:r>
      <w:r w:rsidR="00167619" w:rsidRPr="002A677E">
        <w:t>re</w:t>
      </w:r>
      <w:r w:rsidR="00464F34" w:rsidRPr="002A677E">
        <w:t xml:space="preserve"> in the absence of prioritisation criteria one exposure class </w:t>
      </w:r>
      <w:r w:rsidR="00CA21CA" w:rsidRPr="002A677E">
        <w:t>is</w:t>
      </w:r>
      <w:r w:rsidR="00464F34" w:rsidRPr="002A677E">
        <w:t xml:space="preserve"> a subset of others. </w:t>
      </w:r>
      <w:r w:rsidR="00CA21CA" w:rsidRPr="002A677E">
        <w:t>Therefore,</w:t>
      </w:r>
      <w:r w:rsidR="00464F34" w:rsidRPr="002A677E">
        <w:t xml:space="preserve"> the criteria graphically depicted in the following decision tree would work on a sequential process.</w:t>
      </w:r>
    </w:p>
    <w:p w14:paraId="6DF5B685" w14:textId="307C226E"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62</w:t>
      </w:r>
      <w:r>
        <w:fldChar w:fldCharType="end"/>
      </w:r>
      <w:r w:rsidR="00125707" w:rsidRPr="002A677E">
        <w:t>.</w:t>
      </w:r>
      <w:r w:rsidR="00125707" w:rsidRPr="002A677E">
        <w:tab/>
      </w:r>
      <w:r w:rsidR="00464F34" w:rsidRPr="002A677E">
        <w:t xml:space="preserve">With this background the assessment ranking in the decision tree mentioned </w:t>
      </w:r>
      <w:r w:rsidR="001C7AB7" w:rsidRPr="002A677E">
        <w:t>below</w:t>
      </w:r>
      <w:r w:rsidR="00464F34" w:rsidRPr="002A677E">
        <w:t xml:space="preserve"> </w:t>
      </w:r>
      <w:r w:rsidR="00CA21CA" w:rsidRPr="002A677E">
        <w:t xml:space="preserve">shall </w:t>
      </w:r>
      <w:r w:rsidR="00464F34" w:rsidRPr="002A677E">
        <w:t xml:space="preserve">follow </w:t>
      </w:r>
      <w:r w:rsidR="001C7AB7" w:rsidRPr="002A677E">
        <w:t>the following</w:t>
      </w:r>
      <w:r w:rsidR="00464F34" w:rsidRPr="002A677E">
        <w:t xml:space="preserve"> order:</w:t>
      </w:r>
    </w:p>
    <w:p w14:paraId="06680208" w14:textId="77777777" w:rsidR="00464F34" w:rsidRPr="002A677E" w:rsidRDefault="1BA5554B" w:rsidP="00B055FF">
      <w:pPr>
        <w:pStyle w:val="InstructionsText"/>
      </w:pPr>
      <w:r>
        <w:t>1. Securitisation positions;</w:t>
      </w:r>
    </w:p>
    <w:p w14:paraId="5080897A" w14:textId="24235970" w:rsidR="00464F34" w:rsidRPr="002A677E" w:rsidRDefault="0056295D" w:rsidP="00B055FF">
      <w:pPr>
        <w:pStyle w:val="InstructionsText"/>
      </w:pPr>
      <w:r>
        <w:t>2</w:t>
      </w:r>
      <w:r w:rsidR="00464F34" w:rsidRPr="002A677E">
        <w:t>. Equity exposures</w:t>
      </w:r>
    </w:p>
    <w:p w14:paraId="6E26EFB3" w14:textId="7D35B779" w:rsidR="00464F34" w:rsidRDefault="00B61601" w:rsidP="00B055FF">
      <w:pPr>
        <w:pStyle w:val="InstructionsText"/>
      </w:pPr>
      <w:r>
        <w:t>3</w:t>
      </w:r>
      <w:r w:rsidR="00464F34" w:rsidRPr="002A677E">
        <w:t>. Exposures in default;</w:t>
      </w:r>
    </w:p>
    <w:p w14:paraId="1403C7AA" w14:textId="4C9F0D73" w:rsidR="00B61601" w:rsidRPr="002A677E" w:rsidRDefault="004F036B" w:rsidP="00B055FF">
      <w:pPr>
        <w:pStyle w:val="InstructionsText"/>
      </w:pPr>
      <w:r>
        <w:t>4. Subordinated debt exposures</w:t>
      </w:r>
    </w:p>
    <w:p w14:paraId="66C692D2" w14:textId="77777777" w:rsidR="00464F34" w:rsidRPr="002A677E" w:rsidRDefault="00464F34" w:rsidP="00B055FF">
      <w:pPr>
        <w:pStyle w:val="InstructionsText"/>
      </w:pPr>
      <w:r w:rsidRPr="002A677E">
        <w:t xml:space="preserve">5. Exposures in the form of </w:t>
      </w:r>
      <w:r w:rsidR="000F2EC8" w:rsidRPr="002A677E">
        <w:t xml:space="preserve">units or shares in </w:t>
      </w:r>
      <w:r w:rsidRPr="002A677E">
        <w:t xml:space="preserve">collective investment undertakings (‘CIU’)/ </w:t>
      </w:r>
      <w:r w:rsidR="000F2EC8" w:rsidRPr="002A677E">
        <w:t xml:space="preserve">Exposures </w:t>
      </w:r>
      <w:r w:rsidRPr="002A677E">
        <w:t>in the form of covered bonds (disjoint exposure classes);</w:t>
      </w:r>
    </w:p>
    <w:p w14:paraId="6AFB7899" w14:textId="46A371AC" w:rsidR="00464F34" w:rsidRPr="002A677E" w:rsidRDefault="00464F34" w:rsidP="00B055FF">
      <w:pPr>
        <w:pStyle w:val="InstructionsText"/>
      </w:pPr>
      <w:r w:rsidRPr="002A677E">
        <w:t>6. Exposures secured by mortgages on immovable property</w:t>
      </w:r>
      <w:r w:rsidR="001054B2">
        <w:t xml:space="preserve"> and ADC exposures</w:t>
      </w:r>
      <w:r w:rsidRPr="002A677E">
        <w:t>;</w:t>
      </w:r>
    </w:p>
    <w:p w14:paraId="4C4E7E84" w14:textId="77777777" w:rsidR="00464F34" w:rsidRPr="002A677E" w:rsidRDefault="00464F34" w:rsidP="00B055FF">
      <w:pPr>
        <w:pStyle w:val="InstructionsText"/>
      </w:pPr>
      <w:r w:rsidRPr="002A677E">
        <w:t>7. Other items;</w:t>
      </w:r>
    </w:p>
    <w:p w14:paraId="7A586E62" w14:textId="77777777" w:rsidR="00464F34" w:rsidRPr="002A677E" w:rsidRDefault="00464F34" w:rsidP="00B055FF">
      <w:pPr>
        <w:pStyle w:val="InstructionsText"/>
      </w:pPr>
      <w:r w:rsidRPr="002A677E">
        <w:t>8. Exposures to institutions and corporates with a short-term credit assessment;</w:t>
      </w:r>
    </w:p>
    <w:p w14:paraId="2D8F9D0A" w14:textId="77777777" w:rsidR="00464F34" w:rsidRPr="002A677E" w:rsidRDefault="00464F34" w:rsidP="00B055FF">
      <w:pPr>
        <w:pStyle w:val="InstructionsText"/>
      </w:pPr>
      <w:r w:rsidRPr="002A677E">
        <w:t>9. All other exposure classes (disjoint exposure classes)</w:t>
      </w:r>
      <w:r w:rsidR="001C7AB7" w:rsidRPr="002A677E">
        <w:t xml:space="preserve"> which include </w:t>
      </w:r>
      <w:r w:rsidRPr="002A677E">
        <w:t>Exposures to central governments or central banks;</w:t>
      </w:r>
      <w:r w:rsidR="001C7AB7" w:rsidRPr="002A677E">
        <w:t xml:space="preserve"> </w:t>
      </w:r>
      <w:r w:rsidRPr="002A677E">
        <w:t>Exposures to regional governments or local authorities;</w:t>
      </w:r>
      <w:r w:rsidR="001C7AB7" w:rsidRPr="002A677E">
        <w:t xml:space="preserve"> </w:t>
      </w:r>
      <w:r w:rsidRPr="002A677E">
        <w:t>Exposures to public sector entities;</w:t>
      </w:r>
      <w:r w:rsidR="001C7AB7" w:rsidRPr="002A677E">
        <w:t xml:space="preserve"> </w:t>
      </w:r>
      <w:r w:rsidRPr="002A677E">
        <w:t>Exposures to multilateral development banks;</w:t>
      </w:r>
      <w:r w:rsidR="001C7AB7" w:rsidRPr="002A677E">
        <w:t xml:space="preserve"> </w:t>
      </w:r>
      <w:r w:rsidRPr="002A677E">
        <w:t>Exposures to international organisations;</w:t>
      </w:r>
      <w:r w:rsidR="001C7AB7" w:rsidRPr="002A677E">
        <w:t xml:space="preserve"> </w:t>
      </w:r>
      <w:r w:rsidRPr="002A677E">
        <w:t>Exposures to institutions;</w:t>
      </w:r>
      <w:r w:rsidR="001C7AB7" w:rsidRPr="002A677E">
        <w:t xml:space="preserve"> </w:t>
      </w:r>
      <w:r w:rsidRPr="002A677E">
        <w:t>Exposures to corporate</w:t>
      </w:r>
      <w:r w:rsidR="001C7AB7" w:rsidRPr="002A677E">
        <w:t xml:space="preserve"> and</w:t>
      </w:r>
      <w:r w:rsidRPr="002A677E">
        <w:t xml:space="preserve"> Retail exposures.</w:t>
      </w:r>
    </w:p>
    <w:p w14:paraId="798850C9" w14:textId="61AC380B"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63</w:t>
      </w:r>
      <w:r>
        <w:fldChar w:fldCharType="end"/>
      </w:r>
      <w:r w:rsidR="00125707" w:rsidRPr="002A677E">
        <w:t>.</w:t>
      </w:r>
      <w:r w:rsidR="00125707" w:rsidRPr="002A677E">
        <w:tab/>
      </w:r>
      <w:r w:rsidR="00464F34" w:rsidRPr="002A677E">
        <w:t xml:space="preserve">In the case of exposures in the form of </w:t>
      </w:r>
      <w:r w:rsidR="00887A83" w:rsidRPr="002A677E">
        <w:t xml:space="preserve">units or shares in </w:t>
      </w:r>
      <w:r w:rsidR="00464F34" w:rsidRPr="002A677E">
        <w:t xml:space="preserve">collective investment undertakings </w:t>
      </w:r>
      <w:r w:rsidR="00C93697" w:rsidRPr="002A677E">
        <w:t>and where</w:t>
      </w:r>
      <w:r w:rsidR="00464F34" w:rsidRPr="002A677E">
        <w:t xml:space="preserve"> the look through approach </w:t>
      </w:r>
      <w:r w:rsidR="00BF0637" w:rsidRPr="002A677E">
        <w:t>or the mandate</w:t>
      </w:r>
      <w:r w:rsidR="0029716F" w:rsidRPr="002A677E">
        <w:t>-based</w:t>
      </w:r>
      <w:r w:rsidR="00BF0637" w:rsidRPr="002A677E">
        <w:t xml:space="preserve"> approach</w:t>
      </w:r>
      <w:r w:rsidR="00402284">
        <w:t xml:space="preserve"> </w:t>
      </w:r>
      <w:r w:rsidR="00BF0637" w:rsidRPr="002A677E">
        <w:t>(Article 132</w:t>
      </w:r>
      <w:r w:rsidR="00922F04" w:rsidRPr="002A677E">
        <w:t>a</w:t>
      </w:r>
      <w:r w:rsidR="00B83DDE">
        <w:t>, p</w:t>
      </w:r>
      <w:r w:rsidR="00880E92" w:rsidRPr="002A677E">
        <w:t>oints (1) and (2)</w:t>
      </w:r>
      <w:r w:rsidR="002E7287">
        <w:t>,</w:t>
      </w:r>
      <w:r w:rsidR="00880E92" w:rsidRPr="002A677E">
        <w:t xml:space="preserve"> </w:t>
      </w:r>
      <w:r w:rsidR="00BC6F32" w:rsidRPr="00F46E63">
        <w:t>of Regulation (EU) No 575/2013</w:t>
      </w:r>
      <w:r w:rsidR="00BF0637" w:rsidRPr="002A677E">
        <w:t>) is used, the underlying individual (in the case of the look through approach) and individual group of (in the case of the mandate</w:t>
      </w:r>
      <w:r w:rsidR="0029716F" w:rsidRPr="002A677E">
        <w:t>-</w:t>
      </w:r>
      <w:r w:rsidR="00BF0637" w:rsidRPr="002A677E">
        <w:t xml:space="preserve">based approach) </w:t>
      </w:r>
      <w:r w:rsidR="00464F34" w:rsidRPr="002A677E">
        <w:t xml:space="preserve">exposures </w:t>
      </w:r>
      <w:r w:rsidR="00C93697" w:rsidRPr="002A677E">
        <w:t>shall</w:t>
      </w:r>
      <w:r w:rsidR="00464F34" w:rsidRPr="002A677E">
        <w:t xml:space="preserve"> be considered and classified into their corresponding risk weight line according to their treatment</w:t>
      </w:r>
      <w:r w:rsidR="00BF0637" w:rsidRPr="002A677E">
        <w:t>. However,</w:t>
      </w:r>
      <w:r w:rsidR="00402284">
        <w:t xml:space="preserve"> </w:t>
      </w:r>
      <w:r w:rsidR="00464F34" w:rsidRPr="002A677E">
        <w:t xml:space="preserve">all the individual exposures </w:t>
      </w:r>
      <w:r w:rsidR="00C93697" w:rsidRPr="002A677E">
        <w:t>shall</w:t>
      </w:r>
      <w:r w:rsidR="00464F34" w:rsidRPr="002A677E">
        <w:t xml:space="preserve"> be classified within the exposure class of </w:t>
      </w:r>
      <w:r w:rsidR="00CA21CA" w:rsidRPr="002A677E">
        <w:t>E</w:t>
      </w:r>
      <w:r w:rsidR="00464F34" w:rsidRPr="002A677E">
        <w:t xml:space="preserve">xposures in the form of </w:t>
      </w:r>
      <w:r w:rsidR="00887A83" w:rsidRPr="002A677E">
        <w:t xml:space="preserve">units or shares in </w:t>
      </w:r>
      <w:r w:rsidR="00464F34" w:rsidRPr="002A677E">
        <w:t>collective investment undertakings (‘CIU’).</w:t>
      </w:r>
    </w:p>
    <w:p w14:paraId="7D902C25" w14:textId="35C3A86E"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64</w:t>
      </w:r>
      <w:r>
        <w:fldChar w:fldCharType="end"/>
      </w:r>
      <w:r w:rsidR="00125707" w:rsidRPr="002A677E">
        <w:t>.</w:t>
      </w:r>
      <w:r w:rsidR="00125707" w:rsidRPr="002A677E">
        <w:tab/>
      </w:r>
      <w:r w:rsidR="00464F34" w:rsidRPr="002A677E">
        <w:t xml:space="preserve"> “nth” to default credit derivatives</w:t>
      </w:r>
      <w:r w:rsidR="00CA21CA" w:rsidRPr="002A677E">
        <w:t>, as</w:t>
      </w:r>
      <w:r w:rsidR="00464F34" w:rsidRPr="002A677E">
        <w:t xml:space="preserve"> specified in Article 134(6) </w:t>
      </w:r>
      <w:r w:rsidR="00BC6F32" w:rsidRPr="00F46E63">
        <w:t>of Regulation (EU) No 575/2013</w:t>
      </w:r>
      <w:r w:rsidR="00464F34" w:rsidRPr="002A677E">
        <w:t xml:space="preserve"> </w:t>
      </w:r>
      <w:r w:rsidR="00CA21CA" w:rsidRPr="002A677E">
        <w:t>that</w:t>
      </w:r>
      <w:r w:rsidR="00464F34" w:rsidRPr="002A677E">
        <w:t xml:space="preserve"> are rated </w:t>
      </w:r>
      <w:r w:rsidR="00C93697" w:rsidRPr="002A677E">
        <w:t>shall</w:t>
      </w:r>
      <w:r w:rsidR="00464F34" w:rsidRPr="002A677E">
        <w:t xml:space="preserve"> be directly classified as securitisation positions. If they are not rated, they </w:t>
      </w:r>
      <w:r w:rsidR="00C93697" w:rsidRPr="002A677E">
        <w:t>shall</w:t>
      </w:r>
      <w:r w:rsidR="00464F34" w:rsidRPr="002A677E">
        <w:t xml:space="preserve"> be considered in the “Other items” exposure class. In th</w:t>
      </w:r>
      <w:r w:rsidR="00CA21CA" w:rsidRPr="002A677E">
        <w:t>at</w:t>
      </w:r>
      <w:r w:rsidR="00464F34" w:rsidRPr="002A677E">
        <w:t xml:space="preserve"> latter case</w:t>
      </w:r>
      <w:r w:rsidR="00CA21CA" w:rsidRPr="002A677E">
        <w:t>,</w:t>
      </w:r>
      <w:r w:rsidR="00464F34" w:rsidRPr="002A677E">
        <w:t xml:space="preserve"> the nominal amount of the contract </w:t>
      </w:r>
      <w:r w:rsidR="00B811B0" w:rsidRPr="002A677E">
        <w:t>shall</w:t>
      </w:r>
      <w:r w:rsidR="00464F34" w:rsidRPr="002A677E">
        <w:t xml:space="preserve"> be reported as the Original exposure pre</w:t>
      </w:r>
      <w:r w:rsidR="007574C3" w:rsidRPr="002A677E">
        <w:t>-</w:t>
      </w:r>
      <w:r w:rsidR="00464F34" w:rsidRPr="002A677E">
        <w:t xml:space="preserve">conversion factors in the line for “Other risk weights” (the risk weight used </w:t>
      </w:r>
      <w:r w:rsidR="00B811B0" w:rsidRPr="002A677E">
        <w:t>shall</w:t>
      </w:r>
      <w:r w:rsidR="00464F34" w:rsidRPr="002A677E">
        <w:t xml:space="preserve"> be that specified by the sum indicated under Article 134(6) </w:t>
      </w:r>
      <w:r w:rsidR="00BC6F32" w:rsidRPr="00F46E63">
        <w:t>of Regulation (EU) No 575/2013</w:t>
      </w:r>
      <w:r w:rsidR="00464F34" w:rsidRPr="002A677E">
        <w:t xml:space="preserve">. </w:t>
      </w:r>
    </w:p>
    <w:p w14:paraId="1EFA94D5" w14:textId="4F85E540" w:rsidR="00464F34" w:rsidRPr="002A677E" w:rsidRDefault="008F3052" w:rsidP="00660F94">
      <w:pPr>
        <w:pStyle w:val="InstructionsText2"/>
        <w:numPr>
          <w:ilvl w:val="0"/>
          <w:numId w:val="0"/>
        </w:numPr>
        <w:ind w:left="1353" w:hanging="360"/>
      </w:pPr>
      <w:r>
        <w:lastRenderedPageBreak/>
        <w:fldChar w:fldCharType="begin"/>
      </w:r>
      <w:r>
        <w:instrText>seq paragraphs</w:instrText>
      </w:r>
      <w:r>
        <w:fldChar w:fldCharType="separate"/>
      </w:r>
      <w:r w:rsidR="005E3D5A">
        <w:rPr>
          <w:noProof/>
        </w:rPr>
        <w:t>65</w:t>
      </w:r>
      <w:r>
        <w:fldChar w:fldCharType="end"/>
      </w:r>
      <w:r w:rsidR="00125707" w:rsidRPr="002A677E">
        <w:t>.</w:t>
      </w:r>
      <w:r w:rsidR="00125707" w:rsidRPr="002A677E">
        <w:tab/>
      </w:r>
      <w:r w:rsidR="00464F34" w:rsidRPr="002A677E">
        <w:t xml:space="preserve">In a second step, as a consequence of credit risk mitigation techniques with substitution effects, exposures </w:t>
      </w:r>
      <w:r w:rsidR="00C95414" w:rsidRPr="002A677E">
        <w:t>shall</w:t>
      </w:r>
      <w:r w:rsidR="00464F34" w:rsidRPr="002A677E">
        <w:t xml:space="preserve"> be reallocated to the exposure class of the protection provider.</w:t>
      </w:r>
    </w:p>
    <w:p w14:paraId="0E2C7FEE" w14:textId="4EED7399" w:rsidR="00464F34" w:rsidRPr="002A677E" w:rsidRDefault="00464F34" w:rsidP="00B055FF">
      <w:pPr>
        <w:pStyle w:val="InstructionsText"/>
      </w:pPr>
      <w:r w:rsidRPr="002A677E">
        <w:br w:type="page"/>
      </w:r>
      <w:r w:rsidRPr="002A677E">
        <w:lastRenderedPageBreak/>
        <w:t xml:space="preserve">DECISION TREE ON HOW TO </w:t>
      </w:r>
      <w:r w:rsidR="00EA11F0" w:rsidRPr="002A677E">
        <w:t>ASSIGN</w:t>
      </w:r>
      <w:r w:rsidRPr="002A677E">
        <w:t xml:space="preserve"> THE ORIGINAL EXPOSURE PRE</w:t>
      </w:r>
      <w:r w:rsidR="007574C3" w:rsidRPr="002A677E">
        <w:t>-</w:t>
      </w:r>
      <w:r w:rsidRPr="002A677E">
        <w:t xml:space="preserve">CONVERSION FACTORS TO THE EXPOSURE CLASSES OF THE STANDARDISED APPROACH </w:t>
      </w:r>
      <w:r w:rsidR="00BB22D4" w:rsidRPr="002A677E">
        <w:t>IN ACCORDANCE WITH</w:t>
      </w:r>
      <w:r w:rsidRPr="002A677E">
        <w:t xml:space="preserve"> </w:t>
      </w:r>
      <w:r w:rsidR="00BC6F32" w:rsidRPr="002A677E">
        <w:t>REGULATION (EU) NO 575/2013</w:t>
      </w:r>
      <w:r w:rsidRPr="002A677E">
        <w:t xml:space="preserve"> </w:t>
      </w:r>
    </w:p>
    <w:p w14:paraId="5C348B0D" w14:textId="77777777" w:rsidR="00464F34" w:rsidRPr="002A677E" w:rsidRDefault="00464F34" w:rsidP="00B055F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3A1B96" w:rsidRPr="002A677E" w14:paraId="1BE3B574" w14:textId="77777777" w:rsidTr="00B7446A">
        <w:tc>
          <w:tcPr>
            <w:tcW w:w="3672" w:type="dxa"/>
            <w:shd w:val="clear" w:color="auto" w:fill="auto"/>
          </w:tcPr>
          <w:p w14:paraId="66C75766" w14:textId="77777777" w:rsidR="003A1B96" w:rsidRPr="002A677E" w:rsidRDefault="003A1B96" w:rsidP="007574C3">
            <w:pPr>
              <w:spacing w:before="0" w:after="0"/>
              <w:jc w:val="left"/>
              <w:rPr>
                <w:sz w:val="24"/>
              </w:rPr>
            </w:pPr>
            <w:r w:rsidRPr="002A677E">
              <w:rPr>
                <w:rFonts w:ascii="Times New Roman" w:hAnsi="Times New Roman"/>
                <w:sz w:val="24"/>
              </w:rPr>
              <w:t>Original exposure pre</w:t>
            </w:r>
            <w:r w:rsidR="007574C3" w:rsidRPr="002A677E">
              <w:rPr>
                <w:rFonts w:ascii="Times New Roman" w:hAnsi="Times New Roman"/>
                <w:sz w:val="24"/>
              </w:rPr>
              <w:t>-</w:t>
            </w:r>
            <w:r w:rsidRPr="002A677E">
              <w:rPr>
                <w:rFonts w:ascii="Times New Roman" w:hAnsi="Times New Roman"/>
                <w:sz w:val="24"/>
              </w:rPr>
              <w:t>conversion factors</w:t>
            </w:r>
          </w:p>
        </w:tc>
        <w:tc>
          <w:tcPr>
            <w:tcW w:w="1393" w:type="dxa"/>
            <w:shd w:val="clear" w:color="auto" w:fill="auto"/>
          </w:tcPr>
          <w:p w14:paraId="0870D08E" w14:textId="77777777" w:rsidR="003A1B96" w:rsidRPr="002A677E" w:rsidRDefault="003A1B96" w:rsidP="00B055FF">
            <w:pPr>
              <w:pStyle w:val="InstructionsText"/>
            </w:pPr>
          </w:p>
        </w:tc>
        <w:tc>
          <w:tcPr>
            <w:tcW w:w="3964" w:type="dxa"/>
            <w:shd w:val="clear" w:color="auto" w:fill="auto"/>
          </w:tcPr>
          <w:p w14:paraId="6AFD8BA9" w14:textId="77777777" w:rsidR="003A1B96" w:rsidRPr="002A677E" w:rsidRDefault="003A1B96" w:rsidP="00B055FF">
            <w:pPr>
              <w:pStyle w:val="InstructionsText"/>
            </w:pPr>
          </w:p>
        </w:tc>
      </w:tr>
      <w:tr w:rsidR="00581FA5" w:rsidRPr="002A677E" w14:paraId="04CD2CBB" w14:textId="77777777" w:rsidTr="00B7446A">
        <w:tc>
          <w:tcPr>
            <w:tcW w:w="3672" w:type="dxa"/>
            <w:shd w:val="clear" w:color="auto" w:fill="auto"/>
          </w:tcPr>
          <w:p w14:paraId="09B4DBB7" w14:textId="3950D58F" w:rsidR="00581FA5" w:rsidRPr="002A677E" w:rsidRDefault="00581FA5" w:rsidP="00B055FF">
            <w:pPr>
              <w:pStyle w:val="InstructionsText"/>
            </w:pPr>
            <w:r w:rsidRPr="002A677E">
              <w:t>Does it fit for being assigned to the exposure class of Article 112</w:t>
            </w:r>
            <w:r w:rsidR="00B83DDE">
              <w:t>, p</w:t>
            </w:r>
            <w:r w:rsidR="00880E92" w:rsidRPr="002A677E">
              <w:t>oint (m)</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7A5DB446"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11BAFED6" wp14:editId="4DCF2046">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B055FF">
            <w:pPr>
              <w:pStyle w:val="InstructionsText"/>
            </w:pPr>
          </w:p>
        </w:tc>
        <w:tc>
          <w:tcPr>
            <w:tcW w:w="3964" w:type="dxa"/>
            <w:shd w:val="clear" w:color="auto" w:fill="auto"/>
          </w:tcPr>
          <w:p w14:paraId="7AE02A8C" w14:textId="77777777" w:rsidR="00581FA5" w:rsidRPr="002A677E" w:rsidRDefault="00581FA5" w:rsidP="00B055FF">
            <w:pPr>
              <w:pStyle w:val="InstructionsText"/>
            </w:pPr>
            <w:r w:rsidRPr="002A677E">
              <w:t>Securitisation positions</w:t>
            </w:r>
          </w:p>
        </w:tc>
      </w:tr>
      <w:tr w:rsidR="005B3B7C" w:rsidRPr="002A677E" w14:paraId="78A11ABB" w14:textId="77777777" w:rsidTr="00B7446A">
        <w:tc>
          <w:tcPr>
            <w:tcW w:w="3672" w:type="dxa"/>
            <w:shd w:val="clear" w:color="auto" w:fill="auto"/>
          </w:tcPr>
          <w:p w14:paraId="4E39BCC0" w14:textId="77777777" w:rsidR="00581FA5" w:rsidRPr="002A677E" w:rsidRDefault="00581FA5" w:rsidP="00B055FF">
            <w:pPr>
              <w:pStyle w:val="InstructionsText"/>
            </w:pPr>
            <w:r w:rsidRPr="002A677E">
              <w:t xml:space="preserve">NO </w:t>
            </w:r>
            <w:r w:rsidR="002540B2" w:rsidRPr="002A677E">
              <w:rPr>
                <w:noProof/>
                <w:lang w:eastAsia="en-GB"/>
              </w:rPr>
              <w:drawing>
                <wp:inline distT="0" distB="0" distL="0" distR="0" wp14:anchorId="1E15F0AD" wp14:editId="4ABEEF1E">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B055FF">
            <w:pPr>
              <w:pStyle w:val="InstructionsText"/>
            </w:pPr>
          </w:p>
        </w:tc>
        <w:tc>
          <w:tcPr>
            <w:tcW w:w="1393" w:type="dxa"/>
            <w:shd w:val="clear" w:color="auto" w:fill="auto"/>
          </w:tcPr>
          <w:p w14:paraId="795E0A99" w14:textId="77777777" w:rsidR="005B3B7C" w:rsidRPr="002A677E" w:rsidRDefault="005B3B7C" w:rsidP="00B055FF">
            <w:pPr>
              <w:pStyle w:val="InstructionsText"/>
            </w:pPr>
          </w:p>
        </w:tc>
        <w:tc>
          <w:tcPr>
            <w:tcW w:w="3964" w:type="dxa"/>
            <w:shd w:val="clear" w:color="auto" w:fill="auto"/>
          </w:tcPr>
          <w:p w14:paraId="27C98286" w14:textId="77777777" w:rsidR="005B3B7C" w:rsidRPr="002A677E" w:rsidRDefault="005B3B7C" w:rsidP="00B055FF">
            <w:pPr>
              <w:pStyle w:val="InstructionsText"/>
            </w:pPr>
          </w:p>
        </w:tc>
      </w:tr>
      <w:tr w:rsidR="003A1B96" w:rsidRPr="002A677E" w14:paraId="274E8FB4" w14:textId="77777777" w:rsidTr="00B7446A">
        <w:tc>
          <w:tcPr>
            <w:tcW w:w="3672" w:type="dxa"/>
            <w:shd w:val="clear" w:color="auto" w:fill="auto"/>
          </w:tcPr>
          <w:p w14:paraId="2C7ECF76" w14:textId="67621873" w:rsidR="003A1B96" w:rsidRPr="002A677E" w:rsidRDefault="003A1B96" w:rsidP="00B055FF">
            <w:pPr>
              <w:pStyle w:val="InstructionsText"/>
            </w:pPr>
            <w:r w:rsidRPr="002A677E">
              <w:t>Does it fit for being assigned to the exposure class of Article 112</w:t>
            </w:r>
            <w:r w:rsidR="00B83DDE">
              <w:t>, p</w:t>
            </w:r>
            <w:r w:rsidR="00880E92" w:rsidRPr="002A677E">
              <w:t>oint (p)</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17E9AA8D"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189A1044" wp14:editId="696EB9B9">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B055FF">
            <w:pPr>
              <w:pStyle w:val="InstructionsText"/>
            </w:pPr>
          </w:p>
        </w:tc>
        <w:tc>
          <w:tcPr>
            <w:tcW w:w="3964" w:type="dxa"/>
            <w:shd w:val="clear" w:color="auto" w:fill="auto"/>
          </w:tcPr>
          <w:p w14:paraId="1BFBD607" w14:textId="464922F9" w:rsidR="003A1B96" w:rsidRPr="002A677E" w:rsidRDefault="003A1B96" w:rsidP="00B055FF">
            <w:pPr>
              <w:pStyle w:val="InstructionsText"/>
            </w:pPr>
            <w:r w:rsidRPr="002A677E">
              <w:t xml:space="preserve">Equity exposures (see </w:t>
            </w:r>
            <w:r w:rsidR="00CA21CA" w:rsidRPr="002A677E">
              <w:t xml:space="preserve">also </w:t>
            </w:r>
            <w:r w:rsidRPr="002A677E">
              <w:t>Article 133</w:t>
            </w:r>
            <w:r w:rsidR="00167619" w:rsidRPr="002A677E">
              <w:t xml:space="preserve"> </w:t>
            </w:r>
            <w:r w:rsidR="00BC6F32" w:rsidRPr="001235ED">
              <w:rPr>
                <w:lang w:val="en-US"/>
              </w:rPr>
              <w:t>of Regulation (EU) No 575/2013</w:t>
            </w:r>
            <w:r w:rsidRPr="002A677E">
              <w:t>)</w:t>
            </w:r>
          </w:p>
        </w:tc>
      </w:tr>
      <w:tr w:rsidR="003A1B96" w:rsidRPr="002A677E" w14:paraId="103DF98F" w14:textId="77777777" w:rsidTr="00B7446A">
        <w:tc>
          <w:tcPr>
            <w:tcW w:w="3672" w:type="dxa"/>
            <w:shd w:val="clear" w:color="auto" w:fill="auto"/>
          </w:tcPr>
          <w:p w14:paraId="0BEBB8F9" w14:textId="77777777" w:rsidR="007241D3" w:rsidRPr="002A677E" w:rsidRDefault="007241D3" w:rsidP="00B055FF">
            <w:pPr>
              <w:pStyle w:val="InstructionsText"/>
            </w:pPr>
            <w:r w:rsidRPr="002A677E">
              <w:t xml:space="preserve">NO </w:t>
            </w:r>
            <w:r w:rsidR="002540B2" w:rsidRPr="002A677E">
              <w:rPr>
                <w:noProof/>
                <w:lang w:eastAsia="en-GB"/>
              </w:rPr>
              <w:drawing>
                <wp:inline distT="0" distB="0" distL="0" distR="0" wp14:anchorId="57D7D0D0" wp14:editId="0D7296E7">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B055FF">
            <w:pPr>
              <w:pStyle w:val="InstructionsText"/>
            </w:pPr>
          </w:p>
        </w:tc>
        <w:tc>
          <w:tcPr>
            <w:tcW w:w="1393" w:type="dxa"/>
            <w:shd w:val="clear" w:color="auto" w:fill="auto"/>
          </w:tcPr>
          <w:p w14:paraId="11A2898E" w14:textId="77777777" w:rsidR="003A1B96" w:rsidRPr="002A677E" w:rsidRDefault="003A1B96" w:rsidP="00B055FF">
            <w:pPr>
              <w:pStyle w:val="InstructionsText"/>
            </w:pPr>
          </w:p>
        </w:tc>
        <w:tc>
          <w:tcPr>
            <w:tcW w:w="3964" w:type="dxa"/>
            <w:shd w:val="clear" w:color="auto" w:fill="auto"/>
          </w:tcPr>
          <w:p w14:paraId="2383BEDD" w14:textId="77777777" w:rsidR="003A1B96" w:rsidRPr="002A677E" w:rsidRDefault="003A1B96" w:rsidP="00B055FF">
            <w:pPr>
              <w:pStyle w:val="InstructionsText"/>
            </w:pPr>
          </w:p>
        </w:tc>
      </w:tr>
      <w:tr w:rsidR="00581FA5" w:rsidRPr="002A677E" w14:paraId="06C1C757" w14:textId="77777777" w:rsidTr="00B7446A">
        <w:tc>
          <w:tcPr>
            <w:tcW w:w="3672" w:type="dxa"/>
            <w:shd w:val="clear" w:color="auto" w:fill="auto"/>
          </w:tcPr>
          <w:p w14:paraId="349B8B30" w14:textId="6EFDC1C6" w:rsidR="00581FA5" w:rsidRPr="002A677E" w:rsidRDefault="00581FA5" w:rsidP="00B055FF">
            <w:pPr>
              <w:pStyle w:val="InstructionsText"/>
            </w:pPr>
            <w:r w:rsidRPr="002A677E">
              <w:t>Does it fit for being assigned to the exposure class of Article 112</w:t>
            </w:r>
            <w:r w:rsidR="00B83DDE">
              <w:t>, p</w:t>
            </w:r>
            <w:r w:rsidR="00880E92" w:rsidRPr="002A677E">
              <w:t>oint (j)</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4E3778AB"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0013DF82" wp14:editId="15722B90">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B055FF">
            <w:pPr>
              <w:pStyle w:val="InstructionsText"/>
            </w:pPr>
          </w:p>
        </w:tc>
        <w:tc>
          <w:tcPr>
            <w:tcW w:w="3964" w:type="dxa"/>
            <w:shd w:val="clear" w:color="auto" w:fill="auto"/>
          </w:tcPr>
          <w:p w14:paraId="13DC5551" w14:textId="77777777" w:rsidR="00581FA5" w:rsidRPr="002A677E" w:rsidRDefault="00581FA5" w:rsidP="00B055FF">
            <w:pPr>
              <w:pStyle w:val="InstructionsText"/>
            </w:pPr>
            <w:r w:rsidRPr="002A677E">
              <w:t>Exposures in default</w:t>
            </w:r>
          </w:p>
        </w:tc>
      </w:tr>
      <w:tr w:rsidR="00581FA5" w:rsidRPr="002A677E" w14:paraId="4A0CB096" w14:textId="77777777" w:rsidTr="00B7446A">
        <w:tc>
          <w:tcPr>
            <w:tcW w:w="3672" w:type="dxa"/>
            <w:shd w:val="clear" w:color="auto" w:fill="auto"/>
          </w:tcPr>
          <w:p w14:paraId="53090FF3" w14:textId="77777777" w:rsidR="007241D3" w:rsidRPr="002A677E" w:rsidRDefault="007241D3" w:rsidP="00B055FF">
            <w:pPr>
              <w:pStyle w:val="InstructionsText"/>
            </w:pPr>
            <w:r w:rsidRPr="002A677E">
              <w:t xml:space="preserve">NO </w:t>
            </w:r>
            <w:r w:rsidR="002540B2" w:rsidRPr="002A677E">
              <w:rPr>
                <w:noProof/>
                <w:lang w:eastAsia="en-GB"/>
              </w:rPr>
              <w:drawing>
                <wp:inline distT="0" distB="0" distL="0" distR="0" wp14:anchorId="57FDE2AB" wp14:editId="41ED99D3">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B055FF">
            <w:pPr>
              <w:pStyle w:val="InstructionsText"/>
            </w:pPr>
          </w:p>
        </w:tc>
        <w:tc>
          <w:tcPr>
            <w:tcW w:w="1393" w:type="dxa"/>
            <w:shd w:val="clear" w:color="auto" w:fill="auto"/>
          </w:tcPr>
          <w:p w14:paraId="5E6FD4E1" w14:textId="77777777" w:rsidR="00581FA5" w:rsidRPr="002A677E" w:rsidRDefault="00581FA5" w:rsidP="00B055FF">
            <w:pPr>
              <w:pStyle w:val="InstructionsText"/>
            </w:pPr>
          </w:p>
        </w:tc>
        <w:tc>
          <w:tcPr>
            <w:tcW w:w="3964" w:type="dxa"/>
            <w:shd w:val="clear" w:color="auto" w:fill="auto"/>
          </w:tcPr>
          <w:p w14:paraId="0346B14E" w14:textId="77777777" w:rsidR="00581FA5" w:rsidRPr="002A677E" w:rsidRDefault="00581FA5" w:rsidP="00B055FF">
            <w:pPr>
              <w:pStyle w:val="InstructionsText"/>
            </w:pPr>
          </w:p>
        </w:tc>
      </w:tr>
      <w:tr w:rsidR="0071647E" w:rsidRPr="002A677E" w14:paraId="343F69EF" w14:textId="77777777" w:rsidTr="00B7446A">
        <w:tc>
          <w:tcPr>
            <w:tcW w:w="3672" w:type="dxa"/>
            <w:shd w:val="clear" w:color="auto" w:fill="auto"/>
          </w:tcPr>
          <w:p w14:paraId="0139069D" w14:textId="6AB260A8" w:rsidR="0071647E" w:rsidRPr="002A677E" w:rsidRDefault="0071647E" w:rsidP="00B055FF">
            <w:pPr>
              <w:pStyle w:val="InstructionsText"/>
            </w:pPr>
            <w:r w:rsidRPr="002A677E">
              <w:t>Does it fit for being assigned to the exposure class of Article 112</w:t>
            </w:r>
            <w:r>
              <w:t>, p</w:t>
            </w:r>
            <w:r w:rsidRPr="002A677E">
              <w:t>oint (k)</w:t>
            </w:r>
            <w:r>
              <w:t>,</w:t>
            </w:r>
            <w:r w:rsidRPr="002A677E">
              <w:t xml:space="preserve"> </w:t>
            </w:r>
            <w:r w:rsidRPr="0042396E">
              <w:t>of Regulation (EU) No 575/2013</w:t>
            </w:r>
            <w:r w:rsidRPr="002A677E">
              <w:t>?</w:t>
            </w:r>
          </w:p>
        </w:tc>
        <w:tc>
          <w:tcPr>
            <w:tcW w:w="1393" w:type="dxa"/>
            <w:shd w:val="clear" w:color="auto" w:fill="auto"/>
          </w:tcPr>
          <w:p w14:paraId="5833073D" w14:textId="77777777" w:rsidR="0071647E" w:rsidRPr="002A677E" w:rsidRDefault="0071647E" w:rsidP="00B055FF">
            <w:pPr>
              <w:pStyle w:val="InstructionsText"/>
            </w:pPr>
            <w:r w:rsidRPr="002A677E">
              <w:t xml:space="preserve">YES </w:t>
            </w:r>
            <w:r w:rsidRPr="002A677E">
              <w:rPr>
                <w:noProof/>
              </w:rPr>
              <w:drawing>
                <wp:inline distT="0" distB="0" distL="0" distR="0" wp14:anchorId="5C7225BB" wp14:editId="221E4D8E">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38A992D1" w14:textId="77777777" w:rsidR="0071647E" w:rsidRPr="002A677E" w:rsidRDefault="0071647E" w:rsidP="00DA09CD">
            <w:pPr>
              <w:pStyle w:val="InstructionsText"/>
            </w:pPr>
          </w:p>
          <w:p w14:paraId="03BF52C9" w14:textId="77777777" w:rsidR="0071647E" w:rsidRPr="002A677E" w:rsidRDefault="0071647E" w:rsidP="00B055FF">
            <w:pPr>
              <w:pStyle w:val="InstructionsText"/>
            </w:pPr>
          </w:p>
        </w:tc>
        <w:tc>
          <w:tcPr>
            <w:tcW w:w="3964" w:type="dxa"/>
            <w:shd w:val="clear" w:color="auto" w:fill="auto"/>
          </w:tcPr>
          <w:p w14:paraId="5DD7A0C4" w14:textId="7F91F329" w:rsidR="0071647E" w:rsidRPr="002A677E" w:rsidRDefault="0071647E" w:rsidP="00B055FF">
            <w:pPr>
              <w:pStyle w:val="InstructionsText"/>
            </w:pPr>
            <w:r>
              <w:t>Subordinated debt exposures</w:t>
            </w:r>
          </w:p>
        </w:tc>
      </w:tr>
      <w:tr w:rsidR="0071647E" w:rsidRPr="002A677E" w14:paraId="619A30FC" w14:textId="77777777" w:rsidTr="00B7446A">
        <w:tc>
          <w:tcPr>
            <w:tcW w:w="3672" w:type="dxa"/>
            <w:shd w:val="clear" w:color="auto" w:fill="auto"/>
          </w:tcPr>
          <w:p w14:paraId="1D2A5D0A" w14:textId="77777777" w:rsidR="0071647E" w:rsidRPr="002A677E" w:rsidRDefault="0071647E" w:rsidP="00B055FF">
            <w:pPr>
              <w:pStyle w:val="InstructionsText"/>
            </w:pPr>
            <w:r w:rsidRPr="002A677E">
              <w:t xml:space="preserve">NO </w:t>
            </w:r>
            <w:r w:rsidRPr="002A677E">
              <w:rPr>
                <w:noProof/>
              </w:rPr>
              <w:drawing>
                <wp:inline distT="0" distB="0" distL="0" distR="0" wp14:anchorId="7D4006E5" wp14:editId="1C557D39">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0CFCEA0" w14:textId="77777777" w:rsidR="0071647E" w:rsidRPr="002A677E" w:rsidRDefault="0071647E" w:rsidP="00B055FF">
            <w:pPr>
              <w:pStyle w:val="InstructionsText"/>
            </w:pPr>
          </w:p>
        </w:tc>
        <w:tc>
          <w:tcPr>
            <w:tcW w:w="1393" w:type="dxa"/>
            <w:shd w:val="clear" w:color="auto" w:fill="auto"/>
          </w:tcPr>
          <w:p w14:paraId="0F36954A" w14:textId="77777777" w:rsidR="0071647E" w:rsidRPr="002A677E" w:rsidRDefault="0071647E" w:rsidP="00B055FF">
            <w:pPr>
              <w:pStyle w:val="InstructionsText"/>
            </w:pPr>
          </w:p>
        </w:tc>
        <w:tc>
          <w:tcPr>
            <w:tcW w:w="3964" w:type="dxa"/>
            <w:shd w:val="clear" w:color="auto" w:fill="auto"/>
          </w:tcPr>
          <w:p w14:paraId="3C09DE19" w14:textId="77777777" w:rsidR="0071647E" w:rsidRPr="002A677E" w:rsidRDefault="0071647E" w:rsidP="00B055FF">
            <w:pPr>
              <w:pStyle w:val="InstructionsText"/>
            </w:pPr>
          </w:p>
        </w:tc>
      </w:tr>
      <w:tr w:rsidR="00581FA5" w:rsidRPr="002A677E" w14:paraId="00FE13FB" w14:textId="77777777" w:rsidTr="00B7446A">
        <w:tc>
          <w:tcPr>
            <w:tcW w:w="3672" w:type="dxa"/>
            <w:shd w:val="clear" w:color="auto" w:fill="auto"/>
          </w:tcPr>
          <w:p w14:paraId="63DF4D9F" w14:textId="548212FC" w:rsidR="00581FA5" w:rsidRPr="002A677E" w:rsidRDefault="00581FA5" w:rsidP="00B055FF">
            <w:pPr>
              <w:pStyle w:val="InstructionsText"/>
            </w:pPr>
            <w:r w:rsidRPr="002A677E">
              <w:t>Does it fit for being assigned to the exposure classes of Article 112</w:t>
            </w:r>
            <w:r w:rsidR="00B83DDE">
              <w:t>, p</w:t>
            </w:r>
            <w:r w:rsidR="00880E92" w:rsidRPr="002A677E">
              <w:t>oints (l) and (o)</w:t>
            </w:r>
            <w:r w:rsidR="002E728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08B1C985"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533303E6" wp14:editId="67297CFF">
                  <wp:extent cx="3714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B055FF">
            <w:pPr>
              <w:pStyle w:val="InstructionsText"/>
            </w:pPr>
          </w:p>
        </w:tc>
        <w:tc>
          <w:tcPr>
            <w:tcW w:w="3964" w:type="dxa"/>
            <w:shd w:val="clear" w:color="auto" w:fill="auto"/>
          </w:tcPr>
          <w:p w14:paraId="5C62CED6" w14:textId="77777777" w:rsidR="00581FA5" w:rsidRPr="002A677E" w:rsidRDefault="00581FA5" w:rsidP="00B055FF">
            <w:pPr>
              <w:pStyle w:val="InstructionsText"/>
            </w:pPr>
            <w:r w:rsidRPr="002A677E">
              <w:t>Exposures in the form of units or shares in collective investment undertakings (CIU)</w:t>
            </w:r>
          </w:p>
          <w:p w14:paraId="55A5CB19" w14:textId="601E97D3" w:rsidR="00581FA5" w:rsidRPr="002A677E" w:rsidRDefault="00581FA5" w:rsidP="00B055FF">
            <w:pPr>
              <w:pStyle w:val="InstructionsText"/>
            </w:pPr>
            <w:r w:rsidRPr="002A677E">
              <w:t xml:space="preserve">Exposures in the form of covered bonds (see </w:t>
            </w:r>
            <w:r w:rsidR="00CA21CA" w:rsidRPr="002A677E">
              <w:t xml:space="preserve">also </w:t>
            </w:r>
            <w:r w:rsidRPr="002A677E">
              <w:t>Article 129</w:t>
            </w:r>
            <w:r w:rsidR="00167619" w:rsidRPr="002A677E">
              <w:t xml:space="preserve"> </w:t>
            </w:r>
            <w:r w:rsidR="00BC6F32" w:rsidRPr="001235ED">
              <w:rPr>
                <w:lang w:val="en-US"/>
              </w:rPr>
              <w:t>of Regulation (EU) No 575/2013</w:t>
            </w:r>
            <w:r w:rsidRPr="002A677E">
              <w:t>)</w:t>
            </w:r>
          </w:p>
          <w:p w14:paraId="546D5260" w14:textId="77777777" w:rsidR="00581FA5" w:rsidRPr="002A677E" w:rsidRDefault="00581FA5" w:rsidP="00B055FF">
            <w:pPr>
              <w:pStyle w:val="InstructionsText"/>
            </w:pPr>
            <w:r w:rsidRPr="002A677E">
              <w:lastRenderedPageBreak/>
              <w:t>These two exposure classes are disjoint among themselves (see comments on the look-through approach in the answer above). Therefore the assignment to one of them is straightforward.</w:t>
            </w:r>
          </w:p>
        </w:tc>
      </w:tr>
      <w:tr w:rsidR="00581FA5" w:rsidRPr="002A677E" w14:paraId="0AC9A0E4" w14:textId="77777777" w:rsidTr="00B7446A">
        <w:tc>
          <w:tcPr>
            <w:tcW w:w="3672" w:type="dxa"/>
            <w:shd w:val="clear" w:color="auto" w:fill="auto"/>
          </w:tcPr>
          <w:p w14:paraId="2E513543" w14:textId="77777777" w:rsidR="007241D3" w:rsidRPr="002A677E" w:rsidRDefault="007241D3" w:rsidP="00B055FF">
            <w:pPr>
              <w:pStyle w:val="InstructionsText"/>
            </w:pPr>
            <w:r w:rsidRPr="002A677E">
              <w:lastRenderedPageBreak/>
              <w:t xml:space="preserve">NO </w:t>
            </w:r>
            <w:r w:rsidR="002540B2" w:rsidRPr="002A677E">
              <w:rPr>
                <w:noProof/>
                <w:lang w:eastAsia="en-GB"/>
              </w:rPr>
              <w:drawing>
                <wp:inline distT="0" distB="0" distL="0" distR="0" wp14:anchorId="3DAD38CD" wp14:editId="3968D51C">
                  <wp:extent cx="8191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B055FF">
            <w:pPr>
              <w:pStyle w:val="InstructionsText"/>
            </w:pPr>
          </w:p>
        </w:tc>
        <w:tc>
          <w:tcPr>
            <w:tcW w:w="1393" w:type="dxa"/>
            <w:shd w:val="clear" w:color="auto" w:fill="auto"/>
          </w:tcPr>
          <w:p w14:paraId="34FAD491" w14:textId="77777777" w:rsidR="00581FA5" w:rsidRPr="002A677E" w:rsidRDefault="00581FA5" w:rsidP="00B055FF">
            <w:pPr>
              <w:pStyle w:val="InstructionsText"/>
            </w:pPr>
          </w:p>
        </w:tc>
        <w:tc>
          <w:tcPr>
            <w:tcW w:w="3964" w:type="dxa"/>
            <w:shd w:val="clear" w:color="auto" w:fill="auto"/>
          </w:tcPr>
          <w:p w14:paraId="15B98FAD" w14:textId="77777777" w:rsidR="00581FA5" w:rsidRPr="002A677E" w:rsidRDefault="00581FA5" w:rsidP="00B055FF">
            <w:pPr>
              <w:pStyle w:val="InstructionsText"/>
            </w:pPr>
          </w:p>
        </w:tc>
      </w:tr>
      <w:tr w:rsidR="00581FA5" w:rsidRPr="002A677E" w14:paraId="246E6EB2" w14:textId="77777777" w:rsidTr="00B7446A">
        <w:tc>
          <w:tcPr>
            <w:tcW w:w="3672" w:type="dxa"/>
            <w:shd w:val="clear" w:color="auto" w:fill="auto"/>
          </w:tcPr>
          <w:p w14:paraId="742DF16A" w14:textId="2C25F469" w:rsidR="00581FA5" w:rsidRPr="002A677E" w:rsidRDefault="00581FA5" w:rsidP="00B055FF">
            <w:pPr>
              <w:pStyle w:val="InstructionsText"/>
            </w:pPr>
            <w:r w:rsidRPr="002A677E">
              <w:t>Does it fit for being assigned to the exposure class of 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21935E41"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05C45556" wp14:editId="580A86A1">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B055FF">
            <w:pPr>
              <w:pStyle w:val="InstructionsText"/>
            </w:pPr>
          </w:p>
        </w:tc>
        <w:tc>
          <w:tcPr>
            <w:tcW w:w="3964" w:type="dxa"/>
            <w:shd w:val="clear" w:color="auto" w:fill="auto"/>
          </w:tcPr>
          <w:p w14:paraId="14C9FFFE" w14:textId="2DA1B50B" w:rsidR="00581FA5" w:rsidRPr="002A677E" w:rsidRDefault="00581FA5" w:rsidP="00B055FF">
            <w:pPr>
              <w:pStyle w:val="InstructionsText"/>
            </w:pPr>
            <w:r w:rsidRPr="002A677E">
              <w:t>Exposures secured by mortgages on immovable property</w:t>
            </w:r>
            <w:r w:rsidR="00264531">
              <w:t xml:space="preserve"> and ADC exposures</w:t>
            </w:r>
            <w:r w:rsidRPr="002A677E">
              <w:t xml:space="preserve"> (see </w:t>
            </w:r>
            <w:r w:rsidR="00CA21CA" w:rsidRPr="002A677E">
              <w:t xml:space="preserve">also </w:t>
            </w:r>
            <w:r w:rsidRPr="002A677E">
              <w:t>Article 124</w:t>
            </w:r>
            <w:r w:rsidR="00167619" w:rsidRPr="002A677E">
              <w:t xml:space="preserve"> </w:t>
            </w:r>
            <w:r w:rsidR="00BC6F32" w:rsidRPr="001235ED">
              <w:rPr>
                <w:lang w:val="en-US"/>
              </w:rPr>
              <w:t>of Regulation (EU) No 575/2013</w:t>
            </w:r>
            <w:r w:rsidRPr="002A677E">
              <w:t>)</w:t>
            </w:r>
          </w:p>
        </w:tc>
      </w:tr>
      <w:tr w:rsidR="00581FA5" w:rsidRPr="002A677E" w14:paraId="3BDDC8D7" w14:textId="77777777" w:rsidTr="00B7446A">
        <w:tc>
          <w:tcPr>
            <w:tcW w:w="3672" w:type="dxa"/>
            <w:shd w:val="clear" w:color="auto" w:fill="auto"/>
          </w:tcPr>
          <w:p w14:paraId="3B9957B7" w14:textId="77777777" w:rsidR="007241D3" w:rsidRPr="002A677E" w:rsidRDefault="007241D3" w:rsidP="00B055FF">
            <w:pPr>
              <w:pStyle w:val="InstructionsText"/>
            </w:pPr>
            <w:r w:rsidRPr="002A677E">
              <w:t xml:space="preserve">NO </w:t>
            </w:r>
            <w:r w:rsidR="002540B2" w:rsidRPr="002A677E">
              <w:rPr>
                <w:noProof/>
                <w:lang w:eastAsia="en-GB"/>
              </w:rPr>
              <w:drawing>
                <wp:inline distT="0" distB="0" distL="0" distR="0" wp14:anchorId="26DBA5C8" wp14:editId="5373B495">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B055FF">
            <w:pPr>
              <w:pStyle w:val="InstructionsText"/>
            </w:pPr>
          </w:p>
        </w:tc>
        <w:tc>
          <w:tcPr>
            <w:tcW w:w="1393" w:type="dxa"/>
            <w:shd w:val="clear" w:color="auto" w:fill="auto"/>
          </w:tcPr>
          <w:p w14:paraId="5A7472D8" w14:textId="77777777" w:rsidR="00581FA5" w:rsidRPr="002A677E" w:rsidRDefault="00581FA5" w:rsidP="00B055FF">
            <w:pPr>
              <w:pStyle w:val="InstructionsText"/>
            </w:pPr>
          </w:p>
        </w:tc>
        <w:tc>
          <w:tcPr>
            <w:tcW w:w="3964" w:type="dxa"/>
            <w:shd w:val="clear" w:color="auto" w:fill="auto"/>
          </w:tcPr>
          <w:p w14:paraId="40669E90" w14:textId="77777777" w:rsidR="00581FA5" w:rsidRPr="002A677E" w:rsidRDefault="00581FA5" w:rsidP="00B055FF">
            <w:pPr>
              <w:pStyle w:val="InstructionsText"/>
            </w:pPr>
          </w:p>
        </w:tc>
      </w:tr>
      <w:tr w:rsidR="00581FA5" w:rsidRPr="002A677E" w14:paraId="16B68A3E" w14:textId="77777777" w:rsidTr="00B7446A">
        <w:tc>
          <w:tcPr>
            <w:tcW w:w="3672" w:type="dxa"/>
            <w:shd w:val="clear" w:color="auto" w:fill="auto"/>
          </w:tcPr>
          <w:p w14:paraId="466EA15E" w14:textId="532F1729" w:rsidR="00581FA5" w:rsidRPr="002A677E" w:rsidRDefault="00581FA5" w:rsidP="00B055FF">
            <w:pPr>
              <w:pStyle w:val="InstructionsText"/>
            </w:pPr>
            <w:r w:rsidRPr="002A677E">
              <w:t>Does it fit for being assigned to the exposure class of Article 112</w:t>
            </w:r>
            <w:r w:rsidR="00B83DDE">
              <w:t>, p</w:t>
            </w:r>
            <w:r w:rsidR="00880E92" w:rsidRPr="002A677E">
              <w:t>oint (q)</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1D317502" w14:textId="77777777" w:rsidR="00BD52C3" w:rsidRPr="002A677E" w:rsidRDefault="00BD52C3" w:rsidP="00B055FF">
            <w:pPr>
              <w:pStyle w:val="InstructionsText"/>
            </w:pPr>
            <w:r w:rsidRPr="002A677E">
              <w:t xml:space="preserve">YES </w:t>
            </w:r>
            <w:r w:rsidR="002540B2" w:rsidRPr="002A677E">
              <w:rPr>
                <w:noProof/>
                <w:lang w:eastAsia="en-GB"/>
              </w:rPr>
              <w:drawing>
                <wp:inline distT="0" distB="0" distL="0" distR="0" wp14:anchorId="18E3AA8C" wp14:editId="71127E58">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B055FF">
            <w:pPr>
              <w:pStyle w:val="InstructionsText"/>
            </w:pPr>
          </w:p>
        </w:tc>
        <w:tc>
          <w:tcPr>
            <w:tcW w:w="3964" w:type="dxa"/>
            <w:shd w:val="clear" w:color="auto" w:fill="auto"/>
          </w:tcPr>
          <w:p w14:paraId="184B2AD2" w14:textId="77777777" w:rsidR="00581FA5" w:rsidRPr="002A677E" w:rsidRDefault="00581FA5" w:rsidP="00B055FF">
            <w:pPr>
              <w:pStyle w:val="InstructionsText"/>
            </w:pPr>
            <w:r w:rsidRPr="002A677E">
              <w:t>Other items</w:t>
            </w:r>
          </w:p>
        </w:tc>
      </w:tr>
      <w:tr w:rsidR="00581FA5" w:rsidRPr="002A677E" w14:paraId="22253DCC" w14:textId="77777777" w:rsidTr="00B7446A">
        <w:tc>
          <w:tcPr>
            <w:tcW w:w="3672" w:type="dxa"/>
            <w:shd w:val="clear" w:color="auto" w:fill="auto"/>
          </w:tcPr>
          <w:p w14:paraId="73E218BA" w14:textId="77777777" w:rsidR="007241D3" w:rsidRPr="002A677E" w:rsidRDefault="007241D3" w:rsidP="00B055FF">
            <w:pPr>
              <w:pStyle w:val="InstructionsText"/>
            </w:pPr>
            <w:r w:rsidRPr="002A677E">
              <w:t xml:space="preserve">NO </w:t>
            </w:r>
            <w:r w:rsidR="002540B2" w:rsidRPr="002A677E">
              <w:rPr>
                <w:noProof/>
                <w:lang w:eastAsia="en-GB"/>
              </w:rPr>
              <w:drawing>
                <wp:inline distT="0" distB="0" distL="0" distR="0" wp14:anchorId="6D85ECBA" wp14:editId="45D79807">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B055FF">
            <w:pPr>
              <w:pStyle w:val="InstructionsText"/>
            </w:pPr>
          </w:p>
        </w:tc>
        <w:tc>
          <w:tcPr>
            <w:tcW w:w="1393" w:type="dxa"/>
            <w:shd w:val="clear" w:color="auto" w:fill="auto"/>
          </w:tcPr>
          <w:p w14:paraId="5B518D8E" w14:textId="77777777" w:rsidR="00581FA5" w:rsidRPr="002A677E" w:rsidRDefault="00581FA5" w:rsidP="00B055FF">
            <w:pPr>
              <w:pStyle w:val="InstructionsText"/>
            </w:pPr>
          </w:p>
        </w:tc>
        <w:tc>
          <w:tcPr>
            <w:tcW w:w="3964" w:type="dxa"/>
            <w:shd w:val="clear" w:color="auto" w:fill="auto"/>
          </w:tcPr>
          <w:p w14:paraId="62B057CD" w14:textId="77777777" w:rsidR="00581FA5" w:rsidRPr="002A677E" w:rsidRDefault="00581FA5" w:rsidP="00B055FF">
            <w:pPr>
              <w:pStyle w:val="InstructionsText"/>
            </w:pPr>
          </w:p>
        </w:tc>
      </w:tr>
      <w:tr w:rsidR="00581FA5" w:rsidRPr="002A677E" w14:paraId="1B4F2790" w14:textId="77777777" w:rsidTr="00B7446A">
        <w:tc>
          <w:tcPr>
            <w:tcW w:w="3672" w:type="dxa"/>
            <w:shd w:val="clear" w:color="auto" w:fill="auto"/>
          </w:tcPr>
          <w:p w14:paraId="09C08B49" w14:textId="35261E75" w:rsidR="00581FA5" w:rsidRPr="002A677E" w:rsidRDefault="00581FA5" w:rsidP="00B055FF">
            <w:pPr>
              <w:pStyle w:val="InstructionsText"/>
            </w:pPr>
            <w:r w:rsidRPr="002A677E">
              <w:t>Does it fit for being assigned to the exposure class of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3AAC30A2" w14:textId="77777777" w:rsidR="0063493E" w:rsidRPr="002A677E" w:rsidRDefault="0063493E" w:rsidP="00B055FF">
            <w:pPr>
              <w:pStyle w:val="InstructionsText"/>
            </w:pPr>
            <w:r w:rsidRPr="002A677E">
              <w:t xml:space="preserve">YES </w:t>
            </w:r>
            <w:r w:rsidR="002540B2" w:rsidRPr="002A677E">
              <w:rPr>
                <w:noProof/>
                <w:lang w:eastAsia="en-GB"/>
              </w:rPr>
              <w:drawing>
                <wp:inline distT="0" distB="0" distL="0" distR="0" wp14:anchorId="7AF01324" wp14:editId="671B3AAC">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B055FF">
            <w:pPr>
              <w:pStyle w:val="InstructionsText"/>
            </w:pPr>
          </w:p>
        </w:tc>
        <w:tc>
          <w:tcPr>
            <w:tcW w:w="3964" w:type="dxa"/>
            <w:shd w:val="clear" w:color="auto" w:fill="auto"/>
          </w:tcPr>
          <w:p w14:paraId="7A229230" w14:textId="77777777" w:rsidR="00581FA5" w:rsidRPr="002A677E" w:rsidRDefault="00581FA5" w:rsidP="00B055FF">
            <w:pPr>
              <w:pStyle w:val="InstructionsText"/>
            </w:pPr>
            <w:r w:rsidRPr="002A677E">
              <w:t>Exposures to institutions and corporates with a short-term credit assessment</w:t>
            </w:r>
          </w:p>
        </w:tc>
      </w:tr>
      <w:tr w:rsidR="00581FA5" w:rsidRPr="002A677E" w14:paraId="3E8D6847" w14:textId="77777777" w:rsidTr="00B7446A">
        <w:tc>
          <w:tcPr>
            <w:tcW w:w="3672" w:type="dxa"/>
            <w:shd w:val="clear" w:color="auto" w:fill="auto"/>
          </w:tcPr>
          <w:p w14:paraId="46AD76FC" w14:textId="77777777" w:rsidR="007241D3" w:rsidRPr="002A677E" w:rsidRDefault="007241D3" w:rsidP="00B055FF">
            <w:pPr>
              <w:pStyle w:val="InstructionsText"/>
            </w:pPr>
            <w:r w:rsidRPr="002A677E">
              <w:t xml:space="preserve">NO </w:t>
            </w:r>
            <w:r w:rsidR="002540B2" w:rsidRPr="002A677E">
              <w:rPr>
                <w:noProof/>
                <w:lang w:eastAsia="en-GB"/>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B055FF">
            <w:pPr>
              <w:pStyle w:val="InstructionsText"/>
            </w:pPr>
          </w:p>
        </w:tc>
        <w:tc>
          <w:tcPr>
            <w:tcW w:w="1393" w:type="dxa"/>
            <w:shd w:val="clear" w:color="auto" w:fill="auto"/>
          </w:tcPr>
          <w:p w14:paraId="17DFF95B" w14:textId="77777777" w:rsidR="00581FA5" w:rsidRPr="002A677E" w:rsidRDefault="00581FA5" w:rsidP="00B055FF">
            <w:pPr>
              <w:pStyle w:val="InstructionsText"/>
            </w:pPr>
          </w:p>
        </w:tc>
        <w:tc>
          <w:tcPr>
            <w:tcW w:w="3964" w:type="dxa"/>
            <w:shd w:val="clear" w:color="auto" w:fill="auto"/>
          </w:tcPr>
          <w:p w14:paraId="066DD4E7" w14:textId="77777777" w:rsidR="00581FA5" w:rsidRPr="002A677E" w:rsidRDefault="00581FA5" w:rsidP="00B055FF">
            <w:pPr>
              <w:pStyle w:val="InstructionsText"/>
            </w:pPr>
          </w:p>
        </w:tc>
      </w:tr>
      <w:tr w:rsidR="00581FA5" w:rsidRPr="002A677E" w14:paraId="376F7C8D" w14:textId="77777777" w:rsidTr="00B7446A">
        <w:tc>
          <w:tcPr>
            <w:tcW w:w="9029" w:type="dxa"/>
            <w:gridSpan w:val="3"/>
            <w:shd w:val="clear" w:color="auto" w:fill="auto"/>
          </w:tcPr>
          <w:p w14:paraId="51E634C6" w14:textId="77777777" w:rsidR="00581FA5" w:rsidRPr="002A677E" w:rsidRDefault="00581FA5" w:rsidP="00B055FF">
            <w:pPr>
              <w:pStyle w:val="InstructionsText"/>
            </w:pPr>
            <w:r w:rsidRPr="002A677E">
              <w:t>The exposure classes below are disjoint among themselves. Therefore the assignment to one of them is straightforward.</w:t>
            </w:r>
          </w:p>
          <w:p w14:paraId="078366A0" w14:textId="77777777" w:rsidR="00581FA5" w:rsidRPr="002A677E" w:rsidRDefault="00581FA5" w:rsidP="00B055FF">
            <w:pPr>
              <w:pStyle w:val="InstructionsText"/>
            </w:pPr>
            <w:r w:rsidRPr="002A677E">
              <w:t>Exposures to central governments or central banks</w:t>
            </w:r>
          </w:p>
          <w:p w14:paraId="5704C1AB" w14:textId="77777777" w:rsidR="00581FA5" w:rsidRPr="002A677E" w:rsidRDefault="00581FA5" w:rsidP="00B055FF">
            <w:pPr>
              <w:pStyle w:val="InstructionsText"/>
            </w:pPr>
            <w:r w:rsidRPr="002A677E">
              <w:t>Exposures to regional governments or local authorities</w:t>
            </w:r>
          </w:p>
          <w:p w14:paraId="6C86AA24" w14:textId="77777777" w:rsidR="00581FA5" w:rsidRPr="002A677E" w:rsidRDefault="00581FA5" w:rsidP="00B055FF">
            <w:pPr>
              <w:pStyle w:val="InstructionsText"/>
            </w:pPr>
            <w:r w:rsidRPr="002A677E">
              <w:t>Exposures to public sector entities</w:t>
            </w:r>
          </w:p>
          <w:p w14:paraId="053A0BEF" w14:textId="77777777" w:rsidR="00581FA5" w:rsidRPr="002A677E" w:rsidRDefault="00581FA5" w:rsidP="00B055FF">
            <w:pPr>
              <w:pStyle w:val="InstructionsText"/>
            </w:pPr>
            <w:r w:rsidRPr="002A677E">
              <w:t>Exposures to multilateral development banks</w:t>
            </w:r>
          </w:p>
          <w:p w14:paraId="1EE8962F" w14:textId="77777777" w:rsidR="00581FA5" w:rsidRPr="002A677E" w:rsidRDefault="00581FA5" w:rsidP="00B055FF">
            <w:pPr>
              <w:pStyle w:val="InstructionsText"/>
            </w:pPr>
            <w:r w:rsidRPr="002A677E">
              <w:t>Exposures to international organisations</w:t>
            </w:r>
          </w:p>
          <w:p w14:paraId="5BD6520E" w14:textId="77777777" w:rsidR="00581FA5" w:rsidRPr="002A677E" w:rsidRDefault="00581FA5" w:rsidP="00B055FF">
            <w:pPr>
              <w:pStyle w:val="InstructionsText"/>
            </w:pPr>
            <w:r w:rsidRPr="002A677E">
              <w:t>Exposures to institutions</w:t>
            </w:r>
          </w:p>
          <w:p w14:paraId="4816B9C7" w14:textId="1050A132" w:rsidR="00581FA5" w:rsidRPr="002A677E" w:rsidRDefault="00581FA5" w:rsidP="00B055FF">
            <w:pPr>
              <w:pStyle w:val="InstructionsText"/>
            </w:pPr>
            <w:r w:rsidRPr="002A677E">
              <w:lastRenderedPageBreak/>
              <w:t>Exposures to corporates</w:t>
            </w:r>
            <w:r w:rsidR="00D4260D" w:rsidRPr="004D47EC">
              <w:t xml:space="preserve"> (</w:t>
            </w:r>
            <w:r w:rsidR="004D47EC" w:rsidRPr="004D47EC">
              <w:t>f</w:t>
            </w:r>
            <w:r w:rsidR="00D4260D" w:rsidRPr="004D47EC">
              <w:rPr>
                <w:rStyle w:val="cf01"/>
                <w:rFonts w:ascii="Times New Roman" w:hAnsi="Times New Roman" w:cs="Times New Roman"/>
                <w:sz w:val="24"/>
                <w:szCs w:val="24"/>
              </w:rPr>
              <w:t xml:space="preserve">or reporting purposes this exposure class has been broken down into </w:t>
            </w:r>
            <w:r w:rsidR="004D47EC">
              <w:rPr>
                <w:rStyle w:val="cf01"/>
                <w:rFonts w:ascii="Times New Roman" w:hAnsi="Times New Roman" w:cs="Times New Roman"/>
                <w:sz w:val="24"/>
                <w:szCs w:val="24"/>
              </w:rPr>
              <w:t>two</w:t>
            </w:r>
            <w:r w:rsidR="00D4260D" w:rsidRPr="004D47EC">
              <w:rPr>
                <w:rStyle w:val="cf01"/>
                <w:rFonts w:ascii="Times New Roman" w:hAnsi="Times New Roman" w:cs="Times New Roman"/>
                <w:sz w:val="24"/>
                <w:szCs w:val="24"/>
              </w:rPr>
              <w:t xml:space="preserve"> sub-exposure classes (</w:t>
            </w:r>
            <w:r w:rsidR="00A67F6E">
              <w:rPr>
                <w:rStyle w:val="cf01"/>
                <w:rFonts w:ascii="Times New Roman" w:hAnsi="Times New Roman" w:cs="Times New Roman"/>
                <w:sz w:val="24"/>
                <w:szCs w:val="24"/>
              </w:rPr>
              <w:t>C</w:t>
            </w:r>
            <w:r w:rsidR="00A67F6E">
              <w:rPr>
                <w:rStyle w:val="cf01"/>
                <w:rFonts w:ascii="Times New Roman" w:hAnsi="Times New Roman"/>
                <w:sz w:val="24"/>
                <w:szCs w:val="24"/>
              </w:rPr>
              <w:t>orporates -</w:t>
            </w:r>
            <w:r w:rsidR="002A47C2">
              <w:rPr>
                <w:rStyle w:val="cf01"/>
                <w:rFonts w:ascii="Times New Roman" w:hAnsi="Times New Roman"/>
                <w:sz w:val="24"/>
                <w:szCs w:val="24"/>
              </w:rPr>
              <w:t xml:space="preserve"> </w:t>
            </w:r>
            <w:r w:rsidR="00D4260D" w:rsidRPr="004D47EC">
              <w:rPr>
                <w:rStyle w:val="cf01"/>
                <w:rFonts w:ascii="Times New Roman" w:hAnsi="Times New Roman" w:cs="Times New Roman"/>
                <w:sz w:val="24"/>
                <w:szCs w:val="24"/>
              </w:rPr>
              <w:t xml:space="preserve">Other and </w:t>
            </w:r>
            <w:r w:rsidR="002A47C2">
              <w:rPr>
                <w:rStyle w:val="cf01"/>
                <w:rFonts w:ascii="Times New Roman" w:hAnsi="Times New Roman" w:cs="Times New Roman"/>
                <w:sz w:val="24"/>
                <w:szCs w:val="24"/>
              </w:rPr>
              <w:t>C</w:t>
            </w:r>
            <w:r w:rsidR="002A47C2">
              <w:rPr>
                <w:rStyle w:val="cf01"/>
                <w:rFonts w:ascii="Times New Roman" w:hAnsi="Times New Roman"/>
                <w:sz w:val="24"/>
                <w:szCs w:val="24"/>
              </w:rPr>
              <w:t xml:space="preserve">orporates - </w:t>
            </w:r>
            <w:r w:rsidR="00D4260D" w:rsidRPr="004D47EC">
              <w:rPr>
                <w:rStyle w:val="cf01"/>
                <w:rFonts w:ascii="Times New Roman" w:hAnsi="Times New Roman" w:cs="Times New Roman"/>
                <w:sz w:val="24"/>
                <w:szCs w:val="24"/>
              </w:rPr>
              <w:t>Specialised lend</w:t>
            </w:r>
            <w:r w:rsidR="00BF10AC">
              <w:rPr>
                <w:rStyle w:val="cf01"/>
                <w:rFonts w:ascii="Times New Roman" w:hAnsi="Times New Roman" w:cs="Times New Roman"/>
                <w:sz w:val="24"/>
                <w:szCs w:val="24"/>
              </w:rPr>
              <w:t xml:space="preserve">ing as defined in Article 122a of </w:t>
            </w:r>
            <w:r w:rsidR="00A42617" w:rsidRPr="001235ED">
              <w:rPr>
                <w:lang w:val="en-US"/>
              </w:rPr>
              <w:t>of Regulation (EU) No 575/2013</w:t>
            </w:r>
            <w:r w:rsidR="00A42617">
              <w:rPr>
                <w:lang w:val="en-US"/>
              </w:rPr>
              <w:t>)</w:t>
            </w:r>
            <w:r w:rsidR="00D4260D" w:rsidRPr="004D47EC">
              <w:rPr>
                <w:rStyle w:val="cf01"/>
                <w:rFonts w:ascii="Times New Roman" w:hAnsi="Times New Roman" w:cs="Times New Roman"/>
                <w:sz w:val="24"/>
                <w:szCs w:val="24"/>
              </w:rPr>
              <w:t>.</w:t>
            </w:r>
          </w:p>
          <w:p w14:paraId="2AE1E734" w14:textId="77777777" w:rsidR="00581FA5" w:rsidRPr="002A677E" w:rsidRDefault="00581FA5" w:rsidP="00B055FF">
            <w:pPr>
              <w:pStyle w:val="InstructionsText"/>
            </w:pPr>
            <w:r w:rsidRPr="002A677E">
              <w:t>Retail exposures</w:t>
            </w:r>
          </w:p>
        </w:tc>
      </w:tr>
    </w:tbl>
    <w:p w14:paraId="0275EE59" w14:textId="77777777" w:rsidR="0073242B" w:rsidRPr="002A677E" w:rsidRDefault="0073242B">
      <w:pPr>
        <w:spacing w:before="0" w:after="0"/>
        <w:jc w:val="left"/>
        <w:rPr>
          <w:rFonts w:ascii="Times New Roman" w:hAnsi="Times New Roman"/>
          <w:bCs/>
          <w:sz w:val="24"/>
          <w:lang w:eastAsia="de-DE"/>
        </w:rPr>
      </w:pPr>
      <w:r w:rsidRPr="002A677E">
        <w:rPr>
          <w:rFonts w:ascii="Times New Roman" w:hAnsi="Times New Roman"/>
          <w:sz w:val="24"/>
        </w:rPr>
        <w:lastRenderedPageBreak/>
        <w:br w:type="page"/>
      </w:r>
    </w:p>
    <w:p w14:paraId="014584E8" w14:textId="77777777" w:rsidR="00464F34" w:rsidRPr="002A677E" w:rsidRDefault="00464F34" w:rsidP="00B055FF">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0" w:name="_Toc262568031"/>
      <w:bookmarkStart w:id="191" w:name="_Toc264038429"/>
      <w:bookmarkStart w:id="192" w:name="_Toc292456208"/>
      <w:bookmarkStart w:id="193" w:name="_Toc295829859"/>
      <w:bookmarkStart w:id="194" w:name="_Toc310415023"/>
      <w:bookmarkStart w:id="195" w:name="_Toc360188352"/>
      <w:bookmarkStart w:id="196" w:name="_Toc473560901"/>
      <w:bookmarkStart w:id="197" w:name="_Toc151714389"/>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Clarifications on the scope of some specific exposure classes referred to in Article 112 </w:t>
      </w:r>
      <w:bookmarkEnd w:id="190"/>
      <w:bookmarkEnd w:id="191"/>
      <w:bookmarkEnd w:id="192"/>
      <w:bookmarkEnd w:id="193"/>
      <w:bookmarkEnd w:id="194"/>
      <w:bookmarkEnd w:id="195"/>
      <w:bookmarkEnd w:id="196"/>
      <w:r w:rsidR="00BC6F32" w:rsidRPr="001235ED">
        <w:rPr>
          <w:rFonts w:ascii="Times New Roman" w:hAnsi="Times New Roman"/>
          <w:sz w:val="24"/>
        </w:rPr>
        <w:t>of Regulation (EU) No 575/2013</w:t>
      </w:r>
      <w:bookmarkEnd w:id="197"/>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8" w:name="_Toc360188353"/>
      <w:bookmarkStart w:id="199" w:name="_Toc473560902"/>
      <w:bookmarkStart w:id="200" w:name="_Toc151714390"/>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“Institutions”</w:t>
      </w:r>
      <w:bookmarkEnd w:id="198"/>
      <w:bookmarkEnd w:id="199"/>
      <w:bookmarkEnd w:id="200"/>
    </w:p>
    <w:p w14:paraId="17B6FF43" w14:textId="6C575C37"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66</w:t>
      </w:r>
      <w:r>
        <w:fldChar w:fldCharType="end"/>
      </w:r>
      <w:r w:rsidR="00125707" w:rsidRPr="002A677E">
        <w:t>.</w:t>
      </w:r>
      <w:r w:rsidR="00125707" w:rsidRPr="002A677E">
        <w:tab/>
      </w:r>
      <w:r w:rsidR="00D21B29" w:rsidRPr="002A677E">
        <w:t>I</w:t>
      </w:r>
      <w:r w:rsidR="00464F34" w:rsidRPr="002A677E">
        <w:t xml:space="preserve">ntra-group exposures </w:t>
      </w:r>
      <w:r w:rsidR="00D21B29" w:rsidRPr="002A677E">
        <w:t xml:space="preserve">referred to in </w:t>
      </w:r>
      <w:r w:rsidR="00464F34" w:rsidRPr="002A677E">
        <w:t>Article 113</w:t>
      </w:r>
      <w:r w:rsidR="00B83DDE">
        <w:t>, p</w:t>
      </w:r>
      <w:r w:rsidR="00880E92" w:rsidRPr="002A677E">
        <w:t xml:space="preserve">aragraphs 6 and 7 </w:t>
      </w:r>
      <w:r w:rsidR="00BC6F32" w:rsidRPr="001235ED">
        <w:rPr>
          <w:lang w:val="en-US"/>
        </w:rPr>
        <w:t>of Regulation (EU) No 575/2013</w:t>
      </w:r>
      <w:r w:rsidR="00272F65" w:rsidRPr="002A677E">
        <w:t xml:space="preserve"> shall be </w:t>
      </w:r>
      <w:r w:rsidR="00D21B29" w:rsidRPr="002A677E">
        <w:t xml:space="preserve">reported </w:t>
      </w:r>
      <w:r w:rsidR="00272F65" w:rsidRPr="002A677E">
        <w:t>as follows</w:t>
      </w:r>
      <w:r w:rsidR="00464F34" w:rsidRPr="002A677E">
        <w:t>:</w:t>
      </w:r>
    </w:p>
    <w:p w14:paraId="626B6469" w14:textId="498BC0F6"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67</w:t>
      </w:r>
      <w:r>
        <w:fldChar w:fldCharType="end"/>
      </w:r>
      <w:r w:rsidR="00125707" w:rsidRPr="002A677E">
        <w:t>.</w:t>
      </w:r>
      <w:r w:rsidR="00125707" w:rsidRPr="002A677E">
        <w:tab/>
      </w:r>
      <w:r w:rsidR="00464F34" w:rsidRPr="002A677E">
        <w:t xml:space="preserve">Exposures which fulfil the requirements of Article 113(7) </w:t>
      </w:r>
      <w:r w:rsidR="00BC6F32" w:rsidRPr="001235ED">
        <w:rPr>
          <w:lang w:val="en-US"/>
        </w:rPr>
        <w:t>of Regulation (EU) No 575/2013</w:t>
      </w:r>
      <w:r w:rsidR="00464F34" w:rsidRPr="002A677E">
        <w:t xml:space="preserve"> shall be reported in the respective exposure classes where they would be reported if they were no</w:t>
      </w:r>
      <w:r w:rsidR="00D21B29" w:rsidRPr="002A677E">
        <w:t>t</w:t>
      </w:r>
      <w:r w:rsidR="00464F34" w:rsidRPr="002A677E">
        <w:t xml:space="preserve"> intra-group exposures.</w:t>
      </w:r>
    </w:p>
    <w:p w14:paraId="4CF7FD64" w14:textId="0BD5DAC1"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68</w:t>
      </w:r>
      <w:r>
        <w:fldChar w:fldCharType="end"/>
      </w:r>
      <w:r w:rsidR="00125707" w:rsidRPr="002A677E">
        <w:t>.</w:t>
      </w:r>
      <w:r w:rsidR="00125707" w:rsidRPr="002A677E">
        <w:tab/>
      </w:r>
      <w:r w:rsidR="00464F34" w:rsidRPr="002A677E">
        <w:t xml:space="preserve">According </w:t>
      </w:r>
      <w:r w:rsidR="00D21B29" w:rsidRPr="002A677E">
        <w:t xml:space="preserve">to </w:t>
      </w:r>
      <w:r w:rsidR="00464F34" w:rsidRPr="002A677E">
        <w:t>Article 113</w:t>
      </w:r>
      <w:r w:rsidR="00B83DDE">
        <w:t>, p</w:t>
      </w:r>
      <w:r w:rsidR="00880E92" w:rsidRPr="002A677E">
        <w:t xml:space="preserve">aragraphs 6 and 7 </w:t>
      </w:r>
      <w:r w:rsidR="00BC6F32" w:rsidRPr="001235ED">
        <w:rPr>
          <w:lang w:val="en-US"/>
        </w:rPr>
        <w:t>of Regulation (EU) No 575/2013</w:t>
      </w:r>
      <w:r w:rsidR="00464F34" w:rsidRPr="002A677E">
        <w:t xml:space="preserve"> an institution may, subject to the prior approval of the competent authorities, decide not to apply the requirements of paragraph 1 of th</w:t>
      </w:r>
      <w:r w:rsidR="00D21B29" w:rsidRPr="002A677E">
        <w:t>at</w:t>
      </w:r>
      <w:r w:rsidR="00464F34" w:rsidRPr="002A677E">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2A677E">
        <w:t>at</w:t>
      </w:r>
      <w:r w:rsidR="00464F34" w:rsidRPr="002A677E">
        <w:t xml:space="preserve"> means that intra</w:t>
      </w:r>
      <w:r w:rsidR="00272F65" w:rsidRPr="002A677E">
        <w:t>-</w:t>
      </w:r>
      <w:r w:rsidR="00464F34" w:rsidRPr="002A677E">
        <w:t>group counterparties</w:t>
      </w:r>
      <w:r w:rsidR="00272F65" w:rsidRPr="002A677E">
        <w:t xml:space="preserve"> </w:t>
      </w:r>
      <w:r w:rsidR="00464F34" w:rsidRPr="002A677E">
        <w:t xml:space="preserve">are not necessarily institutions but also undertakings which are assigned to other exposure classes, e.g. ancillary services undertakings or undertakings within the meaning of Article 12(1) of </w:t>
      </w:r>
      <w:r w:rsidR="00D21B29" w:rsidRPr="002A677E">
        <w:t xml:space="preserve">Council </w:t>
      </w:r>
      <w:r w:rsidR="00464F34" w:rsidRPr="002A677E">
        <w:t>Directive 83/349/EEC</w:t>
      </w:r>
      <w:r w:rsidR="00D21B29" w:rsidRPr="002A677E">
        <w:footnoteReference w:id="3"/>
      </w:r>
      <w:r w:rsidR="00464F34" w:rsidRPr="002A677E">
        <w:t>. Therefore intra-group exposures shall be reported in the corresponding exposure class.</w:t>
      </w:r>
    </w:p>
    <w:p w14:paraId="60C0B8B9" w14:textId="1641715B"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01" w:name="_Toc360188354"/>
      <w:bookmarkStart w:id="202" w:name="_Toc473560903"/>
      <w:bookmarkStart w:id="203" w:name="_Toc151714391"/>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“Covered Bonds”</w:t>
      </w:r>
      <w:bookmarkEnd w:id="201"/>
      <w:bookmarkEnd w:id="202"/>
      <w:bookmarkEnd w:id="203"/>
    </w:p>
    <w:p w14:paraId="5C7B716A" w14:textId="78632EC9"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69</w:t>
      </w:r>
      <w:r>
        <w:fldChar w:fldCharType="end"/>
      </w:r>
      <w:r w:rsidR="00125707" w:rsidRPr="002A677E">
        <w:t>.</w:t>
      </w:r>
      <w:r w:rsidR="00125707" w:rsidRPr="002A677E">
        <w:tab/>
      </w:r>
      <w:r w:rsidR="00464F34" w:rsidRPr="002A677E">
        <w:t xml:space="preserve">SA exposures </w:t>
      </w:r>
      <w:r w:rsidR="00D21B29" w:rsidRPr="002A677E">
        <w:t xml:space="preserve">shall be assigned </w:t>
      </w:r>
      <w:r w:rsidR="00464F34" w:rsidRPr="002A677E">
        <w:t xml:space="preserve">to </w:t>
      </w:r>
      <w:r w:rsidR="00272F65" w:rsidRPr="002A677E">
        <w:t xml:space="preserve">the </w:t>
      </w:r>
      <w:r w:rsidR="00464F34" w:rsidRPr="002A677E">
        <w:t>exposure class “covered bonds”</w:t>
      </w:r>
      <w:r w:rsidR="00272F65" w:rsidRPr="002A677E">
        <w:t xml:space="preserve"> as follows</w:t>
      </w:r>
      <w:r w:rsidR="00464F34" w:rsidRPr="002A677E">
        <w:t>:</w:t>
      </w:r>
    </w:p>
    <w:p w14:paraId="06BAD20B" w14:textId="6F4053B2" w:rsidR="00464F34" w:rsidRPr="002A677E"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70</w:t>
      </w:r>
      <w:r>
        <w:fldChar w:fldCharType="end"/>
      </w:r>
      <w:r w:rsidR="00125707" w:rsidRPr="002A677E">
        <w:t>.</w:t>
      </w:r>
      <w:r w:rsidR="00125707" w:rsidRPr="002A677E">
        <w:tab/>
      </w:r>
      <w:r w:rsidR="00464F34" w:rsidRPr="002A677E">
        <w:t xml:space="preserve">Bonds </w:t>
      </w:r>
      <w:r w:rsidR="00D21B29" w:rsidRPr="002A677E">
        <w:t>referred to</w:t>
      </w:r>
      <w:r w:rsidR="00464F34" w:rsidRPr="002A677E">
        <w:t xml:space="preserve"> in Article 52(4) of Directive 2009/65/EC</w:t>
      </w:r>
      <w:r w:rsidR="00D21B29" w:rsidRPr="002A677E">
        <w:t xml:space="preserve"> of the European Parliament and of the Council</w:t>
      </w:r>
      <w:r w:rsidR="00D21B29" w:rsidRPr="002A677E">
        <w:footnoteReference w:id="4"/>
      </w:r>
      <w:r w:rsidR="00464F34" w:rsidRPr="002A677E">
        <w:t xml:space="preserve"> shall fulfil the requirements of Article 129</w:t>
      </w:r>
      <w:r w:rsidR="00B83DDE">
        <w:t>, p</w:t>
      </w:r>
      <w:r w:rsidR="00880E92" w:rsidRPr="002A677E">
        <w:t xml:space="preserve">aragraphs 1 and 2 </w:t>
      </w:r>
      <w:r w:rsidR="00BC6F32" w:rsidRPr="001235ED">
        <w:rPr>
          <w:lang w:val="en-US"/>
        </w:rPr>
        <w:t>of Regulation (EU) No 575/2013</w:t>
      </w:r>
      <w:r w:rsidR="00464F34" w:rsidRPr="002A677E">
        <w:t xml:space="preserve"> to be classified in the exposure class “Covered Bonds”. The fulfilment of those requirements has to be checked in each case. Nevertheless, bonds </w:t>
      </w:r>
      <w:r w:rsidR="00D21B29" w:rsidRPr="002A677E">
        <w:t>referred to in</w:t>
      </w:r>
      <w:r w:rsidR="00464F34" w:rsidRPr="002A677E">
        <w:t xml:space="preserve"> Article 52(4) of Directive 2009/65/EC and issued before 31 December 2007 </w:t>
      </w:r>
      <w:r w:rsidR="00D21B29" w:rsidRPr="002A677E">
        <w:t xml:space="preserve">shall </w:t>
      </w:r>
      <w:r w:rsidR="00464F34" w:rsidRPr="002A677E">
        <w:t xml:space="preserve">also </w:t>
      </w:r>
      <w:r w:rsidR="00D21B29" w:rsidRPr="002A677E">
        <w:t xml:space="preserve">be </w:t>
      </w:r>
      <w:r w:rsidR="00464F34" w:rsidRPr="002A677E">
        <w:t xml:space="preserve">assigned to the exposure class “Covered Bonds” </w:t>
      </w:r>
      <w:r w:rsidR="00D21B29" w:rsidRPr="002A677E">
        <w:t>pursuant to</w:t>
      </w:r>
      <w:r w:rsidR="00464F34" w:rsidRPr="002A677E">
        <w:t xml:space="preserve"> Article </w:t>
      </w:r>
      <w:r w:rsidR="000565B6" w:rsidRPr="002A677E">
        <w:t>129(6</w:t>
      </w:r>
      <w:r w:rsidR="00464F34" w:rsidRPr="002A677E">
        <w:t xml:space="preserve">) </w:t>
      </w:r>
      <w:r w:rsidR="00BC6F32" w:rsidRPr="001235ED">
        <w:rPr>
          <w:lang w:val="en-US"/>
        </w:rPr>
        <w:t>of Regulation (EU) No 575/2013</w:t>
      </w:r>
      <w:r w:rsidR="00464F34" w:rsidRPr="002A677E">
        <w:t>.</w:t>
      </w:r>
    </w:p>
    <w:p w14:paraId="48189E00" w14:textId="2901EF84"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04" w:name="_Toc360188355"/>
      <w:bookmarkStart w:id="205" w:name="_Toc473560904"/>
      <w:bookmarkStart w:id="206" w:name="_Toc151714392"/>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“Collective Investment Undertakings”</w:t>
      </w:r>
      <w:bookmarkEnd w:id="204"/>
      <w:bookmarkEnd w:id="205"/>
      <w:bookmarkEnd w:id="206"/>
    </w:p>
    <w:p w14:paraId="46F93F1C" w14:textId="1DDF74E1" w:rsidR="002C2A8F" w:rsidRDefault="008F3052" w:rsidP="00660F94">
      <w:pPr>
        <w:pStyle w:val="InstructionsText2"/>
        <w:numPr>
          <w:ilvl w:val="0"/>
          <w:numId w:val="0"/>
        </w:numPr>
        <w:ind w:left="1353" w:hanging="360"/>
      </w:pPr>
      <w:r>
        <w:fldChar w:fldCharType="begin"/>
      </w:r>
      <w:r>
        <w:instrText>seq paragraphs</w:instrText>
      </w:r>
      <w:r>
        <w:fldChar w:fldCharType="separate"/>
      </w:r>
      <w:r w:rsidR="005E3D5A">
        <w:rPr>
          <w:noProof/>
        </w:rPr>
        <w:t>71</w:t>
      </w:r>
      <w:r>
        <w:fldChar w:fldCharType="end"/>
      </w:r>
      <w:r w:rsidR="00125707" w:rsidRPr="002A677E">
        <w:t>.</w:t>
      </w:r>
      <w:r w:rsidR="00125707" w:rsidRPr="002A677E">
        <w:tab/>
      </w:r>
      <w:r w:rsidR="00272F65" w:rsidRPr="002A677E">
        <w:t>Where</w:t>
      </w:r>
      <w:r w:rsidR="00464F34" w:rsidRPr="002A677E">
        <w:t xml:space="preserve"> the possibility </w:t>
      </w:r>
      <w:r w:rsidR="00D21B29" w:rsidRPr="002A677E">
        <w:t>referred to in</w:t>
      </w:r>
      <w:r w:rsidR="00464F34" w:rsidRPr="002A677E">
        <w:t xml:space="preserve"> Article 132</w:t>
      </w:r>
      <w:r w:rsidR="00922F04" w:rsidRPr="002A677E">
        <w:t>a</w:t>
      </w:r>
      <w:r w:rsidR="00F84BC7" w:rsidRPr="002A677E">
        <w:t xml:space="preserve"> (2)</w:t>
      </w:r>
      <w:r w:rsidR="00464F34" w:rsidRPr="002A677E">
        <w:t xml:space="preserve"> </w:t>
      </w:r>
      <w:r w:rsidR="00BC6F32" w:rsidRPr="001235ED">
        <w:rPr>
          <w:lang w:val="en-US"/>
        </w:rPr>
        <w:t>of Regulation (EU) No 575/2013</w:t>
      </w:r>
      <w:r w:rsidR="00464F34" w:rsidRPr="002A677E">
        <w:t xml:space="preserve"> is used</w:t>
      </w:r>
      <w:r w:rsidR="00272F65" w:rsidRPr="002A677E">
        <w:t xml:space="preserve">, exposures in the form of </w:t>
      </w:r>
      <w:r w:rsidR="00887A83" w:rsidRPr="002A677E">
        <w:t xml:space="preserve">units or shares in </w:t>
      </w:r>
      <w:r w:rsidR="00272F65" w:rsidRPr="002A677E">
        <w:t xml:space="preserve">CIUs shall be </w:t>
      </w:r>
      <w:r w:rsidR="00464F34" w:rsidRPr="002A677E">
        <w:t xml:space="preserve">reported as on balance sheet items </w:t>
      </w:r>
      <w:r w:rsidR="00BB22D4" w:rsidRPr="002A677E">
        <w:t>in accordance with</w:t>
      </w:r>
      <w:r w:rsidR="00464F34" w:rsidRPr="002A677E">
        <w:t xml:space="preserve"> </w:t>
      </w:r>
      <w:r w:rsidR="00D21B29" w:rsidRPr="002A677E">
        <w:t xml:space="preserve">the first sentence in </w:t>
      </w:r>
      <w:r w:rsidR="00464F34" w:rsidRPr="002A677E">
        <w:t xml:space="preserve">Article 111(1) </w:t>
      </w:r>
      <w:r w:rsidR="00BC6F32" w:rsidRPr="001235ED">
        <w:rPr>
          <w:lang w:val="en-US"/>
        </w:rPr>
        <w:t>of Regulation (EU) No 575/2013</w:t>
      </w:r>
      <w:r w:rsidR="00464F34" w:rsidRPr="002A677E">
        <w:t xml:space="preserve">. </w:t>
      </w:r>
    </w:p>
    <w:p w14:paraId="1BF121E6" w14:textId="4BEAA11A" w:rsidR="009F3079" w:rsidRPr="007A4181" w:rsidRDefault="009F3079" w:rsidP="0047337A">
      <w:pPr>
        <w:pStyle w:val="InstructionsText2"/>
        <w:numPr>
          <w:ilvl w:val="0"/>
          <w:numId w:val="0"/>
        </w:numPr>
        <w:rPr>
          <w:rFonts w:eastAsia="Arial"/>
        </w:rPr>
      </w:pPr>
      <w:r w:rsidRPr="007A4181">
        <w:rPr>
          <w:rFonts w:eastAsia="Arial"/>
        </w:rPr>
        <w:lastRenderedPageBreak/>
        <w:t>3.2.4.4 Exposure class “Secured by mortgages on immovable property and ADC exposures”</w:t>
      </w:r>
    </w:p>
    <w:p w14:paraId="0CAE264F" w14:textId="39BD9580" w:rsidR="009F3079" w:rsidRDefault="006834AB" w:rsidP="0047337A">
      <w:pPr>
        <w:pStyle w:val="InstructionsText2"/>
        <w:numPr>
          <w:ilvl w:val="0"/>
          <w:numId w:val="0"/>
        </w:numPr>
        <w:ind w:left="993"/>
        <w:rPr>
          <w:noProof/>
        </w:rPr>
      </w:pPr>
      <w:r>
        <w:rPr>
          <w:noProof/>
        </w:rPr>
        <w:t>71a</w:t>
      </w:r>
      <w:r w:rsidR="002A2EB4">
        <w:rPr>
          <w:noProof/>
        </w:rPr>
        <w:t xml:space="preserve">. </w:t>
      </w:r>
      <w:r w:rsidR="009F3079" w:rsidRPr="00386B14">
        <w:rPr>
          <w:noProof/>
        </w:rPr>
        <w:t>For the purposes of reporting, the exposure class referred to in Article 112 (i) of Regulation (EU) No 575/2013 is broken down in sub-exposure classes:</w:t>
      </w:r>
    </w:p>
    <w:p w14:paraId="74B4FD27" w14:textId="77777777" w:rsidR="00794226" w:rsidRDefault="00794226" w:rsidP="0047337A">
      <w:pPr>
        <w:pStyle w:val="InstructionsText2"/>
        <w:numPr>
          <w:ilvl w:val="0"/>
          <w:numId w:val="0"/>
        </w:numPr>
        <w:rPr>
          <w:rFonts w:eastAsia="Arial"/>
        </w:rPr>
      </w:pPr>
      <w:r>
        <w:rPr>
          <w:rFonts w:eastAsia="Arial"/>
        </w:rPr>
        <w:t>a.</w:t>
      </w:r>
      <w:r w:rsidRPr="005D59CD">
        <w:rPr>
          <w:rFonts w:eastAsia="Arial"/>
        </w:rPr>
        <w:t>Secured by mortgages on residential immovable property - non-IPRE</w:t>
      </w:r>
      <w:r>
        <w:rPr>
          <w:rFonts w:eastAsia="Arial"/>
        </w:rPr>
        <w:t xml:space="preserve"> (secured):</w:t>
      </w:r>
    </w:p>
    <w:p w14:paraId="5E60A545" w14:textId="6E8B50A5" w:rsidR="00794226" w:rsidRPr="000A5B47" w:rsidRDefault="00794226" w:rsidP="00794226">
      <w:pPr>
        <w:pStyle w:val="ListParagraph"/>
        <w:numPr>
          <w:ilvl w:val="0"/>
          <w:numId w:val="71"/>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125(1)</w:t>
      </w:r>
      <w:r w:rsidR="00706BDF">
        <w:rPr>
          <w:rFonts w:ascii="Times New Roman" w:hAnsi="Times New Roman"/>
          <w:sz w:val="24"/>
          <w14:ligatures w14:val="standardContextual"/>
        </w:rPr>
        <w:t>, point (a)</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Regulation (EU) No 575/2013;</w:t>
      </w:r>
    </w:p>
    <w:p w14:paraId="3CB13BAE" w14:textId="5193D8C6" w:rsidR="00794226" w:rsidRPr="00ED4738" w:rsidRDefault="00794226" w:rsidP="00794226">
      <w:pPr>
        <w:pStyle w:val="ListParagraph"/>
        <w:numPr>
          <w:ilvl w:val="0"/>
          <w:numId w:val="71"/>
        </w:numPr>
        <w:spacing w:before="0" w:after="0"/>
        <w:jc w:val="left"/>
        <w:rPr>
          <w:rStyle w:val="ui-provider"/>
          <w:rFonts w:ascii="Times New Roman" w:hAnsi="Times New Roman"/>
          <w:sz w:val="24"/>
        </w:rPr>
      </w:pPr>
      <w:r w:rsidRPr="00ED4738">
        <w:rPr>
          <w:rFonts w:ascii="Times New Roman" w:hAnsi="Times New Roman"/>
          <w:sz w:val="24"/>
        </w:rPr>
        <w:t xml:space="preserve">IPRE exposures meeting </w:t>
      </w:r>
      <w:r w:rsidRPr="00ED4738">
        <w:rPr>
          <w:rFonts w:ascii="Times New Roman" w:hAnsi="Times New Roman"/>
          <w:sz w:val="24"/>
          <w14:ligatures w14:val="standardContextual"/>
        </w:rPr>
        <w:t xml:space="preserve">any of the conditions laid down in Article 124(2), point (a)(ii), points (1) to (4) of </w:t>
      </w:r>
      <w:r w:rsidRPr="00ED4738">
        <w:rPr>
          <w:rStyle w:val="ui-provider"/>
          <w:rFonts w:ascii="Times New Roman" w:hAnsi="Times New Roman"/>
          <w:sz w:val="24"/>
        </w:rPr>
        <w:t>Regulation (EU) No 575/2013;</w:t>
      </w:r>
    </w:p>
    <w:p w14:paraId="764B6676" w14:textId="6D3DA705" w:rsidR="00794226" w:rsidRPr="000A5B47" w:rsidRDefault="00794226" w:rsidP="00794226">
      <w:pPr>
        <w:pStyle w:val="ListParagraph"/>
        <w:numPr>
          <w:ilvl w:val="0"/>
          <w:numId w:val="71"/>
        </w:numPr>
        <w:spacing w:before="0" w:after="0"/>
        <w:jc w:val="left"/>
        <w:rPr>
          <w:rStyle w:val="ui-provider"/>
          <w:rFonts w:ascii="Times New Roman" w:hAnsi="Times New Roman"/>
          <w:sz w:val="24"/>
        </w:rPr>
      </w:pPr>
      <w:r w:rsidRPr="00ED4738">
        <w:rPr>
          <w:rStyle w:val="ui-provider"/>
          <w:rFonts w:ascii="Times New Roman" w:hAnsi="Times New Roman"/>
          <w:sz w:val="24"/>
        </w:rPr>
        <w:t>IPRE exposures where the derogation set out in Article 125(2) of Regulation (EU) No 575/2013, subparagraph 2 is applied.</w:t>
      </w:r>
    </w:p>
    <w:p w14:paraId="45A6BE6B" w14:textId="77777777" w:rsidR="00794226" w:rsidRPr="00ED4738" w:rsidRDefault="00794226" w:rsidP="00794226">
      <w:pPr>
        <w:spacing w:before="0" w:after="0"/>
        <w:ind w:left="993"/>
        <w:jc w:val="left"/>
        <w:rPr>
          <w:rFonts w:ascii="Times New Roman" w:hAnsi="Times New Roman"/>
          <w:sz w:val="24"/>
        </w:rPr>
      </w:pPr>
      <w:r w:rsidRPr="00ED4738">
        <w:rPr>
          <w:rStyle w:val="ui-provider"/>
          <w:rFonts w:ascii="Times New Roman" w:hAnsi="Times New Roman"/>
          <w:sz w:val="24"/>
        </w:rPr>
        <w:t xml:space="preserve"> </w:t>
      </w:r>
    </w:p>
    <w:p w14:paraId="28E3EAF6" w14:textId="46CBE937" w:rsidR="00794226" w:rsidRPr="009C7083" w:rsidRDefault="00794226" w:rsidP="0047337A">
      <w:pPr>
        <w:pStyle w:val="InstructionsText2"/>
        <w:numPr>
          <w:ilvl w:val="0"/>
          <w:numId w:val="0"/>
        </w:numPr>
        <w:rPr>
          <w:rFonts w:eastAsia="Arial"/>
        </w:rPr>
      </w:pPr>
      <w:r>
        <w:rPr>
          <w:rFonts w:eastAsia="Arial"/>
        </w:rPr>
        <w:t>b.</w:t>
      </w:r>
      <w:r w:rsidRPr="005D59CD">
        <w:rPr>
          <w:rFonts w:eastAsia="Arial"/>
        </w:rPr>
        <w:t>Secured by mortgages on residential immovable property - non-IPRE</w:t>
      </w:r>
      <w:r>
        <w:rPr>
          <w:rFonts w:eastAsia="Arial"/>
        </w:rPr>
        <w:t xml:space="preserve"> (unsecured): </w:t>
      </w:r>
      <w:r w:rsidRPr="000059B8">
        <w:rPr>
          <w:rFonts w:eastAsia="Arial"/>
        </w:rPr>
        <w:t xml:space="preserve">Same as above paragraph, </w:t>
      </w:r>
      <w:r w:rsidR="00BB0CF4" w:rsidRPr="000059B8">
        <w:rPr>
          <w:rFonts w:eastAsia="Arial"/>
        </w:rPr>
        <w:t>only</w:t>
      </w:r>
      <w:r w:rsidRPr="000059B8">
        <w:rPr>
          <w:rFonts w:eastAsia="Arial"/>
        </w:rPr>
        <w:t xml:space="preserve"> for the part of the exposure risk-weighted as an exposure to the counterparty that is not secured by residential property, in accordance with Article 125(1), point (b) of Regulation (EU) No 575/2013.</w:t>
      </w:r>
    </w:p>
    <w:p w14:paraId="4AB99BE9" w14:textId="77777777" w:rsidR="00794226" w:rsidRPr="000059B8" w:rsidRDefault="00794226" w:rsidP="0047337A">
      <w:pPr>
        <w:pStyle w:val="InstructionsText2"/>
        <w:numPr>
          <w:ilvl w:val="0"/>
          <w:numId w:val="0"/>
        </w:numPr>
        <w:rPr>
          <w:rFonts w:eastAsia="Arial"/>
        </w:rPr>
      </w:pPr>
      <w:r>
        <w:rPr>
          <w:rFonts w:eastAsia="Arial"/>
        </w:rPr>
        <w:t>c.</w:t>
      </w:r>
      <w:r w:rsidRPr="00D924A5">
        <w:rPr>
          <w:rFonts w:eastAsia="Arial"/>
        </w:rPr>
        <w:t>Secured by mortgages on residential immovable property – IPRE:</w:t>
      </w:r>
      <w:r w:rsidRPr="000059B8">
        <w:rPr>
          <w:rFonts w:eastAsia="Arial"/>
        </w:rPr>
        <w:t xml:space="preserve"> Article 125(2) of Regulation (EU) No 575/2013</w:t>
      </w:r>
    </w:p>
    <w:p w14:paraId="4D9F0A7E" w14:textId="77777777" w:rsidR="00794226" w:rsidRPr="000059B8" w:rsidRDefault="00794226" w:rsidP="0047337A">
      <w:pPr>
        <w:pStyle w:val="InstructionsText2"/>
        <w:numPr>
          <w:ilvl w:val="0"/>
          <w:numId w:val="0"/>
        </w:numPr>
        <w:rPr>
          <w:rFonts w:eastAsia="Arial"/>
        </w:rPr>
      </w:pPr>
      <w:r w:rsidRPr="000059B8">
        <w:rPr>
          <w:rFonts w:eastAsia="Arial"/>
        </w:rPr>
        <w:t>d.Secured by mortgages on commercial immovable property - non-IPRE (secured)</w:t>
      </w:r>
    </w:p>
    <w:p w14:paraId="69625D3C" w14:textId="3C556674" w:rsidR="00794226" w:rsidRPr="001E6A9E" w:rsidRDefault="00794226" w:rsidP="00794226">
      <w:pPr>
        <w:pStyle w:val="ListParagraph"/>
        <w:numPr>
          <w:ilvl w:val="0"/>
          <w:numId w:val="73"/>
        </w:numPr>
        <w:spacing w:before="0" w:after="0"/>
        <w:jc w:val="left"/>
        <w:rPr>
          <w:rStyle w:val="ui-provider"/>
          <w:rFonts w:ascii="Times New Roman" w:hAnsi="Times New Roman"/>
          <w:sz w:val="24"/>
          <w:lang w:eastAsia="de-DE"/>
        </w:rPr>
      </w:pP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126(1)</w:t>
      </w:r>
      <w:r w:rsidR="00706BDF">
        <w:rPr>
          <w:rFonts w:ascii="Times New Roman" w:hAnsi="Times New Roman"/>
          <w:sz w:val="24"/>
          <w14:ligatures w14:val="standardContextual"/>
        </w:rPr>
        <w:t>, point (a)</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Regulation (EU) No 575/2013;</w:t>
      </w:r>
    </w:p>
    <w:p w14:paraId="7D9FC25A" w14:textId="369B7AF9" w:rsidR="00794226" w:rsidRDefault="00794226" w:rsidP="00794226">
      <w:pPr>
        <w:pStyle w:val="ListParagraph"/>
        <w:numPr>
          <w:ilvl w:val="0"/>
          <w:numId w:val="73"/>
        </w:numPr>
        <w:spacing w:before="0" w:after="0"/>
        <w:jc w:val="left"/>
        <w:rPr>
          <w:rStyle w:val="ui-provider"/>
          <w:rFonts w:ascii="Times New Roman" w:hAnsi="Times New Roman"/>
          <w:sz w:val="24"/>
        </w:rPr>
      </w:pPr>
      <w:r w:rsidRPr="00ED4738">
        <w:rPr>
          <w:rStyle w:val="ui-provider"/>
          <w:rFonts w:ascii="Times New Roman" w:hAnsi="Times New Roman"/>
          <w:sz w:val="24"/>
        </w:rPr>
        <w:t xml:space="preserve">IPRE exposures where the derogation set out in Article 126(2) of Regulation (EU) No 575/2013, subparagraph 2 is applied. </w:t>
      </w:r>
    </w:p>
    <w:p w14:paraId="74EFE4B0" w14:textId="77777777" w:rsidR="00794226" w:rsidRPr="00ED4738" w:rsidRDefault="00794226" w:rsidP="00794226">
      <w:pPr>
        <w:pStyle w:val="ListParagraph"/>
        <w:spacing w:before="0" w:after="0"/>
        <w:ind w:left="1713"/>
        <w:jc w:val="left"/>
        <w:rPr>
          <w:rFonts w:ascii="Times New Roman" w:hAnsi="Times New Roman"/>
          <w:sz w:val="24"/>
        </w:rPr>
      </w:pPr>
    </w:p>
    <w:p w14:paraId="322526A7" w14:textId="3730A966" w:rsidR="00794226" w:rsidRPr="006834AB" w:rsidRDefault="00794226" w:rsidP="0047337A">
      <w:pPr>
        <w:pStyle w:val="InstructionsText2"/>
        <w:numPr>
          <w:ilvl w:val="0"/>
          <w:numId w:val="0"/>
        </w:numPr>
        <w:rPr>
          <w:noProof/>
        </w:rPr>
      </w:pPr>
      <w:r>
        <w:rPr>
          <w:noProof/>
        </w:rPr>
        <w:t>e.</w:t>
      </w:r>
      <w:r w:rsidRPr="00D924A5">
        <w:rPr>
          <w:noProof/>
        </w:rPr>
        <w:t>Secured by mortgages on commercial immovable property - non-IPRE</w:t>
      </w:r>
      <w:r>
        <w:rPr>
          <w:noProof/>
        </w:rPr>
        <w:t xml:space="preserve"> (unsecured): </w:t>
      </w:r>
      <w:r w:rsidRPr="009C7083">
        <w:rPr>
          <w:noProof/>
        </w:rPr>
        <w:t xml:space="preserve">Same as above paragraph, </w:t>
      </w:r>
      <w:r w:rsidR="00BB0CF4">
        <w:rPr>
          <w:noProof/>
        </w:rPr>
        <w:t>only</w:t>
      </w:r>
      <w:r w:rsidRPr="009C7083">
        <w:rPr>
          <w:noProof/>
        </w:rPr>
        <w:t xml:space="preserve"> </w:t>
      </w:r>
      <w:r w:rsidRPr="00ED4738">
        <w:rPr>
          <w:noProof/>
        </w:rPr>
        <w:t>for the part of the exposure risk-weighted as an exposure to the counterparty that is not secured by residential property, in accordance with</w:t>
      </w:r>
      <w:r w:rsidRPr="009C7083">
        <w:rPr>
          <w:noProof/>
        </w:rPr>
        <w:t xml:space="preserve"> </w:t>
      </w:r>
      <w:r w:rsidRPr="00ED4738">
        <w:rPr>
          <w:noProof/>
        </w:rPr>
        <w:t>Article [12</w:t>
      </w:r>
      <w:r>
        <w:rPr>
          <w:noProof/>
        </w:rPr>
        <w:t>6</w:t>
      </w:r>
      <w:r w:rsidRPr="00ED4738">
        <w:rPr>
          <w:noProof/>
        </w:rPr>
        <w:t>(1), point (b) of Regulation (EU) No 575/2013.</w:t>
      </w:r>
    </w:p>
    <w:p w14:paraId="5648B21A" w14:textId="77777777" w:rsidR="00794226" w:rsidRPr="00D924A5" w:rsidRDefault="00794226" w:rsidP="0047337A">
      <w:pPr>
        <w:pStyle w:val="InstructionsText2"/>
        <w:numPr>
          <w:ilvl w:val="0"/>
          <w:numId w:val="0"/>
        </w:numPr>
        <w:rPr>
          <w:noProof/>
        </w:rPr>
      </w:pPr>
      <w:r>
        <w:rPr>
          <w:noProof/>
        </w:rPr>
        <w:t>f.</w:t>
      </w:r>
      <w:r w:rsidRPr="00D924A5">
        <w:rPr>
          <w:noProof/>
        </w:rPr>
        <w:t>Secured by mortgages on commercial immovable property – IPRE</w:t>
      </w:r>
      <w:r>
        <w:rPr>
          <w:noProof/>
        </w:rPr>
        <w:t xml:space="preserve">: </w:t>
      </w:r>
      <w:r w:rsidRPr="00D924A5">
        <w:rPr>
          <w:noProof/>
        </w:rPr>
        <w:t>Article 126(2) of Regulation (EU) No 575/2013</w:t>
      </w:r>
    </w:p>
    <w:p w14:paraId="3DE57CB1" w14:textId="77777777" w:rsidR="00794226" w:rsidRPr="00D924A5" w:rsidRDefault="00794226" w:rsidP="0047337A">
      <w:pPr>
        <w:pStyle w:val="InstructionsText2"/>
        <w:numPr>
          <w:ilvl w:val="0"/>
          <w:numId w:val="0"/>
        </w:numPr>
        <w:rPr>
          <w:noProof/>
        </w:rPr>
      </w:pPr>
      <w:r>
        <w:rPr>
          <w:noProof/>
        </w:rPr>
        <w:t>g.</w:t>
      </w:r>
      <w:r w:rsidRPr="00D924A5">
        <w:rPr>
          <w:noProof/>
        </w:rPr>
        <w:t>Secured by mortgages on immovable property - Other - non-IPRE</w:t>
      </w:r>
      <w:r>
        <w:rPr>
          <w:noProof/>
        </w:rPr>
        <w:t xml:space="preserve">: </w:t>
      </w:r>
      <w:r w:rsidRPr="00D924A5">
        <w:rPr>
          <w:noProof/>
        </w:rPr>
        <w:t xml:space="preserve">Exposures that do not meet the conditions in Article 124(3), </w:t>
      </w:r>
      <w:r w:rsidRPr="00A4258D">
        <w:rPr>
          <w:noProof/>
        </w:rPr>
        <w:t>or any part of a non -ADC exposure that exceeds the nominal amount of the lien of the property</w:t>
      </w:r>
      <w:r w:rsidRPr="00D924A5">
        <w:rPr>
          <w:noProof/>
        </w:rPr>
        <w:t xml:space="preserve"> referred to in Article 124(1), point (a) of Regulation (EU) No 575/2013.</w:t>
      </w:r>
    </w:p>
    <w:p w14:paraId="27ED65B3" w14:textId="77777777" w:rsidR="00794226" w:rsidRPr="00C221BC" w:rsidRDefault="00794226" w:rsidP="0047337A">
      <w:pPr>
        <w:pStyle w:val="InstructionsText2"/>
        <w:numPr>
          <w:ilvl w:val="0"/>
          <w:numId w:val="0"/>
        </w:numPr>
        <w:rPr>
          <w:noProof/>
        </w:rPr>
      </w:pPr>
      <w:r>
        <w:rPr>
          <w:noProof/>
        </w:rPr>
        <w:t>h</w:t>
      </w:r>
      <w:r w:rsidRPr="00D924A5">
        <w:rPr>
          <w:noProof/>
        </w:rPr>
        <w:t>. Secured by mortgages on immovable property - Other – IPRE</w:t>
      </w:r>
      <w:r>
        <w:rPr>
          <w:noProof/>
        </w:rPr>
        <w:t xml:space="preserve">: </w:t>
      </w:r>
      <w:r w:rsidRPr="00D924A5">
        <w:rPr>
          <w:noProof/>
        </w:rPr>
        <w:t xml:space="preserve">Exposures that do not meet the conditions in Article 124(3) </w:t>
      </w:r>
      <w:r w:rsidRPr="002A47C2">
        <w:rPr>
          <w:lang w:eastAsia="en-US"/>
          <w14:ligatures w14:val="standardContextual"/>
        </w:rPr>
        <w:t>or any part of a non -ADC exposure that exceeds the nominal amount of the lien of the property</w:t>
      </w:r>
      <w:r w:rsidRPr="00D924A5">
        <w:rPr>
          <w:noProof/>
        </w:rPr>
        <w:t>,</w:t>
      </w:r>
      <w:r>
        <w:rPr>
          <w:noProof/>
        </w:rPr>
        <w:t xml:space="preserve"> referred to in Article 124(1), point (b) of</w:t>
      </w:r>
      <w:r w:rsidRPr="00B904B7">
        <w:rPr>
          <w:noProof/>
        </w:rPr>
        <w:t xml:space="preserve"> </w:t>
      </w:r>
      <w:r w:rsidRPr="00C221BC">
        <w:rPr>
          <w:noProof/>
        </w:rPr>
        <w:t>Regulation (EU) No 575/2013.</w:t>
      </w:r>
    </w:p>
    <w:p w14:paraId="3F5E3B6B" w14:textId="20C5CB61" w:rsidR="00794226" w:rsidRPr="00386B14" w:rsidRDefault="00794226" w:rsidP="0047337A">
      <w:pPr>
        <w:pStyle w:val="InstructionsText2"/>
        <w:numPr>
          <w:ilvl w:val="0"/>
          <w:numId w:val="0"/>
        </w:numPr>
        <w:rPr>
          <w:noProof/>
        </w:rPr>
      </w:pPr>
      <w:r>
        <w:rPr>
          <w:noProof/>
        </w:rPr>
        <w:t>i</w:t>
      </w:r>
      <w:r w:rsidRPr="00C221BC">
        <w:rPr>
          <w:noProof/>
        </w:rPr>
        <w:t xml:space="preserve">. </w:t>
      </w:r>
      <w:r w:rsidR="0036244D">
        <w:rPr>
          <w:noProof/>
        </w:rPr>
        <w:t>Land, a</w:t>
      </w:r>
      <w:r w:rsidRPr="00C221BC">
        <w:rPr>
          <w:noProof/>
        </w:rPr>
        <w:t xml:space="preserve">cquisition, development and construction </w:t>
      </w:r>
      <w:r w:rsidR="00B14895">
        <w:rPr>
          <w:noProof/>
        </w:rPr>
        <w:t>exposures</w:t>
      </w:r>
      <w:r w:rsidRPr="00C221BC">
        <w:rPr>
          <w:noProof/>
        </w:rPr>
        <w:t xml:space="preserve"> (ADC)</w:t>
      </w:r>
      <w:r>
        <w:rPr>
          <w:noProof/>
        </w:rPr>
        <w:t xml:space="preserve">: </w:t>
      </w:r>
      <w:r w:rsidRPr="00C221BC">
        <w:rPr>
          <w:noProof/>
        </w:rPr>
        <w:t>Article 126a of Regulation (EU) No 575/2013</w:t>
      </w:r>
    </w:p>
    <w:p w14:paraId="1B11FBAF" w14:textId="6625BA9D" w:rsidR="009F3079" w:rsidRPr="007A4181" w:rsidRDefault="000D335F" w:rsidP="0047337A">
      <w:pPr>
        <w:pStyle w:val="InstructionsText2"/>
        <w:numPr>
          <w:ilvl w:val="0"/>
          <w:numId w:val="0"/>
        </w:numPr>
        <w:rPr>
          <w:rFonts w:eastAsia="Arial"/>
        </w:rPr>
      </w:pPr>
      <w:r w:rsidRPr="007A4181">
        <w:rPr>
          <w:rFonts w:eastAsia="Arial"/>
        </w:rPr>
        <w:t xml:space="preserve">3.2.4.5 Exposure class </w:t>
      </w:r>
      <w:r w:rsidR="005221FD" w:rsidRPr="007A4181">
        <w:rPr>
          <w:rFonts w:eastAsia="Arial"/>
        </w:rPr>
        <w:t>“Corporates”</w:t>
      </w:r>
    </w:p>
    <w:p w14:paraId="0327A460" w14:textId="04C2C203" w:rsidR="005221FD" w:rsidRPr="002A677E" w:rsidRDefault="006834AB" w:rsidP="0047337A">
      <w:pPr>
        <w:pStyle w:val="InstructionsText2"/>
        <w:numPr>
          <w:ilvl w:val="0"/>
          <w:numId w:val="0"/>
        </w:numPr>
      </w:pPr>
      <w:r>
        <w:rPr>
          <w:noProof/>
        </w:rPr>
        <w:lastRenderedPageBreak/>
        <w:t>71b</w:t>
      </w:r>
      <w:r w:rsidR="003F09E4">
        <w:rPr>
          <w:noProof/>
        </w:rPr>
        <w:t xml:space="preserve">. </w:t>
      </w:r>
      <w:r w:rsidR="000010F6">
        <w:rPr>
          <w:noProof/>
        </w:rPr>
        <w:t>F</w:t>
      </w:r>
      <w:r w:rsidR="005221FD" w:rsidRPr="007A4181">
        <w:t>or reporting purposes this exposure class has been broken down into two sub-exposure classes (</w:t>
      </w:r>
      <w:r w:rsidR="004D41E8">
        <w:t xml:space="preserve">Corporates - </w:t>
      </w:r>
      <w:r w:rsidR="005221FD" w:rsidRPr="007A4181">
        <w:t xml:space="preserve">Other and </w:t>
      </w:r>
      <w:r w:rsidR="004D41E8">
        <w:t xml:space="preserve">Corporates - </w:t>
      </w:r>
      <w:r w:rsidR="005221FD" w:rsidRPr="007A4181">
        <w:t>Specialised lending as defined in Article 122a of Regulation (EU) No 575/2013).</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7" w:name="_Toc262568032"/>
      <w:bookmarkStart w:id="208" w:name="_Toc264038430"/>
      <w:bookmarkStart w:id="209" w:name="_Toc292456209"/>
      <w:bookmarkStart w:id="210" w:name="_Toc295829860"/>
      <w:bookmarkStart w:id="211" w:name="_Toc310415024"/>
      <w:bookmarkStart w:id="212" w:name="_Toc360188356"/>
      <w:bookmarkStart w:id="213" w:name="_Toc473560905"/>
      <w:bookmarkStart w:id="214" w:name="_Toc151714393"/>
      <w:r w:rsidRPr="002A677E">
        <w:rPr>
          <w:rFonts w:ascii="Times New Roman" w:hAnsi="Times New Roman" w:cs="Times New Roman"/>
          <w:sz w:val="24"/>
          <w:u w:val="none"/>
          <w:lang w:val="en-GB"/>
        </w:rPr>
        <w:t>3.2.5.</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Instructions concerning specific positions</w:t>
      </w:r>
      <w:bookmarkEnd w:id="207"/>
      <w:bookmarkEnd w:id="208"/>
      <w:bookmarkEnd w:id="209"/>
      <w:bookmarkEnd w:id="210"/>
      <w:bookmarkEnd w:id="211"/>
      <w:bookmarkEnd w:id="212"/>
      <w:bookmarkEnd w:id="213"/>
      <w:bookmarkEnd w:id="2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1C0539FB">
        <w:trPr>
          <w:trHeight w:val="581"/>
        </w:trPr>
        <w:tc>
          <w:tcPr>
            <w:tcW w:w="9828" w:type="dxa"/>
            <w:gridSpan w:val="2"/>
            <w:shd w:val="clear" w:color="auto" w:fill="CCCCCC"/>
          </w:tcPr>
          <w:p w14:paraId="76571629" w14:textId="77777777" w:rsidR="00464F34" w:rsidRPr="002A677E" w:rsidRDefault="00464F34" w:rsidP="00B055FF">
            <w:pPr>
              <w:pStyle w:val="InstructionsText"/>
            </w:pPr>
            <w:r w:rsidRPr="002A677E">
              <w:t>Columns</w:t>
            </w:r>
          </w:p>
        </w:tc>
      </w:tr>
      <w:tr w:rsidR="00464F34" w:rsidRPr="002A677E" w14:paraId="24F75782" w14:textId="77777777" w:rsidTr="1C0539FB">
        <w:tc>
          <w:tcPr>
            <w:tcW w:w="1188" w:type="dxa"/>
          </w:tcPr>
          <w:p w14:paraId="644D1401" w14:textId="77777777" w:rsidR="00464F34" w:rsidRPr="002A677E" w:rsidRDefault="00FF15C6" w:rsidP="00B055FF">
            <w:pPr>
              <w:pStyle w:val="InstructionsText"/>
            </w:pPr>
            <w:r w:rsidRPr="002A677E">
              <w:t>0</w:t>
            </w:r>
            <w:r w:rsidR="00464F34" w:rsidRPr="002A677E">
              <w:t>010</w:t>
            </w:r>
          </w:p>
        </w:tc>
        <w:tc>
          <w:tcPr>
            <w:tcW w:w="8640" w:type="dxa"/>
          </w:tcPr>
          <w:p w14:paraId="7C054386"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0FC71B9" w14:textId="4AE4FB26" w:rsidR="00464F34" w:rsidRPr="002A677E" w:rsidRDefault="00464F34" w:rsidP="00B055FF">
            <w:pPr>
              <w:pStyle w:val="InstructionsText"/>
            </w:pPr>
            <w:r w:rsidRPr="002A677E">
              <w:t>Exposure value</w:t>
            </w:r>
            <w:r w:rsidR="00531FC9" w:rsidRPr="002A677E">
              <w:t xml:space="preserve"> </w:t>
            </w:r>
            <w:r w:rsidR="00167619" w:rsidRPr="002A677E">
              <w:t xml:space="preserve">calculated </w:t>
            </w:r>
            <w:r w:rsidR="00BB22D4" w:rsidRPr="002A677E">
              <w:t>in accordance with</w:t>
            </w:r>
            <w:r w:rsidR="00531FC9" w:rsidRPr="002A677E">
              <w:t xml:space="preserve"> Article 111 </w:t>
            </w:r>
            <w:r w:rsidR="00BC6F32" w:rsidRPr="001235ED">
              <w:rPr>
                <w:lang w:val="en-US"/>
              </w:rPr>
              <w:t>of Regulation (EU) No 575/2013</w:t>
            </w:r>
            <w:r w:rsidRPr="002A677E">
              <w:t xml:space="preserve"> without taking into account value adjustments and provisions,</w:t>
            </w:r>
            <w:r w:rsidR="0029716F" w:rsidRPr="002A677E">
              <w:t xml:space="preserve"> deductions,</w:t>
            </w:r>
            <w:r w:rsidRPr="002A677E">
              <w:t xml:space="preserve"> conversion factors and the effect of credit risk mitigation techniques with the following qualifications stemming from Article 111(2) </w:t>
            </w:r>
            <w:r w:rsidR="00BC6F32" w:rsidRPr="001235ED">
              <w:rPr>
                <w:lang w:val="en-US"/>
              </w:rPr>
              <w:t>of Regulation (EU) No 575/2013</w:t>
            </w:r>
            <w:r w:rsidRPr="002A677E">
              <w:t>:</w:t>
            </w:r>
          </w:p>
          <w:p w14:paraId="1FA3C4C3" w14:textId="3EEE96A6" w:rsidR="00464F34" w:rsidRPr="002A677E" w:rsidRDefault="00464F34" w:rsidP="00B055FF">
            <w:pPr>
              <w:pStyle w:val="InstructionsText"/>
            </w:pPr>
            <w:r w:rsidRPr="002A677E">
              <w:t xml:space="preserve">For </w:t>
            </w:r>
            <w:r w:rsidR="00922F04" w:rsidRPr="002A677E">
              <w:t xml:space="preserve">Derivative </w:t>
            </w:r>
            <w:r w:rsidRPr="002A677E">
              <w:t xml:space="preserve">instruments, repurchase transactions, securities or commodities lending or borrowing transactions, long settlement transactions and margin lending transactions subject to </w:t>
            </w:r>
            <w:r w:rsidR="00D90713" w:rsidRPr="002A677E">
              <w:t>counterparty credit risk (</w:t>
            </w:r>
            <w:r w:rsidR="00D21B29" w:rsidRPr="002A677E">
              <w:t>P</w:t>
            </w:r>
            <w:r w:rsidRPr="002A677E">
              <w:t xml:space="preserve">art </w:t>
            </w:r>
            <w:r w:rsidR="00D21B29" w:rsidRPr="002A677E">
              <w:t>Three</w:t>
            </w:r>
            <w:r w:rsidR="00BC6F32" w:rsidRPr="002A677E">
              <w:t>,</w:t>
            </w:r>
            <w:r w:rsidRPr="002A677E">
              <w:t xml:space="preserve"> </w:t>
            </w:r>
            <w:r w:rsidR="00BC6F32" w:rsidRPr="002A677E">
              <w:t xml:space="preserve">Title II, Chapter 4 or Chapter 6 </w:t>
            </w:r>
            <w:r w:rsidR="00BC6F32" w:rsidRPr="001235ED">
              <w:rPr>
                <w:lang w:val="en-US"/>
              </w:rPr>
              <w:t>of Regulation (EU) No 575/2013</w:t>
            </w:r>
            <w:r w:rsidR="00D90713" w:rsidRPr="002A677E">
              <w:t>)</w:t>
            </w:r>
            <w:r w:rsidRPr="002A677E">
              <w:t xml:space="preserve"> the original exposure </w:t>
            </w:r>
            <w:r w:rsidR="00B811B0" w:rsidRPr="002A677E">
              <w:t>shall</w:t>
            </w:r>
            <w:r w:rsidRPr="002A677E">
              <w:t xml:space="preserve"> correspond to the Exposure Value for Counterparty Credit Risk </w:t>
            </w:r>
            <w:r w:rsidR="00D90713" w:rsidRPr="002A677E">
              <w:t xml:space="preserve">(see instructions to column </w:t>
            </w:r>
            <w:r w:rsidR="00E32BAE" w:rsidRPr="002A677E">
              <w:t>0</w:t>
            </w:r>
            <w:r w:rsidR="00D90713" w:rsidRPr="002A677E">
              <w:t xml:space="preserve">210). </w:t>
            </w:r>
          </w:p>
          <w:p w14:paraId="68C03EBC" w14:textId="621633CC" w:rsidR="00464F34" w:rsidRPr="002A677E" w:rsidRDefault="00464F34" w:rsidP="00B055FF">
            <w:pPr>
              <w:pStyle w:val="InstructionsText"/>
            </w:pPr>
            <w:r w:rsidRPr="002A677E">
              <w:t xml:space="preserve">Exposure values for leases </w:t>
            </w:r>
            <w:r w:rsidR="00D21B29" w:rsidRPr="002A677E">
              <w:t xml:space="preserve">shall be </w:t>
            </w:r>
            <w:r w:rsidRPr="002A677E">
              <w:t xml:space="preserve">subject to Article 134(7) </w:t>
            </w:r>
            <w:r w:rsidR="00BC6F32" w:rsidRPr="001235ED">
              <w:rPr>
                <w:lang w:val="en-US"/>
              </w:rPr>
              <w:t>of Regulation (EU) No 575/2013</w:t>
            </w:r>
            <w:r w:rsidRPr="002A677E">
              <w:t xml:space="preserve">. </w:t>
            </w:r>
            <w:r w:rsidR="0029630E" w:rsidRPr="002A677E">
              <w:t>In particular, the residual value shall be included at its accounting value (i.e. the discounted estimated residual value at the end of the lease term).</w:t>
            </w:r>
          </w:p>
          <w:p w14:paraId="3233A098" w14:textId="08CDFC9E" w:rsidR="00464F34" w:rsidRPr="002A677E" w:rsidRDefault="00464F34" w:rsidP="00B055FF">
            <w:pPr>
              <w:pStyle w:val="InstructionsText"/>
            </w:pPr>
            <w:r w:rsidRPr="002A677E">
              <w:t xml:space="preserve">In </w:t>
            </w:r>
            <w:r w:rsidR="00D21B29" w:rsidRPr="002A677E">
              <w:t xml:space="preserve">the </w:t>
            </w:r>
            <w:r w:rsidRPr="002A677E">
              <w:t xml:space="preserve">case of on-balance sheet netting </w:t>
            </w:r>
            <w:r w:rsidR="00D21B29" w:rsidRPr="002A677E">
              <w:t xml:space="preserve">as </w:t>
            </w:r>
            <w:r w:rsidRPr="002A677E">
              <w:t xml:space="preserve">laid down in Article 219 </w:t>
            </w:r>
            <w:r w:rsidR="00BC6F32" w:rsidRPr="001235ED">
              <w:rPr>
                <w:lang w:val="en-US"/>
              </w:rPr>
              <w:t>of Regulation (EU) No 575/2013</w:t>
            </w:r>
            <w:r w:rsidR="00167619" w:rsidRPr="002A677E">
              <w:t>,</w:t>
            </w:r>
            <w:r w:rsidRPr="002A677E">
              <w:t xml:space="preserve"> the exposure values shall be reported </w:t>
            </w:r>
            <w:r w:rsidR="00110F40" w:rsidRPr="002A677E">
              <w:t>taking into account the</w:t>
            </w:r>
            <w:r w:rsidRPr="002A677E">
              <w:t xml:space="preserve"> </w:t>
            </w:r>
            <w:r w:rsidR="00D21B29" w:rsidRPr="002A677E">
              <w:t xml:space="preserve">amount of </w:t>
            </w:r>
            <w:r w:rsidRPr="002A677E">
              <w:t>the received cash collateral.</w:t>
            </w:r>
          </w:p>
          <w:p w14:paraId="01A4A916" w14:textId="4DC10891" w:rsidR="00464F34" w:rsidRPr="002A677E" w:rsidRDefault="00464F34" w:rsidP="00B055FF">
            <w:pPr>
              <w:pStyle w:val="InstructionsText"/>
            </w:pPr>
          </w:p>
        </w:tc>
      </w:tr>
      <w:tr w:rsidR="00464F34" w:rsidRPr="002A677E" w14:paraId="1BBFC377" w14:textId="77777777" w:rsidTr="1C0539FB">
        <w:tc>
          <w:tcPr>
            <w:tcW w:w="1188" w:type="dxa"/>
          </w:tcPr>
          <w:p w14:paraId="3FE4D7A4" w14:textId="77777777" w:rsidR="00464F34" w:rsidRPr="002A677E" w:rsidRDefault="00464F34" w:rsidP="00B055FF">
            <w:pPr>
              <w:pStyle w:val="InstructionsText"/>
            </w:pPr>
            <w:r w:rsidRPr="002A677E">
              <w:t>0</w:t>
            </w:r>
            <w:r w:rsidR="00FF15C6" w:rsidRPr="002A677E">
              <w:t>0</w:t>
            </w:r>
            <w:r w:rsidRPr="002A677E">
              <w:t>30</w:t>
            </w:r>
          </w:p>
        </w:tc>
        <w:tc>
          <w:tcPr>
            <w:tcW w:w="8640" w:type="dxa"/>
          </w:tcPr>
          <w:p w14:paraId="49318382"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Value adjustments and provision</w:t>
            </w:r>
            <w:r w:rsidR="0029716F"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 associated with the original exposure</w:t>
            </w:r>
          </w:p>
          <w:p w14:paraId="0B8EFAFB" w14:textId="5FAE1090"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w:t>
            </w:r>
            <w:r w:rsidR="00531FC9" w:rsidRPr="002A677E">
              <w:rPr>
                <w:rStyle w:val="InstructionsTabelleberschrift"/>
                <w:rFonts w:ascii="Times New Roman" w:hAnsi="Times New Roman"/>
                <w:sz w:val="24"/>
              </w:rPr>
              <w:t>1</w:t>
            </w:r>
            <w:r w:rsidRPr="002A677E">
              <w:rPr>
                <w:rStyle w:val="InstructionsTabelleberschrift"/>
                <w:rFonts w:ascii="Times New Roman" w:hAnsi="Times New Roman"/>
                <w:sz w:val="24"/>
              </w:rPr>
              <w:t xml:space="preserve"> </w:t>
            </w:r>
            <w:r w:rsidR="00BC6F32" w:rsidRPr="002A677E">
              <w:rPr>
                <w:rStyle w:val="InstructionsTabelleberschrift"/>
                <w:rFonts w:ascii="Times New Roman" w:hAnsi="Times New Roman"/>
                <w:sz w:val="24"/>
              </w:rPr>
              <w:t>of Regulation (EU) No 575/2013</w:t>
            </w:r>
          </w:p>
          <w:p w14:paraId="073F201E" w14:textId="12220AE7" w:rsidR="00464F34" w:rsidRPr="002A677E" w:rsidRDefault="00464F34" w:rsidP="00B055FF">
            <w:pPr>
              <w:pStyle w:val="InstructionsText"/>
            </w:pPr>
            <w:r w:rsidRPr="002A677E">
              <w:t>Value adjustments and provisions</w:t>
            </w:r>
            <w:r w:rsidR="0016072E" w:rsidRPr="002A677E">
              <w:t xml:space="preserve"> </w:t>
            </w:r>
            <w:r w:rsidRPr="002A677E">
              <w:t xml:space="preserve">for credit losses </w:t>
            </w:r>
            <w:r w:rsidR="0029716F" w:rsidRPr="002A677E">
              <w:t xml:space="preserve">(credit risk adjustments in accordance with Article 110) </w:t>
            </w:r>
            <w:r w:rsidRPr="002A677E">
              <w:t>made in accordance with the accounting framework to which the reporting entity is subject</w:t>
            </w:r>
            <w:r w:rsidR="00841645" w:rsidRPr="002A677E">
              <w:t>, as well as prudential value adjustments</w:t>
            </w:r>
            <w:r w:rsidR="0029716F" w:rsidRPr="002A677E">
              <w:t xml:space="preserve"> (additional value adjustments in accordance with Article 34 and 105, amounts deducted in accordance with </w:t>
            </w:r>
            <w:r w:rsidR="00880E92" w:rsidRPr="002A677E">
              <w:t>Article 36(1)</w:t>
            </w:r>
            <w:r w:rsidR="00B83DDE">
              <w:t>, p</w:t>
            </w:r>
            <w:r w:rsidR="0029716F" w:rsidRPr="002A677E">
              <w:t>oint (m) and other own funds reductions related to the asset item).</w:t>
            </w:r>
          </w:p>
        </w:tc>
      </w:tr>
      <w:tr w:rsidR="00464F34" w:rsidRPr="002A677E" w14:paraId="4A8C44A4" w14:textId="77777777" w:rsidTr="1C0539FB">
        <w:tc>
          <w:tcPr>
            <w:tcW w:w="1188" w:type="dxa"/>
          </w:tcPr>
          <w:p w14:paraId="26BA7849" w14:textId="77777777" w:rsidR="00464F34" w:rsidRPr="002A677E" w:rsidRDefault="00FF15C6" w:rsidP="00B055FF">
            <w:pPr>
              <w:pStyle w:val="InstructionsText"/>
            </w:pPr>
            <w:r w:rsidRPr="002A677E">
              <w:t>0</w:t>
            </w:r>
            <w:r w:rsidR="00464F34" w:rsidRPr="002A677E">
              <w:t>040</w:t>
            </w:r>
          </w:p>
        </w:tc>
        <w:tc>
          <w:tcPr>
            <w:tcW w:w="8640" w:type="dxa"/>
          </w:tcPr>
          <w:p w14:paraId="5AA54A01" w14:textId="77777777" w:rsidR="00464F34" w:rsidRPr="002A677E" w:rsidRDefault="00464F34" w:rsidP="00B055FF">
            <w:pPr>
              <w:pStyle w:val="InstructionsText"/>
            </w:pPr>
            <w:r w:rsidRPr="002A677E">
              <w:rPr>
                <w:rStyle w:val="InstructionsTabelleberschrift"/>
                <w:rFonts w:ascii="Times New Roman" w:hAnsi="Times New Roman"/>
                <w:sz w:val="24"/>
              </w:rPr>
              <w:t>Exposure net of value adjustments and provisions</w:t>
            </w:r>
          </w:p>
          <w:p w14:paraId="1214FF21" w14:textId="77777777" w:rsidR="00464F34" w:rsidRPr="002A677E" w:rsidRDefault="00464F34" w:rsidP="00B055FF">
            <w:pPr>
              <w:pStyle w:val="InstructionsText"/>
            </w:pPr>
            <w:r w:rsidRPr="002A677E">
              <w:t xml:space="preserve">Sum of columns </w:t>
            </w:r>
            <w:r w:rsidR="00FF15C6" w:rsidRPr="002A677E">
              <w:t>0</w:t>
            </w:r>
            <w:r w:rsidRPr="002A677E">
              <w:t xml:space="preserve">010 and </w:t>
            </w:r>
            <w:r w:rsidR="00FF15C6" w:rsidRPr="002A677E">
              <w:t>0</w:t>
            </w:r>
            <w:r w:rsidRPr="002A677E">
              <w:t>030</w:t>
            </w:r>
          </w:p>
        </w:tc>
      </w:tr>
      <w:tr w:rsidR="00464F34" w:rsidRPr="002A677E" w14:paraId="712048B3" w14:textId="77777777" w:rsidTr="1C0539FB">
        <w:tc>
          <w:tcPr>
            <w:tcW w:w="1188" w:type="dxa"/>
          </w:tcPr>
          <w:p w14:paraId="02323581" w14:textId="77777777" w:rsidR="00464F34" w:rsidRPr="002A677E" w:rsidRDefault="00FF15C6" w:rsidP="00B055FF">
            <w:pPr>
              <w:pStyle w:val="InstructionsText"/>
            </w:pPr>
            <w:r w:rsidRPr="002A677E">
              <w:t>0</w:t>
            </w:r>
            <w:r w:rsidR="00464F34" w:rsidRPr="002A677E">
              <w:t xml:space="preserve">050 - </w:t>
            </w:r>
            <w:r w:rsidRPr="002A677E">
              <w:t>0</w:t>
            </w:r>
            <w:r w:rsidR="00464F34" w:rsidRPr="002A677E">
              <w:t>100</w:t>
            </w:r>
          </w:p>
        </w:tc>
        <w:tc>
          <w:tcPr>
            <w:tcW w:w="8640" w:type="dxa"/>
          </w:tcPr>
          <w:p w14:paraId="5B3B34E2"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968A397" w14:textId="3CC2EF1B" w:rsidR="00464F34" w:rsidRPr="002A677E" w:rsidRDefault="00464F34" w:rsidP="00B055FF">
            <w:pPr>
              <w:pStyle w:val="InstructionsText"/>
            </w:pPr>
            <w:r w:rsidRPr="002A677E">
              <w:t>Credit risk mitigation techniques as defined in Article 4(</w:t>
            </w:r>
            <w:r w:rsidR="00214FDA" w:rsidRPr="002A677E">
              <w:t>1</w:t>
            </w:r>
            <w:r w:rsidRPr="002A677E">
              <w:t>)</w:t>
            </w:r>
            <w:r w:rsidR="00B83DDE">
              <w:t>, p</w:t>
            </w:r>
            <w:r w:rsidR="00880E92" w:rsidRPr="002A677E">
              <w:t>oint (57)</w:t>
            </w:r>
            <w:r w:rsidR="00FF1617">
              <w:t>,</w:t>
            </w:r>
            <w:r w:rsidR="00880E92" w:rsidRPr="002A677E">
              <w:t xml:space="preserve"> </w:t>
            </w:r>
            <w:r w:rsidR="00F37BEE" w:rsidRPr="001235ED">
              <w:rPr>
                <w:lang w:val="en-US"/>
              </w:rPr>
              <w:t>of Regulation (EU) No 575/2013</w:t>
            </w:r>
            <w:r w:rsidRPr="002A677E">
              <w:t xml:space="preserve"> that reduce the credit risk of an exposure or exposures via the substitution of exposures as de</w:t>
            </w:r>
            <w:r w:rsidR="00110F40" w:rsidRPr="002A677E">
              <w:t>scribed</w:t>
            </w:r>
            <w:r w:rsidRPr="002A677E">
              <w:t xml:space="preserve"> below in </w:t>
            </w:r>
            <w:r w:rsidR="00167619" w:rsidRPr="002A677E">
              <w:t>“</w:t>
            </w:r>
            <w:r w:rsidRPr="002A677E">
              <w:t>Substitution of the exposure due to CRM</w:t>
            </w:r>
            <w:r w:rsidR="00167619" w:rsidRPr="002A677E">
              <w:t>”.</w:t>
            </w:r>
          </w:p>
          <w:p w14:paraId="0E58880A" w14:textId="77777777" w:rsidR="00464F34" w:rsidRPr="002A677E" w:rsidRDefault="00D21B29" w:rsidP="00B055FF">
            <w:pPr>
              <w:pStyle w:val="InstructionsText"/>
            </w:pPr>
            <w:r w:rsidRPr="002A677E">
              <w:t>C</w:t>
            </w:r>
            <w:r w:rsidR="00464F34" w:rsidRPr="002A677E">
              <w:t xml:space="preserve">ollateral </w:t>
            </w:r>
            <w:r w:rsidRPr="002A677E">
              <w:t xml:space="preserve">that </w:t>
            </w:r>
            <w:r w:rsidR="00464F34" w:rsidRPr="002A677E">
              <w:t>has an effect on the exposure value (e.g. if used for credit risk mitigation techniques with substitution effects on the exposure) shall be capped at the exposure value.</w:t>
            </w:r>
          </w:p>
          <w:p w14:paraId="7567933D" w14:textId="77777777" w:rsidR="00464F34" w:rsidRPr="002A677E" w:rsidRDefault="00464F34" w:rsidP="00B055FF">
            <w:pPr>
              <w:pStyle w:val="InstructionsText"/>
            </w:pPr>
            <w:r w:rsidRPr="002A677E">
              <w:lastRenderedPageBreak/>
              <w:t>Items to be reported here:</w:t>
            </w:r>
          </w:p>
          <w:p w14:paraId="2188806D" w14:textId="77777777" w:rsidR="00464F34" w:rsidRPr="002A677E" w:rsidRDefault="00125707" w:rsidP="00B055FF">
            <w:pPr>
              <w:pStyle w:val="InstructionsText"/>
            </w:pPr>
            <w:r w:rsidRPr="002A677E">
              <w:rPr>
                <w:rFonts w:ascii="Arial" w:hAnsi="Arial"/>
              </w:rPr>
              <w:t>-</w:t>
            </w:r>
            <w:r w:rsidRPr="002A677E">
              <w:rPr>
                <w:rFonts w:ascii="Arial" w:hAnsi="Arial"/>
              </w:rPr>
              <w:tab/>
            </w:r>
            <w:r w:rsidR="00464F34" w:rsidRPr="002A677E">
              <w:t xml:space="preserve">collateral, incorporated </w:t>
            </w:r>
            <w:r w:rsidR="00BB22D4" w:rsidRPr="002A677E">
              <w:t>in accordance with</w:t>
            </w:r>
            <w:r w:rsidR="00167619" w:rsidRPr="002A677E">
              <w:t xml:space="preserve"> the</w:t>
            </w:r>
            <w:r w:rsidR="00464F34" w:rsidRPr="002A677E">
              <w:t xml:space="preserve"> Financial Collateral Simple Method;</w:t>
            </w:r>
          </w:p>
          <w:p w14:paraId="0CB3936B" w14:textId="77777777" w:rsidR="00464F34" w:rsidRPr="002A677E" w:rsidRDefault="00125707" w:rsidP="00B055FF">
            <w:pPr>
              <w:pStyle w:val="InstructionsText"/>
            </w:pPr>
            <w:r w:rsidRPr="002A677E">
              <w:rPr>
                <w:rFonts w:ascii="Arial" w:hAnsi="Arial"/>
              </w:rPr>
              <w:t>-</w:t>
            </w:r>
            <w:r w:rsidRPr="002A677E">
              <w:rPr>
                <w:rFonts w:ascii="Arial" w:hAnsi="Arial"/>
              </w:rPr>
              <w:tab/>
            </w:r>
            <w:r w:rsidR="00464F34" w:rsidRPr="002A677E">
              <w:t>eligible unfunded credit protection.</w:t>
            </w:r>
          </w:p>
          <w:p w14:paraId="602B1DBA" w14:textId="77777777" w:rsidR="00464F34" w:rsidRPr="002A677E" w:rsidRDefault="00464F34" w:rsidP="00B055FF">
            <w:pPr>
              <w:pStyle w:val="InstructionsText"/>
            </w:pPr>
            <w:r w:rsidRPr="002A677E">
              <w:t xml:space="preserve">Please also see instructions of point </w:t>
            </w:r>
            <w:r w:rsidR="00E10B85" w:rsidRPr="002A677E">
              <w:t>3</w:t>
            </w:r>
            <w:r w:rsidRPr="002A677E">
              <w:t>.1.1.</w:t>
            </w:r>
          </w:p>
        </w:tc>
      </w:tr>
      <w:tr w:rsidR="00464F34" w:rsidRPr="002A677E" w14:paraId="4BC98ACC" w14:textId="77777777" w:rsidTr="1C0539FB">
        <w:tc>
          <w:tcPr>
            <w:tcW w:w="1188" w:type="dxa"/>
          </w:tcPr>
          <w:p w14:paraId="7E91FCF3" w14:textId="77777777" w:rsidR="00464F34" w:rsidRPr="002A677E" w:rsidRDefault="00FF15C6" w:rsidP="00B055FF">
            <w:pPr>
              <w:pStyle w:val="InstructionsText"/>
            </w:pPr>
            <w:r w:rsidRPr="002A677E">
              <w:lastRenderedPageBreak/>
              <w:t>0</w:t>
            </w:r>
            <w:r w:rsidR="00464F34" w:rsidRPr="002A677E">
              <w:t xml:space="preserve">050 - </w:t>
            </w:r>
            <w:r w:rsidRPr="002A677E">
              <w:t>0</w:t>
            </w:r>
            <w:r w:rsidR="00464F34" w:rsidRPr="002A677E">
              <w:t>060</w:t>
            </w:r>
          </w:p>
        </w:tc>
        <w:tc>
          <w:tcPr>
            <w:tcW w:w="8640" w:type="dxa"/>
          </w:tcPr>
          <w:p w14:paraId="41A1F548"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00D21B29"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7D4BA07F" w14:textId="39B40366" w:rsidR="00464F34" w:rsidRPr="002A677E" w:rsidRDefault="00464F34" w:rsidP="00B055FF">
            <w:pPr>
              <w:pStyle w:val="InstructionsText"/>
            </w:pPr>
            <w:r w:rsidRPr="002A677E">
              <w:t xml:space="preserve">Article 235 </w:t>
            </w:r>
            <w:r w:rsidR="00F37BEE" w:rsidRPr="001235ED">
              <w:rPr>
                <w:lang w:val="en-US"/>
              </w:rPr>
              <w:t>of Regulation (EU) No 575/2013</w:t>
            </w:r>
          </w:p>
          <w:p w14:paraId="59592411" w14:textId="49F34342" w:rsidR="00464F34" w:rsidRPr="002A677E" w:rsidRDefault="00464F34" w:rsidP="00B055FF">
            <w:pPr>
              <w:pStyle w:val="InstructionsText"/>
            </w:pPr>
            <w:r w:rsidRPr="002A677E">
              <w:t xml:space="preserve">Article 239(3) </w:t>
            </w:r>
            <w:r w:rsidR="00F37BEE" w:rsidRPr="001235ED">
              <w:rPr>
                <w:lang w:val="en-US"/>
              </w:rPr>
              <w:t>of Regulation (EU) No 575/2013</w:t>
            </w:r>
            <w:r w:rsidRPr="002A677E">
              <w:t xml:space="preserve"> </w:t>
            </w:r>
            <w:r w:rsidR="00167619" w:rsidRPr="002A677E">
              <w:t xml:space="preserve">contains the formula for the calculation of </w:t>
            </w:r>
            <w:r w:rsidRPr="002A677E">
              <w:t>the adjusted value G</w:t>
            </w:r>
            <w:r w:rsidR="00D21B29" w:rsidRPr="002A677E">
              <w:rPr>
                <w:vertAlign w:val="subscript"/>
              </w:rPr>
              <w:t>A</w:t>
            </w:r>
            <w:r w:rsidRPr="002A677E">
              <w:t xml:space="preserve"> of an unfunded credit protection.</w:t>
            </w:r>
          </w:p>
        </w:tc>
      </w:tr>
      <w:tr w:rsidR="00464F34" w:rsidRPr="002A677E" w14:paraId="48AF65C0" w14:textId="77777777" w:rsidTr="1C0539FB">
        <w:tc>
          <w:tcPr>
            <w:tcW w:w="1188" w:type="dxa"/>
          </w:tcPr>
          <w:p w14:paraId="0DDEA029" w14:textId="77777777" w:rsidR="00464F34" w:rsidRPr="002A677E" w:rsidRDefault="00FF15C6" w:rsidP="00B055FF">
            <w:pPr>
              <w:pStyle w:val="InstructionsText"/>
            </w:pPr>
            <w:r w:rsidRPr="002A677E">
              <w:t>0</w:t>
            </w:r>
            <w:r w:rsidR="00464F34" w:rsidRPr="002A677E">
              <w:t>050</w:t>
            </w:r>
          </w:p>
        </w:tc>
        <w:tc>
          <w:tcPr>
            <w:tcW w:w="8640" w:type="dxa"/>
          </w:tcPr>
          <w:p w14:paraId="30B2F586"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C81EB19" w14:textId="146827B3" w:rsidR="00464F34" w:rsidRPr="002A677E" w:rsidRDefault="00464F34" w:rsidP="00B055FF">
            <w:pPr>
              <w:pStyle w:val="InstructionsText"/>
            </w:pPr>
            <w:r w:rsidRPr="002A677E">
              <w:t xml:space="preserve">Article 203 </w:t>
            </w:r>
            <w:r w:rsidR="00F37BEE" w:rsidRPr="001235ED">
              <w:rPr>
                <w:lang w:val="en-US"/>
              </w:rPr>
              <w:t>of Regulation (EU) No 575/2013</w:t>
            </w:r>
          </w:p>
          <w:p w14:paraId="7F24FA9D" w14:textId="1D5BA189" w:rsidR="00464F34" w:rsidRPr="002A677E" w:rsidRDefault="00464F34" w:rsidP="00B055FF">
            <w:pPr>
              <w:pStyle w:val="InstructionsText"/>
              <w:rPr>
                <w:b/>
                <w:u w:val="single"/>
              </w:rPr>
            </w:pPr>
            <w:r w:rsidRPr="002A677E">
              <w:t>Unfunded Credit Protection as defined in Article 4(</w:t>
            </w:r>
            <w:r w:rsidR="00214FDA" w:rsidRPr="002A677E">
              <w:t>1</w:t>
            </w:r>
            <w:r w:rsidRPr="002A677E">
              <w:t>)</w:t>
            </w:r>
            <w:r w:rsidR="00B83DDE">
              <w:t>, p</w:t>
            </w:r>
            <w:r w:rsidR="00880E92" w:rsidRPr="002A677E">
              <w:t>oint (59)</w:t>
            </w:r>
            <w:r w:rsidR="00FF1617">
              <w:t>,</w:t>
            </w:r>
            <w:r w:rsidR="00880E92" w:rsidRPr="002A677E">
              <w:t xml:space="preserve"> </w:t>
            </w:r>
            <w:r w:rsidR="00F37BEE" w:rsidRPr="001235ED">
              <w:rPr>
                <w:lang w:val="en-US"/>
              </w:rPr>
              <w:t>of Regulation (EU) No 575/2013</w:t>
            </w:r>
            <w:r w:rsidRPr="002A677E">
              <w:t xml:space="preserve"> </w:t>
            </w:r>
            <w:r w:rsidR="00D21B29" w:rsidRPr="002A677E">
              <w:t xml:space="preserve">which does not include </w:t>
            </w:r>
            <w:r w:rsidRPr="002A677E">
              <w:t>Credit Derivatives.</w:t>
            </w:r>
          </w:p>
        </w:tc>
      </w:tr>
      <w:tr w:rsidR="00464F34" w:rsidRPr="002A677E" w14:paraId="5C08D386" w14:textId="77777777" w:rsidTr="1C0539FB">
        <w:tc>
          <w:tcPr>
            <w:tcW w:w="1188" w:type="dxa"/>
          </w:tcPr>
          <w:p w14:paraId="0BDF5563" w14:textId="77777777" w:rsidR="00464F34" w:rsidRPr="002A677E" w:rsidRDefault="00464F34" w:rsidP="00B055FF">
            <w:pPr>
              <w:pStyle w:val="InstructionsText"/>
            </w:pPr>
            <w:r w:rsidRPr="002A677E">
              <w:t>0</w:t>
            </w:r>
            <w:r w:rsidR="00FF15C6" w:rsidRPr="002A677E">
              <w:t>0</w:t>
            </w:r>
            <w:r w:rsidRPr="002A677E">
              <w:t>60</w:t>
            </w:r>
          </w:p>
        </w:tc>
        <w:tc>
          <w:tcPr>
            <w:tcW w:w="8640" w:type="dxa"/>
          </w:tcPr>
          <w:p w14:paraId="11DB7A41"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2BEDC770" w14:textId="433557C8" w:rsidR="00464F34" w:rsidRPr="002A677E" w:rsidRDefault="1BA5554B" w:rsidP="00B055FF">
            <w:pPr>
              <w:pStyle w:val="InstructionsText"/>
              <w:rPr>
                <w:b/>
                <w:bCs/>
                <w:u w:val="single"/>
              </w:rPr>
            </w:pPr>
            <w:r>
              <w:t xml:space="preserve">Article 204 </w:t>
            </w:r>
            <w:r w:rsidR="48F1B0E0" w:rsidRPr="24B43B11">
              <w:rPr>
                <w:lang w:val="en-US"/>
              </w:rPr>
              <w:t>of Regulation (EU) No 575/2013</w:t>
            </w:r>
          </w:p>
        </w:tc>
      </w:tr>
      <w:tr w:rsidR="00464F34" w:rsidRPr="002A677E" w14:paraId="0FB274E9" w14:textId="77777777" w:rsidTr="1C0539FB">
        <w:tc>
          <w:tcPr>
            <w:tcW w:w="1188" w:type="dxa"/>
          </w:tcPr>
          <w:p w14:paraId="59A7B297" w14:textId="77777777" w:rsidR="00464F34" w:rsidRPr="002A677E" w:rsidRDefault="00464F34" w:rsidP="00B055FF">
            <w:pPr>
              <w:pStyle w:val="InstructionsText"/>
            </w:pPr>
            <w:r w:rsidRPr="002A677E">
              <w:t>0</w:t>
            </w:r>
            <w:r w:rsidR="00FF15C6" w:rsidRPr="002A677E">
              <w:t>0</w:t>
            </w:r>
            <w:r w:rsidRPr="002A677E">
              <w:t>70 – 0</w:t>
            </w:r>
            <w:r w:rsidR="00FF15C6" w:rsidRPr="002A677E">
              <w:t>0</w:t>
            </w:r>
            <w:r w:rsidRPr="002A677E">
              <w:t>80</w:t>
            </w:r>
          </w:p>
          <w:p w14:paraId="117B2ED0" w14:textId="77777777" w:rsidR="00464F34" w:rsidRPr="002A677E" w:rsidRDefault="00464F34" w:rsidP="00B055FF">
            <w:pPr>
              <w:pStyle w:val="InstructionsText"/>
            </w:pPr>
          </w:p>
        </w:tc>
        <w:tc>
          <w:tcPr>
            <w:tcW w:w="8640" w:type="dxa"/>
          </w:tcPr>
          <w:p w14:paraId="3DBFA0E1"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7B8B9DDE" w14:textId="5F50C1E9" w:rsidR="00464F34" w:rsidRPr="002A677E" w:rsidRDefault="009C44E7" w:rsidP="00B055FF">
            <w:pPr>
              <w:pStyle w:val="InstructionsText"/>
            </w:pPr>
            <w:r w:rsidRPr="002A677E">
              <w:rPr>
                <w:rFonts w:cs="Arial"/>
              </w:rPr>
              <w:t>The</w:t>
            </w:r>
            <w:r w:rsidR="00464F34" w:rsidRPr="002A677E">
              <w:rPr>
                <w:rFonts w:cs="Arial"/>
              </w:rPr>
              <w:t>s</w:t>
            </w:r>
            <w:r w:rsidRPr="002A677E">
              <w:rPr>
                <w:rFonts w:cs="Arial"/>
              </w:rPr>
              <w:t>e</w:t>
            </w:r>
            <w:r w:rsidR="00464F34" w:rsidRPr="002A677E">
              <w:rPr>
                <w:rFonts w:cs="Arial"/>
              </w:rPr>
              <w:t xml:space="preserve"> column</w:t>
            </w:r>
            <w:r w:rsidRPr="002A677E">
              <w:rPr>
                <w:rFonts w:cs="Arial"/>
              </w:rPr>
              <w:t>s</w:t>
            </w:r>
            <w:r w:rsidR="00464F34" w:rsidRPr="002A677E">
              <w:rPr>
                <w:rFonts w:cs="Arial"/>
              </w:rPr>
              <w:t xml:space="preserve"> </w:t>
            </w:r>
            <w:r w:rsidRPr="002A677E">
              <w:rPr>
                <w:rFonts w:cs="Arial"/>
              </w:rPr>
              <w:t>refer to</w:t>
            </w:r>
            <w:r w:rsidR="00464F34" w:rsidRPr="002A677E">
              <w:t xml:space="preserve"> funded credit protection </w:t>
            </w:r>
            <w:r w:rsidR="00167619" w:rsidRPr="002A677E">
              <w:t>as defined in</w:t>
            </w:r>
            <w:r w:rsidR="00464F34" w:rsidRPr="002A677E">
              <w:t xml:space="preserve"> Article 4</w:t>
            </w:r>
            <w:r w:rsidR="00214FDA" w:rsidRPr="002A677E">
              <w:t>(1)</w:t>
            </w:r>
            <w:r w:rsidR="00B83DDE">
              <w:t>, p</w:t>
            </w:r>
            <w:r w:rsidR="00880E92" w:rsidRPr="002A677E">
              <w:t>oint (58)</w:t>
            </w:r>
            <w:r w:rsidR="00FF1617">
              <w:t>,</w:t>
            </w:r>
            <w:r w:rsidR="00880E92" w:rsidRPr="002A677E">
              <w:t xml:space="preserve"> </w:t>
            </w:r>
            <w:r w:rsidR="00F37BEE" w:rsidRPr="001235ED">
              <w:rPr>
                <w:lang w:val="en-US"/>
              </w:rPr>
              <w:t>of Regulation (EU) No 575/2013</w:t>
            </w:r>
            <w:r w:rsidR="00464F34" w:rsidRPr="002A677E">
              <w:t xml:space="preserve"> and </w:t>
            </w:r>
            <w:r w:rsidR="00110F40" w:rsidRPr="002A677E">
              <w:t>subject to</w:t>
            </w:r>
            <w:r w:rsidR="00167619" w:rsidRPr="002A677E">
              <w:t xml:space="preserve"> the rules laid down in</w:t>
            </w:r>
            <w:r w:rsidR="00110F40" w:rsidRPr="002A677E">
              <w:t xml:space="preserve"> </w:t>
            </w:r>
            <w:r w:rsidR="00464F34" w:rsidRPr="002A677E">
              <w:t xml:space="preserve">Articles 196, 197 and 200 </w:t>
            </w:r>
            <w:r w:rsidR="00F37BEE" w:rsidRPr="001235ED">
              <w:rPr>
                <w:lang w:val="en-US"/>
              </w:rPr>
              <w:t>of that Regulation</w:t>
            </w:r>
            <w:r w:rsidR="00464F34" w:rsidRPr="002A677E">
              <w:t>.</w:t>
            </w:r>
            <w:r w:rsidR="00464F34" w:rsidRPr="002A677E">
              <w:rPr>
                <w:rFonts w:cs="Arial"/>
              </w:rPr>
              <w:t xml:space="preserve"> </w:t>
            </w:r>
            <w:r w:rsidRPr="002A677E">
              <w:rPr>
                <w:rFonts w:cs="Arial"/>
              </w:rPr>
              <w:t>T</w:t>
            </w:r>
            <w:r w:rsidR="00464F34" w:rsidRPr="002A677E">
              <w:rPr>
                <w:rFonts w:cs="Arial"/>
              </w:rPr>
              <w:t xml:space="preserve">he </w:t>
            </w:r>
            <w:r w:rsidRPr="002A677E">
              <w:rPr>
                <w:rFonts w:cs="Arial"/>
              </w:rPr>
              <w:t>amounts</w:t>
            </w:r>
            <w:r w:rsidR="00464F34" w:rsidRPr="002A677E">
              <w:rPr>
                <w:rFonts w:cs="Arial"/>
              </w:rPr>
              <w:t xml:space="preserve"> </w:t>
            </w:r>
            <w:r w:rsidRPr="002A677E">
              <w:rPr>
                <w:rFonts w:cs="Arial"/>
              </w:rPr>
              <w:t>shall</w:t>
            </w:r>
            <w:r w:rsidR="00464F34" w:rsidRPr="002A677E">
              <w:t xml:space="preserve"> not include master netting agreements (already included in Original Exposure pre</w:t>
            </w:r>
            <w:r w:rsidR="007574C3" w:rsidRPr="002A677E">
              <w:t>-</w:t>
            </w:r>
            <w:r w:rsidR="00464F34" w:rsidRPr="002A677E">
              <w:t>conversion factors).</w:t>
            </w:r>
          </w:p>
          <w:p w14:paraId="36344E73" w14:textId="0842129B" w:rsidR="00464F34" w:rsidRPr="002A677E" w:rsidRDefault="541F6ED0" w:rsidP="00B055FF">
            <w:pPr>
              <w:pStyle w:val="InstructionsText"/>
            </w:pPr>
            <w:r>
              <w:t>Investments in c</w:t>
            </w:r>
            <w:r w:rsidR="1BA5554B">
              <w:t xml:space="preserve">redit </w:t>
            </w:r>
            <w:r>
              <w:t>l</w:t>
            </w:r>
            <w:r w:rsidR="1BA5554B">
              <w:t xml:space="preserve">inked </w:t>
            </w:r>
            <w:r>
              <w:t>n</w:t>
            </w:r>
            <w:r w:rsidR="1BA5554B">
              <w:t xml:space="preserve">otes </w:t>
            </w:r>
            <w:r>
              <w:t xml:space="preserve">as referred to in Article 218 </w:t>
            </w:r>
            <w:r w:rsidR="48F1B0E0" w:rsidRPr="24B43B11">
              <w:rPr>
                <w:lang w:val="en-US"/>
              </w:rPr>
              <w:t>of Regulation (EU) No 575/2013</w:t>
            </w:r>
            <w:r>
              <w:t xml:space="preserve"> </w:t>
            </w:r>
            <w:r w:rsidR="1BA5554B">
              <w:t xml:space="preserve">and on-balance sheet netting positions resulting from eligible on-balance sheet netting agreements </w:t>
            </w:r>
            <w:r>
              <w:t>as referred to in</w:t>
            </w:r>
            <w:r w:rsidR="1BA5554B">
              <w:t xml:space="preserve"> Article</w:t>
            </w:r>
            <w:r w:rsidR="409E2AAF">
              <w:t xml:space="preserve"> 195 and</w:t>
            </w:r>
            <w:r w:rsidR="1BA5554B">
              <w:t xml:space="preserve"> 219 </w:t>
            </w:r>
            <w:r w:rsidR="48F1B0E0" w:rsidRPr="24B43B11">
              <w:rPr>
                <w:lang w:val="en-US"/>
              </w:rPr>
              <w:t>of Regulation (EU) No 575/2013</w:t>
            </w:r>
            <w:r w:rsidR="1BA5554B">
              <w:t xml:space="preserve"> </w:t>
            </w:r>
            <w:r w:rsidR="2C66FFCB" w:rsidRPr="24B43B11">
              <w:rPr>
                <w:rFonts w:cs="Arial"/>
              </w:rPr>
              <w:t>shall be</w:t>
            </w:r>
            <w:r w:rsidR="1BA5554B">
              <w:t xml:space="preserve"> treated as cash collateral.</w:t>
            </w:r>
          </w:p>
        </w:tc>
      </w:tr>
      <w:tr w:rsidR="00464F34" w:rsidRPr="002A677E" w14:paraId="02F30E73" w14:textId="77777777" w:rsidTr="1C0539FB">
        <w:tc>
          <w:tcPr>
            <w:tcW w:w="1188" w:type="dxa"/>
          </w:tcPr>
          <w:p w14:paraId="4C3BCE09" w14:textId="77777777" w:rsidR="00464F34" w:rsidRPr="002A677E" w:rsidRDefault="00464F34" w:rsidP="00B055FF">
            <w:pPr>
              <w:pStyle w:val="InstructionsText"/>
            </w:pPr>
            <w:r w:rsidRPr="002A677E">
              <w:t>0</w:t>
            </w:r>
            <w:r w:rsidR="00FF15C6" w:rsidRPr="002A677E">
              <w:t>0</w:t>
            </w:r>
            <w:r w:rsidRPr="002A677E">
              <w:t>70</w:t>
            </w:r>
          </w:p>
        </w:tc>
        <w:tc>
          <w:tcPr>
            <w:tcW w:w="8640" w:type="dxa"/>
          </w:tcPr>
          <w:p w14:paraId="2D5BFC5F" w14:textId="77777777" w:rsidR="00464F34" w:rsidRPr="002A677E" w:rsidRDefault="00464F34" w:rsidP="00B055FF">
            <w:pPr>
              <w:pStyle w:val="InstructionsText"/>
            </w:pPr>
            <w:r w:rsidRPr="002A677E">
              <w:rPr>
                <w:rStyle w:val="InstructionsTabelleberschrift"/>
                <w:rFonts w:ascii="Times New Roman" w:hAnsi="Times New Roman"/>
                <w:sz w:val="24"/>
              </w:rPr>
              <w:t>Financial collateral: simple method</w:t>
            </w:r>
          </w:p>
          <w:p w14:paraId="3CED9ED4" w14:textId="77CD1B0F" w:rsidR="00464F34" w:rsidRPr="002A677E" w:rsidRDefault="00464F34" w:rsidP="00B055FF">
            <w:pPr>
              <w:pStyle w:val="InstructionsText"/>
            </w:pPr>
            <w:r w:rsidRPr="002A677E">
              <w:t>Article 222</w:t>
            </w:r>
            <w:r w:rsidR="00B83DDE">
              <w:t>, p</w:t>
            </w:r>
            <w:r w:rsidR="00880E92" w:rsidRPr="002A677E">
              <w:t xml:space="preserve">aragraphs 1 and 2 </w:t>
            </w:r>
            <w:r w:rsidR="00F37BEE" w:rsidRPr="001235ED">
              <w:rPr>
                <w:lang w:val="en-US"/>
              </w:rPr>
              <w:t>of Regulation (EU) No 575/2013</w:t>
            </w:r>
            <w:r w:rsidRPr="002A677E">
              <w:t>.</w:t>
            </w:r>
          </w:p>
        </w:tc>
      </w:tr>
      <w:tr w:rsidR="00464F34" w:rsidRPr="002A677E" w14:paraId="346D8A05" w14:textId="77777777" w:rsidTr="1C0539FB">
        <w:tc>
          <w:tcPr>
            <w:tcW w:w="1188" w:type="dxa"/>
          </w:tcPr>
          <w:p w14:paraId="417E06AD" w14:textId="77777777" w:rsidR="00464F34" w:rsidRPr="002A677E" w:rsidRDefault="00464F34" w:rsidP="00B055FF">
            <w:pPr>
              <w:pStyle w:val="InstructionsText"/>
            </w:pPr>
            <w:r w:rsidRPr="002A677E">
              <w:t>0</w:t>
            </w:r>
            <w:r w:rsidR="00FF15C6" w:rsidRPr="002A677E">
              <w:t>0</w:t>
            </w:r>
            <w:r w:rsidRPr="002A677E">
              <w:t>80</w:t>
            </w:r>
          </w:p>
        </w:tc>
        <w:tc>
          <w:tcPr>
            <w:tcW w:w="8640" w:type="dxa"/>
          </w:tcPr>
          <w:p w14:paraId="1AD2FDD5"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2B609CD6" w14:textId="1293F51B" w:rsidR="00464F34" w:rsidRPr="002A677E" w:rsidRDefault="00464F34" w:rsidP="00B055FF">
            <w:pPr>
              <w:pStyle w:val="InstructionsText"/>
            </w:pPr>
            <w:r w:rsidRPr="002A677E">
              <w:t xml:space="preserve">Article 232 </w:t>
            </w:r>
            <w:r w:rsidR="00F37BEE" w:rsidRPr="001235ED">
              <w:rPr>
                <w:lang w:val="en-US"/>
              </w:rPr>
              <w:t>of Regulation (EU) No 575/2013</w:t>
            </w:r>
            <w:r w:rsidRPr="002A677E">
              <w:t>.</w:t>
            </w:r>
          </w:p>
        </w:tc>
      </w:tr>
      <w:tr w:rsidR="00464F34" w:rsidRPr="002A677E" w14:paraId="116BA4C1" w14:textId="77777777" w:rsidTr="1C0539FB">
        <w:tc>
          <w:tcPr>
            <w:tcW w:w="1188" w:type="dxa"/>
          </w:tcPr>
          <w:p w14:paraId="6954B835" w14:textId="77777777" w:rsidR="00464F34" w:rsidRPr="002A677E" w:rsidRDefault="00464F34" w:rsidP="00B055FF">
            <w:pPr>
              <w:pStyle w:val="InstructionsText"/>
            </w:pPr>
            <w:r w:rsidRPr="002A677E">
              <w:t>0</w:t>
            </w:r>
            <w:r w:rsidR="00FF15C6" w:rsidRPr="002A677E">
              <w:t>0</w:t>
            </w:r>
            <w:r w:rsidRPr="002A677E">
              <w:t xml:space="preserve">90 - </w:t>
            </w:r>
            <w:r w:rsidR="00FF15C6" w:rsidRPr="002A677E">
              <w:t>0</w:t>
            </w:r>
            <w:r w:rsidRPr="002A677E">
              <w:t>100</w:t>
            </w:r>
          </w:p>
        </w:tc>
        <w:tc>
          <w:tcPr>
            <w:tcW w:w="8640" w:type="dxa"/>
          </w:tcPr>
          <w:p w14:paraId="722BB3A6"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197E4D0" w14:textId="01728D3A" w:rsidR="00464F34" w:rsidRPr="002A677E" w:rsidRDefault="1BA5554B" w:rsidP="00B055FF">
            <w:pPr>
              <w:pStyle w:val="InstructionsText"/>
            </w:pPr>
            <w:r>
              <w:t>Article 222(3), Article 235</w:t>
            </w:r>
            <w:r w:rsidR="25F31137">
              <w:t>, p</w:t>
            </w:r>
            <w:r w:rsidR="7A9D6D7E">
              <w:t xml:space="preserve">aragraphs 1 and 2 </w:t>
            </w:r>
            <w:r>
              <w:t>and Article 23</w:t>
            </w:r>
            <w:r w:rsidR="24272526">
              <w:t>5a</w:t>
            </w:r>
            <w:r>
              <w:t xml:space="preserve"> </w:t>
            </w:r>
            <w:r w:rsidR="48F1B0E0" w:rsidRPr="24B43B11">
              <w:rPr>
                <w:lang w:val="en-US"/>
              </w:rPr>
              <w:t>of Regulation (EU) No 575/2013</w:t>
            </w:r>
          </w:p>
          <w:p w14:paraId="0B31BCA2" w14:textId="74E5C753" w:rsidR="00464F34" w:rsidRPr="002A677E" w:rsidRDefault="1BA5554B" w:rsidP="00B055FF">
            <w:pPr>
              <w:pStyle w:val="InstructionsText"/>
            </w:pPr>
            <w:r>
              <w:t xml:space="preserve">Outflows </w:t>
            </w:r>
            <w:r w:rsidR="68D88DC4">
              <w:t xml:space="preserve">shall </w:t>
            </w:r>
            <w:r>
              <w:t xml:space="preserve">correspond to the covered </w:t>
            </w:r>
            <w:r w:rsidR="009E37F8">
              <w:t xml:space="preserve">part </w:t>
            </w:r>
            <w:r w:rsidR="009E37F8" w:rsidRPr="1C0539FB">
              <w:rPr>
                <w:rFonts w:eastAsia="Verdana"/>
              </w:rPr>
              <w:t>G</w:t>
            </w:r>
            <w:r w:rsidR="009E37F8" w:rsidRPr="1C0539FB">
              <w:rPr>
                <w:rFonts w:eastAsia="Verdana"/>
                <w:vertAlign w:val="subscript"/>
              </w:rPr>
              <w:t>A</w:t>
            </w:r>
            <w:r w:rsidR="009E37F8">
              <w:t xml:space="preserve"> of the </w:t>
            </w:r>
            <w:r w:rsidR="009E37F8" w:rsidRPr="1C0539FB">
              <w:rPr>
                <w:rFonts w:eastAsia="Verdana"/>
              </w:rPr>
              <w:t xml:space="preserve">Exposure net of value adjustments and provisions </w:t>
            </w:r>
            <w:r w:rsidR="009E37F8" w:rsidDel="001B1349">
              <w:t xml:space="preserve"> </w:t>
            </w:r>
            <w:r>
              <w:t>that is deducted from the obligor's exposure class and subsequently assigned to the protection provider's exposure class. Th</w:t>
            </w:r>
            <w:r w:rsidR="68D88DC4">
              <w:t>at</w:t>
            </w:r>
            <w:r>
              <w:t xml:space="preserve"> amount </w:t>
            </w:r>
            <w:r w:rsidR="1CD200D5">
              <w:t>shall</w:t>
            </w:r>
            <w:r>
              <w:t xml:space="preserve"> be considered as an </w:t>
            </w:r>
            <w:r w:rsidR="541F6ED0">
              <w:t>i</w:t>
            </w:r>
            <w:r>
              <w:t>nflow into the protection provider's exposure class.</w:t>
            </w:r>
          </w:p>
          <w:p w14:paraId="0E1E47C1" w14:textId="77777777" w:rsidR="00464F34" w:rsidRPr="002A677E" w:rsidRDefault="00464F34" w:rsidP="00B055FF">
            <w:pPr>
              <w:pStyle w:val="InstructionsText"/>
              <w:rPr>
                <w:b/>
              </w:rPr>
            </w:pPr>
            <w:r w:rsidRPr="002A677E">
              <w:t>Inflows and outflows within the same exposure classes shall also be reported.</w:t>
            </w:r>
          </w:p>
          <w:p w14:paraId="3AB373BB" w14:textId="77777777" w:rsidR="00464F34" w:rsidRPr="002A677E" w:rsidRDefault="00464F34" w:rsidP="00B055FF">
            <w:pPr>
              <w:pStyle w:val="InstructionsText"/>
            </w:pPr>
            <w:r w:rsidRPr="002A677E">
              <w:t>Exposures stemming from possible in- and outflows from and to other templates shall be taken into account.</w:t>
            </w:r>
          </w:p>
        </w:tc>
      </w:tr>
      <w:tr w:rsidR="00464F34" w:rsidRPr="002A677E" w14:paraId="421A6962" w14:textId="77777777" w:rsidTr="1C0539FB">
        <w:tc>
          <w:tcPr>
            <w:tcW w:w="1188" w:type="dxa"/>
          </w:tcPr>
          <w:p w14:paraId="699C2F17" w14:textId="77777777" w:rsidR="00464F34" w:rsidRPr="002A677E" w:rsidRDefault="00FF15C6" w:rsidP="00B055FF">
            <w:pPr>
              <w:pStyle w:val="InstructionsText"/>
            </w:pPr>
            <w:r w:rsidRPr="002A677E">
              <w:lastRenderedPageBreak/>
              <w:t>0</w:t>
            </w:r>
            <w:r w:rsidR="00464F34" w:rsidRPr="002A677E">
              <w:t>110</w:t>
            </w:r>
          </w:p>
        </w:tc>
        <w:tc>
          <w:tcPr>
            <w:tcW w:w="8640" w:type="dxa"/>
          </w:tcPr>
          <w:p w14:paraId="27C7814A"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BB7B7FF" w14:textId="77777777" w:rsidR="00464F34" w:rsidRPr="002A677E" w:rsidRDefault="00464F34" w:rsidP="00B055FF">
            <w:pPr>
              <w:pStyle w:val="InstructionsText"/>
            </w:pPr>
            <w:r w:rsidRPr="002A677E">
              <w:t>Amount of the exposure net of value adjustments after taking into account outflows and inflows due to CREDIT RISK MITIGATION (CRM) TECHNIQUES WITH SUBSTITUTION EFFECTS ON THE EXPOSURE</w:t>
            </w:r>
          </w:p>
        </w:tc>
      </w:tr>
      <w:tr w:rsidR="00464F34" w:rsidRPr="002A677E" w14:paraId="1E3E40E2" w14:textId="77777777" w:rsidTr="1C0539FB">
        <w:tc>
          <w:tcPr>
            <w:tcW w:w="1188" w:type="dxa"/>
          </w:tcPr>
          <w:p w14:paraId="0A49B3D7" w14:textId="77777777" w:rsidR="00464F34" w:rsidRPr="002A677E" w:rsidRDefault="00FF15C6" w:rsidP="00B055FF">
            <w:pPr>
              <w:pStyle w:val="InstructionsText"/>
            </w:pPr>
            <w:r w:rsidRPr="002A677E">
              <w:t>0</w:t>
            </w:r>
            <w:r w:rsidR="00464F34" w:rsidRPr="002A677E">
              <w:t>120-</w:t>
            </w:r>
            <w:r w:rsidRPr="002A677E">
              <w:t>0</w:t>
            </w:r>
            <w:r w:rsidR="00464F34" w:rsidRPr="002A677E">
              <w:t>140</w:t>
            </w:r>
          </w:p>
        </w:tc>
        <w:tc>
          <w:tcPr>
            <w:tcW w:w="8640" w:type="dxa"/>
          </w:tcPr>
          <w:p w14:paraId="4884ED69" w14:textId="77777777" w:rsidR="00464F34" w:rsidRPr="002A677E" w:rsidRDefault="00464F34" w:rsidP="00B055FF">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2E94B8BA" w14:textId="1D6313A3" w:rsidR="00464F34" w:rsidRPr="002A677E" w:rsidRDefault="00464F34" w:rsidP="00B055FF">
            <w:pPr>
              <w:pStyle w:val="InstructionsText"/>
            </w:pPr>
            <w:r w:rsidRPr="002A677E">
              <w:t>Articles 223</w:t>
            </w:r>
            <w:r w:rsidR="005C14B0" w:rsidRPr="002A677E">
              <w:t xml:space="preserve"> to </w:t>
            </w:r>
            <w:r w:rsidRPr="002A677E">
              <w:t xml:space="preserve">228 </w:t>
            </w:r>
            <w:r w:rsidR="00F37BEE" w:rsidRPr="001235ED">
              <w:rPr>
                <w:lang w:val="en-US"/>
              </w:rPr>
              <w:t>of Regulation (EU) No 575/2013</w:t>
            </w:r>
            <w:r w:rsidRPr="002A677E">
              <w:t xml:space="preserve">. </w:t>
            </w:r>
            <w:r w:rsidR="00110F40" w:rsidRPr="002A677E">
              <w:t>They</w:t>
            </w:r>
            <w:r w:rsidR="0060043C" w:rsidRPr="002A677E">
              <w:t xml:space="preserve"> </w:t>
            </w:r>
            <w:r w:rsidRPr="002A677E">
              <w:t xml:space="preserve">also include credit linked notes (Article 218 </w:t>
            </w:r>
            <w:r w:rsidR="00F37BEE" w:rsidRPr="001235ED">
              <w:rPr>
                <w:lang w:val="en-US"/>
              </w:rPr>
              <w:t>of Regulation (EU) No 575/2013</w:t>
            </w:r>
            <w:r w:rsidRPr="002A677E">
              <w:t>)</w:t>
            </w:r>
          </w:p>
          <w:p w14:paraId="1A7F7A69" w14:textId="29BFDC44" w:rsidR="00464F34" w:rsidRPr="002A677E" w:rsidRDefault="00464F34" w:rsidP="00B055FF">
            <w:pPr>
              <w:pStyle w:val="InstructionsText"/>
            </w:pPr>
            <w:r w:rsidRPr="002A677E">
              <w:t xml:space="preserve">Credit </w:t>
            </w:r>
            <w:r w:rsidR="00167619" w:rsidRPr="002A677E">
              <w:t>l</w:t>
            </w:r>
            <w:r w:rsidRPr="002A677E">
              <w:t xml:space="preserve">inked </w:t>
            </w:r>
            <w:r w:rsidR="00167619" w:rsidRPr="002A677E">
              <w:t>n</w:t>
            </w:r>
            <w:r w:rsidRPr="002A677E">
              <w:t xml:space="preserve">otes </w:t>
            </w:r>
            <w:r w:rsidR="00167619" w:rsidRPr="002A677E">
              <w:t xml:space="preserve">as referred to in Article 218 </w:t>
            </w:r>
            <w:r w:rsidR="00F37BEE" w:rsidRPr="001235ED">
              <w:rPr>
                <w:lang w:val="en-US"/>
              </w:rPr>
              <w:t>of Regulation (EU) No 575/2013</w:t>
            </w:r>
            <w:r w:rsidR="00167619" w:rsidRPr="002A677E">
              <w:t xml:space="preserve"> </w:t>
            </w:r>
            <w:r w:rsidRPr="002A677E">
              <w:t xml:space="preserve">and on-balance sheet netting positions resulting from eligible on-balance sheet netting agreements </w:t>
            </w:r>
            <w:r w:rsidR="00167619" w:rsidRPr="002A677E">
              <w:t xml:space="preserve">as referred to in </w:t>
            </w:r>
            <w:r w:rsidRPr="002A677E">
              <w:t xml:space="preserve">Article 219 </w:t>
            </w:r>
            <w:r w:rsidR="00F37BEE" w:rsidRPr="001235ED">
              <w:rPr>
                <w:lang w:val="en-US"/>
              </w:rPr>
              <w:t xml:space="preserve">of that Regulation </w:t>
            </w:r>
            <w:r w:rsidR="00167619" w:rsidRPr="002A677E">
              <w:t>shall be</w:t>
            </w:r>
            <w:r w:rsidRPr="002A677E">
              <w:t xml:space="preserve"> treated as cash collateral.</w:t>
            </w:r>
          </w:p>
          <w:p w14:paraId="2787C285" w14:textId="4071E72F" w:rsidR="00464F34" w:rsidRPr="002A677E" w:rsidRDefault="00464F34" w:rsidP="00B055FF">
            <w:pPr>
              <w:pStyle w:val="InstructionsText"/>
            </w:pPr>
            <w:r w:rsidRPr="002A677E">
              <w:t xml:space="preserve">The effect of the collateralization of the Financial Collateral Comprehensive Method applied to an exposure, which is secured by eligible financial collateral, </w:t>
            </w:r>
            <w:r w:rsidR="00167619" w:rsidRPr="002A677E">
              <w:t>shall be</w:t>
            </w:r>
            <w:r w:rsidRPr="002A677E">
              <w:t xml:space="preserve"> calculated </w:t>
            </w:r>
            <w:r w:rsidR="00BB22D4" w:rsidRPr="002A677E">
              <w:t>in accordance with</w:t>
            </w:r>
            <w:r w:rsidRPr="002A677E">
              <w:t xml:space="preserve"> Articles 223 </w:t>
            </w:r>
            <w:r w:rsidR="005C14B0" w:rsidRPr="002A677E">
              <w:t>to</w:t>
            </w:r>
            <w:r w:rsidRPr="002A677E">
              <w:t xml:space="preserve"> 228 </w:t>
            </w:r>
            <w:r w:rsidR="00F37BEE" w:rsidRPr="001235ED">
              <w:rPr>
                <w:lang w:val="en-US"/>
              </w:rPr>
              <w:t>of Regulation (EU) No 575/2013</w:t>
            </w:r>
            <w:r w:rsidRPr="002A677E">
              <w:t xml:space="preserve">. </w:t>
            </w:r>
          </w:p>
        </w:tc>
      </w:tr>
      <w:tr w:rsidR="00464F34" w:rsidRPr="002A677E" w14:paraId="65FA22A0" w14:textId="77777777" w:rsidTr="1C0539FB">
        <w:tc>
          <w:tcPr>
            <w:tcW w:w="1188" w:type="dxa"/>
          </w:tcPr>
          <w:p w14:paraId="554BEC67" w14:textId="77777777" w:rsidR="00464F34" w:rsidRPr="002A677E" w:rsidRDefault="00FF15C6" w:rsidP="00B055FF">
            <w:pPr>
              <w:pStyle w:val="InstructionsText"/>
            </w:pPr>
            <w:r w:rsidRPr="002A677E">
              <w:t>0</w:t>
            </w:r>
            <w:r w:rsidR="00464F34" w:rsidRPr="002A677E">
              <w:t>120</w:t>
            </w:r>
          </w:p>
        </w:tc>
        <w:tc>
          <w:tcPr>
            <w:tcW w:w="8640" w:type="dxa"/>
          </w:tcPr>
          <w:p w14:paraId="5CB8FE23"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3FFA72EF" w14:textId="1B8493BE" w:rsidR="00464F34" w:rsidRPr="002A677E" w:rsidRDefault="00464F34" w:rsidP="00B055FF">
            <w:pPr>
              <w:pStyle w:val="InstructionsText"/>
            </w:pPr>
            <w:r w:rsidRPr="002A677E">
              <w:t>Article 223</w:t>
            </w:r>
            <w:r w:rsidR="00B83DDE">
              <w:t>, p</w:t>
            </w:r>
            <w:r w:rsidR="00880E92" w:rsidRPr="002A677E">
              <w:t xml:space="preserve">aragraphs 2 and 3 </w:t>
            </w:r>
            <w:r w:rsidR="00F37BEE" w:rsidRPr="001235ED">
              <w:rPr>
                <w:lang w:val="en-US"/>
              </w:rPr>
              <w:t>of Regulation (EU) No 575/2013</w:t>
            </w:r>
            <w:r w:rsidRPr="002A677E">
              <w:t>.</w:t>
            </w:r>
          </w:p>
          <w:p w14:paraId="06181C16" w14:textId="77777777" w:rsidR="00464F34" w:rsidRPr="002A677E" w:rsidRDefault="00464F34" w:rsidP="00B055FF">
            <w:pPr>
              <w:pStyle w:val="InstructionsText"/>
            </w:pPr>
            <w:r w:rsidRPr="002A677E">
              <w:t>The amount to be reported is the impact of</w:t>
            </w:r>
            <w:r w:rsidR="00730040" w:rsidRPr="002A677E">
              <w:t xml:space="preserve"> </w:t>
            </w:r>
            <w:r w:rsidRPr="002A677E">
              <w:t>the volatility adjustment to the exposure (Eva-E) = E*He</w:t>
            </w:r>
          </w:p>
        </w:tc>
      </w:tr>
      <w:tr w:rsidR="00464F34" w:rsidRPr="002A677E" w14:paraId="5E5A34BD" w14:textId="77777777" w:rsidTr="1C0539FB">
        <w:tc>
          <w:tcPr>
            <w:tcW w:w="1188" w:type="dxa"/>
          </w:tcPr>
          <w:p w14:paraId="480F3B87" w14:textId="77777777" w:rsidR="00464F34" w:rsidRPr="002A677E" w:rsidRDefault="00FF15C6" w:rsidP="00B055FF">
            <w:pPr>
              <w:pStyle w:val="InstructionsText"/>
            </w:pPr>
            <w:r w:rsidRPr="002A677E">
              <w:t>0</w:t>
            </w:r>
            <w:r w:rsidR="00464F34" w:rsidRPr="002A677E">
              <w:t>130</w:t>
            </w:r>
          </w:p>
        </w:tc>
        <w:tc>
          <w:tcPr>
            <w:tcW w:w="8640" w:type="dxa"/>
          </w:tcPr>
          <w:p w14:paraId="0B6B76FF"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34C0DD05" w14:textId="4824960C" w:rsidR="00464F34" w:rsidRPr="002A677E" w:rsidRDefault="00464F34" w:rsidP="00B055FF">
            <w:pPr>
              <w:pStyle w:val="InstructionsText"/>
            </w:pPr>
            <w:r w:rsidRPr="002A677E">
              <w:t xml:space="preserve">Article 239(2) </w:t>
            </w:r>
            <w:r w:rsidR="00F37BEE" w:rsidRPr="001235ED">
              <w:rPr>
                <w:lang w:val="en-US"/>
              </w:rPr>
              <w:t>of Regulation (EU) No 575/2013</w:t>
            </w:r>
            <w:r w:rsidRPr="002A677E">
              <w:t>.</w:t>
            </w:r>
          </w:p>
          <w:p w14:paraId="65EBCE20" w14:textId="1D1F2A9C" w:rsidR="00464F34" w:rsidRPr="002A677E" w:rsidRDefault="00464F34" w:rsidP="00B055FF">
            <w:pPr>
              <w:pStyle w:val="InstructionsText"/>
            </w:pPr>
            <w:r w:rsidRPr="002A677E">
              <w:t>For trading book operations</w:t>
            </w:r>
            <w:r w:rsidR="00110F40" w:rsidRPr="002A677E">
              <w:t>,</w:t>
            </w:r>
            <w:r w:rsidRPr="002A677E">
              <w:t xml:space="preserve"> financial collateral and commodities eligible for trading book exposures </w:t>
            </w:r>
            <w:r w:rsidR="00BB22D4" w:rsidRPr="002A677E">
              <w:t>in accordance with</w:t>
            </w:r>
            <w:r w:rsidRPr="002A677E">
              <w:t xml:space="preserve"> Article 299(2)</w:t>
            </w:r>
            <w:r w:rsidR="00B83DDE">
              <w:t>, p</w:t>
            </w:r>
            <w:r w:rsidR="00880E92" w:rsidRPr="002A677E">
              <w:t>oints (c) to (f)</w:t>
            </w:r>
            <w:r w:rsidR="002E7287">
              <w:t>,</w:t>
            </w:r>
            <w:r w:rsidR="00880E92" w:rsidRPr="002A677E">
              <w:t xml:space="preserve"> </w:t>
            </w:r>
            <w:r w:rsidR="00F37BEE" w:rsidRPr="001235ED">
              <w:rPr>
                <w:lang w:val="en-US"/>
              </w:rPr>
              <w:t>of Regulation (EU) No 575/2013</w:t>
            </w:r>
            <w:r w:rsidR="00110F40" w:rsidRPr="002A677E">
              <w:t xml:space="preserve"> shall be included</w:t>
            </w:r>
            <w:r w:rsidRPr="002A677E">
              <w:t xml:space="preserve">. </w:t>
            </w:r>
          </w:p>
          <w:p w14:paraId="224F7C24" w14:textId="0CDDFACF" w:rsidR="00464F34" w:rsidRPr="002A677E" w:rsidRDefault="00464F34" w:rsidP="00B055FF">
            <w:pPr>
              <w:pStyle w:val="InstructionsText"/>
            </w:pPr>
            <w:r w:rsidRPr="002A677E">
              <w:t>The amount to be reported corresponds to Cvam= C*(1-Hc-Hfx)*(t-t*)/(T-t*). For a definition of C, Hc, Hfx, t, T and t* see</w:t>
            </w:r>
            <w:r w:rsidR="00402284">
              <w:t xml:space="preserve"> </w:t>
            </w:r>
            <w:r w:rsidR="00D21B29" w:rsidRPr="002A677E">
              <w:t>Part Three</w:t>
            </w:r>
            <w:r w:rsidR="00F37BEE" w:rsidRPr="002A677E">
              <w:t>,</w:t>
            </w:r>
            <w:r w:rsidR="00D21B29" w:rsidRPr="002A677E">
              <w:t xml:space="preserve"> </w:t>
            </w:r>
            <w:r w:rsidR="00F37BEE" w:rsidRPr="002A677E">
              <w:t xml:space="preserve">Title II, Chapter 4, Sections 4 and 5 </w:t>
            </w:r>
            <w:r w:rsidR="00F37BEE" w:rsidRPr="001235ED">
              <w:rPr>
                <w:lang w:val="en-US"/>
              </w:rPr>
              <w:t>of Regulation (EU) No 575/2013</w:t>
            </w:r>
            <w:r w:rsidRPr="002A677E">
              <w:t>.</w:t>
            </w:r>
          </w:p>
        </w:tc>
      </w:tr>
      <w:tr w:rsidR="00464F34" w:rsidRPr="002A677E" w14:paraId="66748841" w14:textId="77777777" w:rsidTr="1C0539FB">
        <w:tc>
          <w:tcPr>
            <w:tcW w:w="1188" w:type="dxa"/>
          </w:tcPr>
          <w:p w14:paraId="45A61153" w14:textId="77777777" w:rsidR="00464F34" w:rsidRPr="002A677E" w:rsidRDefault="00FF15C6" w:rsidP="00B055FF">
            <w:pPr>
              <w:pStyle w:val="InstructionsText"/>
            </w:pPr>
            <w:r w:rsidRPr="002A677E">
              <w:t>0</w:t>
            </w:r>
            <w:r w:rsidR="00464F34" w:rsidRPr="002A677E">
              <w:t>140</w:t>
            </w:r>
          </w:p>
        </w:tc>
        <w:tc>
          <w:tcPr>
            <w:tcW w:w="8640" w:type="dxa"/>
          </w:tcPr>
          <w:p w14:paraId="0EF36EC1" w14:textId="77777777" w:rsidR="00464F34" w:rsidRPr="002A677E" w:rsidRDefault="008932B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w:t>
            </w:r>
            <w:r w:rsidR="00464F34" w:rsidRPr="002A677E">
              <w:rPr>
                <w:rStyle w:val="InstructionsTabelleberschrift"/>
                <w:rFonts w:ascii="Times New Roman" w:hAnsi="Times New Roman"/>
                <w:sz w:val="24"/>
              </w:rPr>
              <w:t>Of which: Volatility and maturity adjustments</w:t>
            </w:r>
          </w:p>
          <w:p w14:paraId="2BEC8E2C" w14:textId="593F8257" w:rsidR="00464F34" w:rsidRPr="002A677E" w:rsidRDefault="00464F34" w:rsidP="00B055FF">
            <w:pPr>
              <w:pStyle w:val="InstructionsText"/>
            </w:pPr>
            <w:r w:rsidRPr="002A677E">
              <w:t>Article</w:t>
            </w:r>
            <w:r w:rsidR="008241B9" w:rsidRPr="002A677E">
              <w:t xml:space="preserve"> </w:t>
            </w:r>
            <w:r w:rsidRPr="002A677E">
              <w:t xml:space="preserve">223(1) </w:t>
            </w:r>
            <w:r w:rsidR="00F37BEE" w:rsidRPr="001235ED">
              <w:rPr>
                <w:lang w:val="en-US"/>
              </w:rPr>
              <w:t>of Regulation (EU) No 575/2013</w:t>
            </w:r>
            <w:r w:rsidRPr="002A677E">
              <w:t xml:space="preserve"> and Article 239(2) </w:t>
            </w:r>
            <w:r w:rsidR="00F37BEE" w:rsidRPr="001235ED">
              <w:rPr>
                <w:lang w:val="en-US"/>
              </w:rPr>
              <w:t>of that Regulation</w:t>
            </w:r>
            <w:r w:rsidRPr="002A677E">
              <w:t xml:space="preserve">. </w:t>
            </w:r>
          </w:p>
          <w:p w14:paraId="2D170055" w14:textId="77777777" w:rsidR="00464F34" w:rsidRPr="002A677E" w:rsidRDefault="00464F34" w:rsidP="00B055FF">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464F34" w:rsidRPr="002A677E" w14:paraId="21E504B4" w14:textId="77777777" w:rsidTr="1C0539FB">
        <w:tc>
          <w:tcPr>
            <w:tcW w:w="1188" w:type="dxa"/>
          </w:tcPr>
          <w:p w14:paraId="1F9C1B7A" w14:textId="77777777" w:rsidR="00464F34" w:rsidRPr="002A677E" w:rsidRDefault="00FF15C6" w:rsidP="00B055FF">
            <w:pPr>
              <w:pStyle w:val="InstructionsText"/>
            </w:pPr>
            <w:r w:rsidRPr="002A677E">
              <w:t>0</w:t>
            </w:r>
            <w:r w:rsidR="00464F34" w:rsidRPr="002A677E">
              <w:t>150</w:t>
            </w:r>
          </w:p>
        </w:tc>
        <w:tc>
          <w:tcPr>
            <w:tcW w:w="8640" w:type="dxa"/>
          </w:tcPr>
          <w:p w14:paraId="42D6E672" w14:textId="77777777" w:rsidR="00464F34" w:rsidRPr="002A677E" w:rsidRDefault="00464F34" w:rsidP="00B055FF">
            <w:pPr>
              <w:pStyle w:val="InstructionsText"/>
            </w:pPr>
            <w:r w:rsidRPr="002A677E">
              <w:rPr>
                <w:rStyle w:val="InstructionsTabelleberschrift"/>
                <w:rFonts w:ascii="Times New Roman" w:hAnsi="Times New Roman"/>
                <w:sz w:val="24"/>
              </w:rPr>
              <w:t>Fully adjusted exposure value (E*)</w:t>
            </w:r>
          </w:p>
          <w:p w14:paraId="4953760F" w14:textId="74781C8B" w:rsidR="00464F34" w:rsidRPr="001235ED" w:rsidRDefault="00464F34" w:rsidP="00B055FF">
            <w:pPr>
              <w:pStyle w:val="InstructionsText"/>
              <w:rPr>
                <w:b/>
                <w:u w:val="single"/>
              </w:rPr>
            </w:pPr>
            <w:r w:rsidRPr="001235ED">
              <w:t>Article 220(4), Article 223</w:t>
            </w:r>
            <w:r w:rsidR="00F811C6" w:rsidRPr="001235ED">
              <w:t>(2) to (5)</w:t>
            </w:r>
            <w:r w:rsidRPr="001235ED">
              <w:t xml:space="preserve"> and Article 228(1) </w:t>
            </w:r>
            <w:r w:rsidR="00F37BEE" w:rsidRPr="001235ED">
              <w:rPr>
                <w:lang w:val="en-US"/>
              </w:rPr>
              <w:t>of Regulation (EU) No 575/2013</w:t>
            </w:r>
            <w:r w:rsidRPr="001235ED">
              <w:t>.</w:t>
            </w:r>
          </w:p>
        </w:tc>
      </w:tr>
      <w:tr w:rsidR="001A51DF" w:rsidRPr="002A677E" w14:paraId="61BC04EA" w14:textId="77777777" w:rsidTr="1C0539FB">
        <w:tc>
          <w:tcPr>
            <w:tcW w:w="1188" w:type="dxa"/>
          </w:tcPr>
          <w:p w14:paraId="69F22C67" w14:textId="2E1CB2F7" w:rsidR="001A51DF" w:rsidRPr="002A677E" w:rsidRDefault="001A51DF" w:rsidP="00B055FF">
            <w:pPr>
              <w:pStyle w:val="InstructionsText"/>
            </w:pPr>
            <w:r w:rsidRPr="002A677E">
              <w:t>0160 - 019</w:t>
            </w:r>
            <w:r w:rsidR="006B5E7F">
              <w:t>5</w:t>
            </w:r>
          </w:p>
        </w:tc>
        <w:tc>
          <w:tcPr>
            <w:tcW w:w="8640" w:type="dxa"/>
          </w:tcPr>
          <w:p w14:paraId="5FCCBE31" w14:textId="77777777" w:rsidR="001A51DF" w:rsidRPr="002A677E" w:rsidRDefault="001A51DF"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the fully adjusted exposure value of off-balance sheet items by conversion factors</w:t>
            </w:r>
          </w:p>
          <w:p w14:paraId="4CA94281" w14:textId="11CF6271" w:rsidR="001A51DF" w:rsidRPr="002A677E" w:rsidRDefault="001A51DF" w:rsidP="00B055FF">
            <w:pPr>
              <w:pStyle w:val="InstructionsText"/>
            </w:pPr>
            <w:r w:rsidRPr="002A677E">
              <w:lastRenderedPageBreak/>
              <w:t>Article 111</w:t>
            </w:r>
            <w:r w:rsidR="00BB540F">
              <w:t xml:space="preserve">, Article 495d </w:t>
            </w:r>
            <w:r w:rsidRPr="002A677E">
              <w:t>and Article 4(1)</w:t>
            </w:r>
            <w:r>
              <w:t>, p</w:t>
            </w:r>
            <w:r w:rsidRPr="002A677E">
              <w:t>oint (56)</w:t>
            </w:r>
            <w:r>
              <w:t>,</w:t>
            </w:r>
            <w:r w:rsidRPr="002A677E">
              <w:t xml:space="preserve"> </w:t>
            </w:r>
            <w:r w:rsidRPr="001235ED">
              <w:rPr>
                <w:lang w:val="en-US"/>
              </w:rPr>
              <w:t>of Regulation (EU) No 575/2013</w:t>
            </w:r>
            <w:r w:rsidRPr="002A677E">
              <w:t xml:space="preserve">. See also Articles 222(3) and 228(1) </w:t>
            </w:r>
            <w:r w:rsidRPr="001235ED">
              <w:rPr>
                <w:lang w:val="en-US"/>
              </w:rPr>
              <w:t>of Regulation (EU) No 575/2013</w:t>
            </w:r>
            <w:r w:rsidRPr="002A677E">
              <w:t>.</w:t>
            </w:r>
          </w:p>
          <w:p w14:paraId="0C778F2A" w14:textId="14692D80" w:rsidR="001A51DF" w:rsidRPr="002A677E" w:rsidRDefault="001A51DF" w:rsidP="00B055FF">
            <w:pPr>
              <w:pStyle w:val="InstructionsText"/>
              <w:rPr>
                <w:b/>
                <w:u w:val="single"/>
              </w:rPr>
            </w:pPr>
            <w:r w:rsidRPr="002A677E">
              <w:t>The figures reported shall be the fully adjusted exposure values before application of the conversion factor.</w:t>
            </w:r>
          </w:p>
        </w:tc>
      </w:tr>
      <w:tr w:rsidR="00464F34" w:rsidRPr="002A677E" w14:paraId="55E75C08" w14:textId="77777777" w:rsidTr="1C0539FB">
        <w:tc>
          <w:tcPr>
            <w:tcW w:w="1188" w:type="dxa"/>
          </w:tcPr>
          <w:p w14:paraId="051569DD" w14:textId="77777777" w:rsidR="00464F34" w:rsidRPr="002A677E" w:rsidRDefault="00FF15C6" w:rsidP="00B055FF">
            <w:pPr>
              <w:pStyle w:val="InstructionsText"/>
            </w:pPr>
            <w:r w:rsidRPr="002A677E">
              <w:lastRenderedPageBreak/>
              <w:t>0</w:t>
            </w:r>
            <w:r w:rsidR="00464F34" w:rsidRPr="002A677E">
              <w:t>200</w:t>
            </w:r>
          </w:p>
        </w:tc>
        <w:tc>
          <w:tcPr>
            <w:tcW w:w="8640" w:type="dxa"/>
          </w:tcPr>
          <w:p w14:paraId="218B097F" w14:textId="77777777" w:rsidR="00464F34" w:rsidRPr="002A677E" w:rsidRDefault="00464F34" w:rsidP="00B055FF">
            <w:pPr>
              <w:pStyle w:val="InstructionsText"/>
            </w:pPr>
            <w:r w:rsidRPr="002A677E">
              <w:rPr>
                <w:rStyle w:val="InstructionsTabelleberschrift"/>
                <w:rFonts w:ascii="Times New Roman" w:hAnsi="Times New Roman"/>
                <w:sz w:val="24"/>
              </w:rPr>
              <w:t>Exposure value</w:t>
            </w:r>
          </w:p>
          <w:p w14:paraId="6DF8082E" w14:textId="008DF90F" w:rsidR="00464F34" w:rsidRPr="002A677E" w:rsidRDefault="00531FC9" w:rsidP="00B055FF">
            <w:pPr>
              <w:pStyle w:val="InstructionsText"/>
            </w:pPr>
            <w:r w:rsidRPr="002A677E">
              <w:t xml:space="preserve">Article 111 </w:t>
            </w:r>
            <w:r w:rsidR="00F37BEE" w:rsidRPr="001235ED">
              <w:rPr>
                <w:lang w:val="en-US"/>
              </w:rPr>
              <w:t>of Regulation (EU) No 575/2013</w:t>
            </w:r>
            <w:r w:rsidRPr="002A677E">
              <w:t xml:space="preserve"> and </w:t>
            </w:r>
            <w:r w:rsidR="00D21B29" w:rsidRPr="002A677E">
              <w:t>Part Three</w:t>
            </w:r>
            <w:r w:rsidR="00F37BEE" w:rsidRPr="002A677E">
              <w:t>,</w:t>
            </w:r>
            <w:r w:rsidR="00D21B29" w:rsidRPr="002A677E">
              <w:t xml:space="preserve"> </w:t>
            </w:r>
            <w:r w:rsidR="00F37BEE" w:rsidRPr="002A677E">
              <w:t>Title II, Chapter 4, Section 4 of that Regulation</w:t>
            </w:r>
            <w:r w:rsidR="00464F34" w:rsidRPr="002A677E">
              <w:t>.</w:t>
            </w:r>
          </w:p>
          <w:p w14:paraId="5F5EABA5" w14:textId="2FD4B564" w:rsidR="00464F34" w:rsidRPr="002A677E" w:rsidRDefault="00464F34" w:rsidP="00B055FF">
            <w:pPr>
              <w:pStyle w:val="InstructionsText"/>
            </w:pPr>
            <w:r w:rsidRPr="002A677E">
              <w:t xml:space="preserve">Exposure value after taking into account value adjustments, all credit risk mitigants and credit conversion factors that is to be assigned to risk weights </w:t>
            </w:r>
            <w:r w:rsidR="00BB22D4" w:rsidRPr="002A677E">
              <w:t>in accordance with</w:t>
            </w:r>
            <w:r w:rsidRPr="002A677E">
              <w:t xml:space="preserve"> Article 113 and </w:t>
            </w:r>
            <w:r w:rsidR="00D21B29" w:rsidRPr="002A677E">
              <w:t>Part Three</w:t>
            </w:r>
            <w:r w:rsidR="00F37BEE" w:rsidRPr="002A677E">
              <w:t>,</w:t>
            </w:r>
            <w:r w:rsidR="00D21B29" w:rsidRPr="002A677E">
              <w:t xml:space="preserve"> </w:t>
            </w:r>
            <w:r w:rsidR="00F37BEE" w:rsidRPr="002A677E">
              <w:t xml:space="preserve">Title II, Chapter 2, Section 2 </w:t>
            </w:r>
            <w:r w:rsidR="00F37BEE" w:rsidRPr="001235ED">
              <w:rPr>
                <w:lang w:val="en-US"/>
              </w:rPr>
              <w:t>of Regulation (EU) No 575/2013</w:t>
            </w:r>
            <w:r w:rsidRPr="002A677E">
              <w:t>.</w:t>
            </w:r>
          </w:p>
          <w:p w14:paraId="4DEBB82D" w14:textId="0E3F90CD" w:rsidR="0029630E" w:rsidRPr="002A677E" w:rsidRDefault="0029630E" w:rsidP="00B055FF">
            <w:pPr>
              <w:pStyle w:val="InstructionsText"/>
            </w:pPr>
            <w:r w:rsidRPr="002A677E">
              <w:t xml:space="preserve">Exposure values for leases are subject to Article 134(7) </w:t>
            </w:r>
            <w:r w:rsidR="00F37BEE" w:rsidRPr="001235ED">
              <w:rPr>
                <w:lang w:val="en-US"/>
              </w:rPr>
              <w:t>of Regulation (EU) No 575/2013</w:t>
            </w:r>
            <w:r w:rsidRPr="002A677E">
              <w:t>. In particular, the residual value shall be included at its discounted residual value after taking into account value adjustments, all credit risk mitigants and credit conversion factors.</w:t>
            </w:r>
          </w:p>
          <w:p w14:paraId="67056B04" w14:textId="77777777" w:rsidR="007C64F7" w:rsidRPr="002A677E" w:rsidRDefault="007C64F7" w:rsidP="00B055FF">
            <w:pPr>
              <w:pStyle w:val="InstructionsText"/>
            </w:pPr>
            <w:r w:rsidRPr="002A677E">
              <w:t xml:space="preserve">Exposure values for CCR business shall be the same as reported in column </w:t>
            </w:r>
            <w:r w:rsidR="00E32BAE" w:rsidRPr="002A677E">
              <w:t>0</w:t>
            </w:r>
            <w:r w:rsidRPr="002A677E">
              <w:t>210.</w:t>
            </w:r>
          </w:p>
        </w:tc>
      </w:tr>
      <w:tr w:rsidR="00464F34" w:rsidRPr="002A677E" w14:paraId="155D82F9" w14:textId="77777777" w:rsidTr="1C0539FB">
        <w:tc>
          <w:tcPr>
            <w:tcW w:w="1188" w:type="dxa"/>
          </w:tcPr>
          <w:p w14:paraId="27C2881B" w14:textId="77777777" w:rsidR="00464F34" w:rsidRPr="002A677E" w:rsidRDefault="00FF15C6" w:rsidP="00B055FF">
            <w:pPr>
              <w:pStyle w:val="InstructionsText"/>
            </w:pPr>
            <w:r w:rsidRPr="002A677E">
              <w:t>0</w:t>
            </w:r>
            <w:r w:rsidR="00464F34" w:rsidRPr="002A677E">
              <w:t>210</w:t>
            </w:r>
          </w:p>
        </w:tc>
        <w:tc>
          <w:tcPr>
            <w:tcW w:w="8640" w:type="dxa"/>
          </w:tcPr>
          <w:p w14:paraId="6CEC4E8B" w14:textId="77777777" w:rsidR="00464F34" w:rsidRPr="002A677E" w:rsidRDefault="00464F34"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408E296D" w14:textId="618724A2" w:rsidR="007C64F7" w:rsidRPr="002A677E" w:rsidRDefault="007C64F7" w:rsidP="007C64F7">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w:t>
            </w:r>
            <w:r w:rsidR="00EA1F5A" w:rsidRPr="002A677E">
              <w:rPr>
                <w:rFonts w:ascii="Times New Roman" w:hAnsi="Times New Roman"/>
                <w:sz w:val="24"/>
                <w:szCs w:val="24"/>
              </w:rPr>
              <w:t>in accordance with</w:t>
            </w:r>
            <w:r w:rsidRPr="002A677E">
              <w:rPr>
                <w:rFonts w:ascii="Times New Roman" w:hAnsi="Times New Roman"/>
                <w:sz w:val="24"/>
                <w:szCs w:val="24"/>
              </w:rPr>
              <w:t xml:space="preserve"> the methods laid down in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of </w:t>
            </w:r>
            <w:r w:rsidR="00F37BEE" w:rsidRPr="001235ED">
              <w:rPr>
                <w:rFonts w:ascii="Times New Roman" w:hAnsi="Times New Roman"/>
                <w:sz w:val="24"/>
                <w:lang w:val="en-US"/>
              </w:rPr>
              <w:t>Regulation (EU) No 575/2013</w:t>
            </w:r>
            <w:r w:rsidRPr="002A677E">
              <w:rPr>
                <w:rFonts w:ascii="Times New Roman" w:hAnsi="Times New Roman"/>
                <w:sz w:val="24"/>
                <w:szCs w:val="24"/>
              </w:rPr>
              <w:t>, which is the relevant amount for the calculation of risk weighted exposure amounts, i.e. having applied CRM techniques as applicable in accordance with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w:t>
            </w:r>
            <w:r w:rsidR="00F37BEE"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w:t>
            </w:r>
            <w:r w:rsidR="00EA1F5A" w:rsidRPr="002A677E">
              <w:rPr>
                <w:rFonts w:ascii="Times New Roman" w:hAnsi="Times New Roman"/>
                <w:sz w:val="24"/>
                <w:szCs w:val="24"/>
              </w:rPr>
              <w:t>as referred to in</w:t>
            </w:r>
            <w:r w:rsidRPr="002A677E">
              <w:rPr>
                <w:rFonts w:ascii="Times New Roman" w:hAnsi="Times New Roman"/>
                <w:sz w:val="24"/>
                <w:szCs w:val="24"/>
              </w:rPr>
              <w:t xml:space="preserve"> Article 273</w:t>
            </w:r>
            <w:r w:rsidR="00C24ED2" w:rsidRPr="002A677E">
              <w:rPr>
                <w:rFonts w:ascii="Times New Roman" w:hAnsi="Times New Roman"/>
                <w:sz w:val="24"/>
                <w:szCs w:val="24"/>
              </w:rPr>
              <w:t>(6)</w:t>
            </w:r>
            <w:r w:rsidRPr="002A677E">
              <w:rPr>
                <w:rFonts w:ascii="Times New Roman" w:hAnsi="Times New Roman"/>
                <w:sz w:val="24"/>
                <w:szCs w:val="24"/>
              </w:rPr>
              <w:t xml:space="preserve"> </w:t>
            </w:r>
            <w:r w:rsidR="00F37BEE" w:rsidRPr="002A677E">
              <w:rPr>
                <w:rFonts w:ascii="Times New Roman" w:hAnsi="Times New Roman"/>
                <w:sz w:val="24"/>
                <w:szCs w:val="24"/>
              </w:rPr>
              <w:t>of that Regulation</w:t>
            </w:r>
            <w:r w:rsidRPr="002A677E">
              <w:rPr>
                <w:rFonts w:ascii="Times New Roman" w:hAnsi="Times New Roman"/>
                <w:sz w:val="24"/>
                <w:szCs w:val="24"/>
              </w:rPr>
              <w:t xml:space="preserve">. </w:t>
            </w:r>
          </w:p>
          <w:p w14:paraId="28D8090D" w14:textId="18955836" w:rsidR="007C64F7" w:rsidRPr="002A677E" w:rsidRDefault="007C64F7" w:rsidP="007C64F7">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37BEE" w:rsidRPr="001235ED">
              <w:rPr>
                <w:rFonts w:ascii="Times New Roman" w:hAnsi="Times New Roman"/>
                <w:sz w:val="24"/>
                <w:lang w:val="en-US"/>
              </w:rPr>
              <w:t>of Regulation (EU) No 575/2013</w:t>
            </w:r>
            <w:r w:rsidRPr="002A677E">
              <w:rPr>
                <w:rFonts w:ascii="Times New Roman" w:hAnsi="Times New Roman"/>
                <w:sz w:val="24"/>
              </w:rPr>
              <w:t>.</w:t>
            </w:r>
          </w:p>
          <w:p w14:paraId="6454696E" w14:textId="3465BEAC" w:rsidR="00464F34" w:rsidRPr="002A677E" w:rsidRDefault="007C64F7" w:rsidP="00B055FF">
            <w:pPr>
              <w:pStyle w:val="InstructionsText"/>
            </w:pPr>
            <w:r w:rsidRPr="002A677E">
              <w:t xml:space="preserve">For cases in which more than one CCR approach is used for a single counterparty, the incurred CVA loss, which is deducted at counterparty level, shall be assigned to the exposure value of the different netting sets in rows </w:t>
            </w:r>
            <w:r w:rsidR="00FF15C6" w:rsidRPr="002A677E">
              <w:t>0</w:t>
            </w:r>
            <w:r w:rsidRPr="002A677E">
              <w:t xml:space="preserve">090 - </w:t>
            </w:r>
            <w:r w:rsidR="00FF15C6" w:rsidRPr="002A677E">
              <w:t>0</w:t>
            </w:r>
            <w:r w:rsidRPr="002A677E">
              <w:t xml:space="preserve">130 reflecting the proportion of the exposure value post-CRM of the respective netting sets to the total exposure value post-CRM of the counterparty. For this purpose, the exposure value post-CRM as per the instructions to column </w:t>
            </w:r>
            <w:r w:rsidR="00FF15C6" w:rsidRPr="002A677E">
              <w:t>0</w:t>
            </w:r>
            <w:r w:rsidRPr="002A677E">
              <w:t>1</w:t>
            </w:r>
            <w:r w:rsidR="00240B06" w:rsidRPr="002A677E">
              <w:t>6</w:t>
            </w:r>
            <w:r w:rsidRPr="002A677E">
              <w:t>0 of template C</w:t>
            </w:r>
            <w:r w:rsidR="00DC0A81" w:rsidRPr="002A677E">
              <w:t xml:space="preserve"> </w:t>
            </w:r>
            <w:r w:rsidRPr="002A677E">
              <w:t>34.02 shall be used.</w:t>
            </w:r>
          </w:p>
        </w:tc>
      </w:tr>
      <w:tr w:rsidR="00E46AC0" w:rsidRPr="002A677E" w14:paraId="6D2DEC87" w14:textId="77777777" w:rsidTr="1C0539FB">
        <w:tc>
          <w:tcPr>
            <w:tcW w:w="1188" w:type="dxa"/>
          </w:tcPr>
          <w:p w14:paraId="3F76450D" w14:textId="77777777" w:rsidR="00E46AC0" w:rsidRPr="002A677E" w:rsidRDefault="00FF15C6" w:rsidP="00B055FF">
            <w:pPr>
              <w:pStyle w:val="InstructionsText"/>
            </w:pPr>
            <w:r w:rsidRPr="002A677E">
              <w:t>0</w:t>
            </w:r>
            <w:r w:rsidR="00E46AC0" w:rsidRPr="002A677E">
              <w:t>211</w:t>
            </w:r>
          </w:p>
        </w:tc>
        <w:tc>
          <w:tcPr>
            <w:tcW w:w="8640" w:type="dxa"/>
          </w:tcPr>
          <w:p w14:paraId="3743DF36"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 excluding exposures cleared through a CCP</w:t>
            </w:r>
          </w:p>
          <w:p w14:paraId="41D6EC24" w14:textId="37710B2B" w:rsidR="00E46AC0" w:rsidRPr="002A677E" w:rsidRDefault="00E46AC0" w:rsidP="00B055FF">
            <w:pPr>
              <w:pStyle w:val="InstructionsText"/>
              <w:rPr>
                <w:rStyle w:val="InstructionsTabelleberschrift"/>
                <w:rFonts w:ascii="Times New Roman" w:hAnsi="Times New Roman"/>
                <w:sz w:val="24"/>
              </w:rPr>
            </w:pPr>
            <w:r w:rsidRPr="001235ED">
              <w:t xml:space="preserve">Exposures reported in </w:t>
            </w:r>
            <w:r w:rsidR="00650529" w:rsidRPr="002A677E">
              <w:t>column</w:t>
            </w:r>
            <w:r w:rsidR="00FF15C6" w:rsidRPr="002A677E">
              <w:t xml:space="preserve"> 0</w:t>
            </w:r>
            <w:r w:rsidRPr="002A677E">
              <w:t>210 excluding those arising from contracts and transactions listed in Article 301(1)</w:t>
            </w:r>
            <w:r w:rsidR="0044539D" w:rsidRPr="002A677E">
              <w:t xml:space="preserve"> </w:t>
            </w:r>
            <w:r w:rsidR="00F37BEE" w:rsidRPr="001235ED">
              <w:rPr>
                <w:lang w:val="en-US"/>
              </w:rPr>
              <w:t>of Regulation (EU) No 575/2013</w:t>
            </w:r>
            <w:r w:rsidRPr="002A677E">
              <w:t xml:space="preserve"> as long as they are outstanding with a central counterparty (CCP), including CCP-related transactions defined in point (2) of Article 300 </w:t>
            </w:r>
            <w:r w:rsidR="00F37BEE" w:rsidRPr="001235ED">
              <w:rPr>
                <w:lang w:val="en-US"/>
              </w:rPr>
              <w:t>of that Regulation</w:t>
            </w:r>
            <w:r w:rsidRPr="002A677E">
              <w:t>.</w:t>
            </w:r>
          </w:p>
        </w:tc>
      </w:tr>
      <w:tr w:rsidR="00E46AC0" w:rsidRPr="002A677E" w14:paraId="25D246EF" w14:textId="77777777" w:rsidTr="1C0539FB">
        <w:tc>
          <w:tcPr>
            <w:tcW w:w="1188" w:type="dxa"/>
          </w:tcPr>
          <w:p w14:paraId="15D7F3E0" w14:textId="77777777" w:rsidR="00E46AC0" w:rsidRPr="002A677E" w:rsidRDefault="00FF15C6" w:rsidP="00B055FF">
            <w:pPr>
              <w:pStyle w:val="InstructionsText"/>
            </w:pPr>
            <w:r w:rsidRPr="002A677E">
              <w:t>0</w:t>
            </w:r>
            <w:r w:rsidR="00E46AC0" w:rsidRPr="002A677E">
              <w:t>215</w:t>
            </w:r>
          </w:p>
        </w:tc>
        <w:tc>
          <w:tcPr>
            <w:tcW w:w="8640" w:type="dxa"/>
          </w:tcPr>
          <w:p w14:paraId="18B3A388"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p>
          <w:p w14:paraId="3E955300" w14:textId="5E4EFC98" w:rsidR="00696434" w:rsidRPr="002A677E" w:rsidRDefault="00E46AC0" w:rsidP="00B055FF">
            <w:pPr>
              <w:pStyle w:val="InstructionsText"/>
            </w:pPr>
            <w:r w:rsidRPr="002A677E">
              <w:t>Article 113</w:t>
            </w:r>
            <w:r w:rsidR="00B83DDE">
              <w:t>, p</w:t>
            </w:r>
            <w:r w:rsidR="00880E92" w:rsidRPr="002A677E">
              <w:t xml:space="preserve">aragraphs 1 to 5 </w:t>
            </w:r>
            <w:r w:rsidR="00F37BEE" w:rsidRPr="001235ED">
              <w:rPr>
                <w:lang w:val="en-US"/>
              </w:rPr>
              <w:t>of Regulation (EU) No 575/2013</w:t>
            </w:r>
            <w:r w:rsidRPr="002A677E">
              <w:t xml:space="preserve">, without taking into account the SME and </w:t>
            </w:r>
            <w:r w:rsidR="001A217F" w:rsidRPr="002A677E">
              <w:t>i</w:t>
            </w:r>
            <w:r w:rsidRPr="002A677E">
              <w:t xml:space="preserve">nfrastructure </w:t>
            </w:r>
            <w:r w:rsidR="005C29CD" w:rsidRPr="002A677E">
              <w:t xml:space="preserve">supporting factors </w:t>
            </w:r>
            <w:r w:rsidR="00927B49" w:rsidRPr="002A677E">
              <w:t>laid down in</w:t>
            </w:r>
            <w:r w:rsidRPr="002A677E">
              <w:t xml:space="preserve"> Article 501 and </w:t>
            </w:r>
            <w:r w:rsidR="00127FEA" w:rsidRPr="002A677E">
              <w:t xml:space="preserve">Article </w:t>
            </w:r>
            <w:r w:rsidRPr="002A677E">
              <w:t xml:space="preserve">501a </w:t>
            </w:r>
            <w:r w:rsidR="00F37BEE" w:rsidRPr="001235ED">
              <w:rPr>
                <w:lang w:val="en-US"/>
              </w:rPr>
              <w:t xml:space="preserve">of that </w:t>
            </w:r>
            <w:r w:rsidR="009E4A27">
              <w:rPr>
                <w:lang w:val="en-US"/>
              </w:rPr>
              <w:t>Regulation</w:t>
            </w:r>
          </w:p>
          <w:p w14:paraId="019E027E" w14:textId="536419C1" w:rsidR="00E46AC0" w:rsidRPr="002A677E" w:rsidRDefault="007D1F12" w:rsidP="00B055FF">
            <w:pPr>
              <w:pStyle w:val="InstructionsText"/>
              <w:rPr>
                <w:b/>
                <w:u w:val="single"/>
              </w:rPr>
            </w:pPr>
            <w:r w:rsidRPr="002A677E">
              <w:lastRenderedPageBreak/>
              <w:t xml:space="preserve">The risk weighted exposure amount of the residual value of leasing assets </w:t>
            </w:r>
            <w:r w:rsidR="00696434" w:rsidRPr="002A677E">
              <w:t xml:space="preserve">shall be </w:t>
            </w:r>
            <w:r w:rsidRPr="002A677E">
              <w:t>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6664DE3E" w14:textId="77777777" w:rsidTr="1C0539FB">
        <w:tc>
          <w:tcPr>
            <w:tcW w:w="1188" w:type="dxa"/>
          </w:tcPr>
          <w:p w14:paraId="0EF80A48" w14:textId="77777777" w:rsidR="00E46AC0" w:rsidRPr="002A677E" w:rsidRDefault="00FF15C6" w:rsidP="00B055FF">
            <w:pPr>
              <w:pStyle w:val="InstructionsText"/>
            </w:pPr>
            <w:r w:rsidRPr="002A677E">
              <w:lastRenderedPageBreak/>
              <w:t>0</w:t>
            </w:r>
            <w:r w:rsidR="00E46AC0" w:rsidRPr="002A677E">
              <w:t>216</w:t>
            </w:r>
          </w:p>
        </w:tc>
        <w:tc>
          <w:tcPr>
            <w:tcW w:w="8640" w:type="dxa"/>
          </w:tcPr>
          <w:p w14:paraId="5CAF27C3"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Adjustment to the risk-weighted exposure amount due to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46953D7E" w14:textId="3819F1D8" w:rsidR="00E46AC0" w:rsidRPr="002A677E" w:rsidRDefault="00E46AC0" w:rsidP="00B055FF">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Part Three</w:t>
            </w:r>
            <w:r w:rsidR="00F37BEE" w:rsidRPr="002A677E">
              <w:t>,</w:t>
            </w:r>
            <w:r w:rsidRPr="002A677E">
              <w:t xml:space="preserve"> </w:t>
            </w:r>
            <w:r w:rsidR="00F37BEE" w:rsidRPr="002A677E">
              <w:t xml:space="preserve">Title II, Chapter 2 </w:t>
            </w:r>
            <w:r w:rsidR="00F37BEE" w:rsidRPr="001235ED">
              <w:rPr>
                <w:lang w:val="en-US"/>
              </w:rPr>
              <w:t>of Regulation (EU) No 575/2013</w:t>
            </w:r>
            <w:r w:rsidRPr="002A677E">
              <w:t xml:space="preserve">, as applicable and RWEA* </w:t>
            </w:r>
            <w:r w:rsidR="00EA1F5A" w:rsidRPr="002A677E">
              <w:t>in accordance with</w:t>
            </w:r>
            <w:r w:rsidRPr="002A677E">
              <w:t xml:space="preserve"> Article 501</w:t>
            </w:r>
            <w:r w:rsidR="00B83DDE">
              <w:t>, p</w:t>
            </w:r>
            <w:r w:rsidR="00880E92" w:rsidRPr="002A677E">
              <w:t xml:space="preserve">oint (1) </w:t>
            </w:r>
            <w:r w:rsidR="00F37BEE" w:rsidRPr="002A677E">
              <w:t>of that Regulation</w:t>
            </w:r>
          </w:p>
        </w:tc>
      </w:tr>
      <w:tr w:rsidR="00E46AC0" w:rsidRPr="002A677E" w14:paraId="37669B83" w14:textId="77777777" w:rsidTr="1C0539FB">
        <w:tc>
          <w:tcPr>
            <w:tcW w:w="1188" w:type="dxa"/>
          </w:tcPr>
          <w:p w14:paraId="46AED7B3" w14:textId="77777777" w:rsidR="00E46AC0" w:rsidRPr="002A677E" w:rsidRDefault="00FF15C6" w:rsidP="00B055FF">
            <w:pPr>
              <w:pStyle w:val="InstructionsText"/>
            </w:pPr>
            <w:r w:rsidRPr="002A677E">
              <w:t>0</w:t>
            </w:r>
            <w:r w:rsidR="00E46AC0" w:rsidRPr="002A677E">
              <w:t>217</w:t>
            </w:r>
          </w:p>
        </w:tc>
        <w:tc>
          <w:tcPr>
            <w:tcW w:w="8640" w:type="dxa"/>
          </w:tcPr>
          <w:p w14:paraId="3C95CC70"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w:t>
            </w:r>
            <w:r w:rsidR="00E50FA0" w:rsidRPr="002A677E">
              <w:rPr>
                <w:rStyle w:val="InstructionsTabelleberschrift"/>
                <w:rFonts w:ascii="Times New Roman" w:hAnsi="Times New Roman"/>
                <w:sz w:val="24"/>
              </w:rPr>
              <w:t xml:space="preserve">the </w:t>
            </w:r>
            <w:r w:rsidR="005C29CD" w:rsidRPr="002A677E">
              <w:rPr>
                <w:rStyle w:val="InstructionsTabelleberschrift"/>
                <w:rFonts w:ascii="Times New Roman" w:hAnsi="Times New Roman"/>
                <w:sz w:val="24"/>
              </w:rPr>
              <w:t xml:space="preserve">infrastructure </w:t>
            </w:r>
            <w:r w:rsidR="00696434" w:rsidRPr="002A677E">
              <w:rPr>
                <w:rStyle w:val="InstructionsTabelleberschrift"/>
                <w:rFonts w:ascii="Times New Roman" w:hAnsi="Times New Roman"/>
                <w:sz w:val="24"/>
              </w:rPr>
              <w:t>supporting factor</w:t>
            </w:r>
          </w:p>
          <w:p w14:paraId="59D0B96E" w14:textId="245D7844" w:rsidR="00E46AC0" w:rsidRPr="002A677E" w:rsidRDefault="00E46AC0" w:rsidP="00B055FF">
            <w:pPr>
              <w:pStyle w:val="InstructionsText"/>
              <w:rPr>
                <w:rStyle w:val="InstructionsTabelleberschrift"/>
                <w:rFonts w:ascii="Times New Roman" w:hAnsi="Times New Roman"/>
                <w:sz w:val="24"/>
              </w:rPr>
            </w:pPr>
            <w:r w:rsidRPr="001235ED">
              <w:t>Deduction of the difference of the risk weighted exposure amounts calculated in ac</w:t>
            </w:r>
            <w:r w:rsidR="001B1F77" w:rsidRPr="002A677E">
              <w:t>cordance with Part Three</w:t>
            </w:r>
            <w:r w:rsidR="00F37BEE" w:rsidRPr="002A677E">
              <w:t>,</w:t>
            </w:r>
            <w:r w:rsidR="001B1F77" w:rsidRPr="002A677E">
              <w:t xml:space="preserve"> </w:t>
            </w:r>
            <w:r w:rsidR="00F37BEE" w:rsidRPr="002A677E">
              <w:t xml:space="preserve">Title II </w:t>
            </w:r>
            <w:r w:rsidR="00F37BEE"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w:t>
            </w:r>
            <w:r w:rsidR="00EA1F5A" w:rsidRPr="002A677E">
              <w:t>in accordance with</w:t>
            </w:r>
            <w:r w:rsidRPr="002A677E">
              <w:t xml:space="preserve"> Art</w:t>
            </w:r>
            <w:r w:rsidR="001B1F77" w:rsidRPr="002A677E">
              <w:t>icle</w:t>
            </w:r>
            <w:r w:rsidRPr="002A677E">
              <w:t xml:space="preserve"> 501a </w:t>
            </w:r>
            <w:r w:rsidR="00E7205D" w:rsidRPr="001235ED">
              <w:rPr>
                <w:lang w:val="en-US"/>
              </w:rPr>
              <w:t>of that Regulation</w:t>
            </w:r>
            <w:r w:rsidRPr="002A677E">
              <w:t>.</w:t>
            </w:r>
          </w:p>
        </w:tc>
      </w:tr>
      <w:tr w:rsidR="00E46AC0" w:rsidRPr="002A677E" w14:paraId="6AA348EC" w14:textId="77777777" w:rsidTr="1C0539FB">
        <w:tc>
          <w:tcPr>
            <w:tcW w:w="1188" w:type="dxa"/>
          </w:tcPr>
          <w:p w14:paraId="7668AF4D" w14:textId="77777777" w:rsidR="00E46AC0" w:rsidRPr="002A677E" w:rsidRDefault="00FF15C6" w:rsidP="00B055FF">
            <w:pPr>
              <w:pStyle w:val="InstructionsText"/>
            </w:pPr>
            <w:r w:rsidRPr="002A677E">
              <w:t>0</w:t>
            </w:r>
            <w:r w:rsidR="00E46AC0" w:rsidRPr="002A677E">
              <w:t>220</w:t>
            </w:r>
          </w:p>
        </w:tc>
        <w:tc>
          <w:tcPr>
            <w:tcW w:w="8640" w:type="dxa"/>
          </w:tcPr>
          <w:p w14:paraId="291A1E73"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w:t>
            </w:r>
            <w:r w:rsidR="001B1F77" w:rsidRPr="002A677E">
              <w:rPr>
                <w:rStyle w:val="InstructionsTabelleberschrift"/>
                <w:rFonts w:ascii="Times New Roman" w:hAnsi="Times New Roman"/>
                <w:sz w:val="24"/>
              </w:rPr>
              <w:t>s</w:t>
            </w:r>
          </w:p>
          <w:p w14:paraId="6A0EF6D2" w14:textId="2B28D707" w:rsidR="00696434" w:rsidRPr="002A677E" w:rsidRDefault="00E46AC0" w:rsidP="00B055FF">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taking into account the SME</w:t>
            </w:r>
            <w:r w:rsidR="001B1F77" w:rsidRPr="002A677E">
              <w:t xml:space="preserve"> and </w:t>
            </w:r>
            <w:r w:rsidR="001A217F" w:rsidRPr="002A677E">
              <w:t>i</w:t>
            </w:r>
            <w:r w:rsidR="001B1F77" w:rsidRPr="002A677E">
              <w:t xml:space="preserve">nfrastructure </w:t>
            </w:r>
            <w:r w:rsidR="005C29CD" w:rsidRPr="002A677E">
              <w:t xml:space="preserve">supporting factors </w:t>
            </w:r>
            <w:r w:rsidR="00927B49" w:rsidRPr="002A677E">
              <w:t>laid down</w:t>
            </w:r>
            <w:r w:rsidRPr="002A677E">
              <w:t xml:space="preserve"> in Article 501 </w:t>
            </w:r>
            <w:r w:rsidR="001B1F77" w:rsidRPr="002A677E">
              <w:t xml:space="preserve">and </w:t>
            </w:r>
            <w:r w:rsidR="00927B49" w:rsidRPr="002A677E">
              <w:t xml:space="preserve">Article </w:t>
            </w:r>
            <w:r w:rsidR="001B1F77" w:rsidRPr="002A677E">
              <w:t xml:space="preserve">501a </w:t>
            </w:r>
            <w:r w:rsidR="00E7205D" w:rsidRPr="001235ED">
              <w:rPr>
                <w:lang w:val="en-US"/>
              </w:rPr>
              <w:t xml:space="preserve">of that Regulation </w:t>
            </w:r>
          </w:p>
          <w:p w14:paraId="5B1FB659" w14:textId="423CD269" w:rsidR="00E46AC0" w:rsidRPr="002A677E" w:rsidRDefault="007D1F12" w:rsidP="00B055FF">
            <w:pPr>
              <w:pStyle w:val="InstructionsText"/>
              <w:rPr>
                <w:b/>
                <w:u w:val="single"/>
              </w:rPr>
            </w:pPr>
            <w:r w:rsidRPr="002A677E">
              <w:t>The risk weighted exposure amount of the residual value of leasing assets is 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0F9FF0CB" w14:textId="77777777" w:rsidTr="1C0539FB">
        <w:tc>
          <w:tcPr>
            <w:tcW w:w="1188" w:type="dxa"/>
            <w:shd w:val="clear" w:color="auto" w:fill="auto"/>
          </w:tcPr>
          <w:p w14:paraId="153188B6" w14:textId="77777777" w:rsidR="00E46AC0" w:rsidRPr="002A677E" w:rsidRDefault="00FF15C6" w:rsidP="00B055FF">
            <w:pPr>
              <w:pStyle w:val="InstructionsText"/>
            </w:pPr>
            <w:r w:rsidRPr="002A677E">
              <w:t>0</w:t>
            </w:r>
            <w:r w:rsidR="00E46AC0" w:rsidRPr="002A677E">
              <w:t>230</w:t>
            </w:r>
          </w:p>
        </w:tc>
        <w:tc>
          <w:tcPr>
            <w:tcW w:w="8640" w:type="dxa"/>
            <w:shd w:val="clear" w:color="auto" w:fill="auto"/>
          </w:tcPr>
          <w:p w14:paraId="28567513" w14:textId="77777777" w:rsidR="00E46AC0" w:rsidRPr="002A677E" w:rsidRDefault="00E46AC0"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17D63445" w14:textId="4FB26D13" w:rsidR="00E46AC0" w:rsidRPr="002A677E" w:rsidRDefault="00E46AC0" w:rsidP="00B055FF">
            <w:pPr>
              <w:pStyle w:val="InstructionsText"/>
            </w:pPr>
            <w:r w:rsidRPr="002A677E">
              <w:t>Article 112</w:t>
            </w:r>
            <w:r w:rsidR="00B83DDE">
              <w:t>, p</w:t>
            </w:r>
            <w:r w:rsidR="00880E92" w:rsidRPr="002A677E">
              <w:t>oints (a) to (d), (f), (g), (l), (n), (o) and (q)</w:t>
            </w:r>
            <w:r w:rsidR="002E7287">
              <w:t>,</w:t>
            </w:r>
            <w:r w:rsidR="00880E92" w:rsidRPr="002A677E">
              <w:t xml:space="preserve"> </w:t>
            </w:r>
            <w:r w:rsidR="00E7205D" w:rsidRPr="001235ED">
              <w:rPr>
                <w:lang w:val="en-US"/>
              </w:rPr>
              <w:t>of Regulation (EU) No 575/2013</w:t>
            </w:r>
          </w:p>
        </w:tc>
      </w:tr>
      <w:tr w:rsidR="00EF5C5E" w:rsidRPr="002A677E" w14:paraId="516A8D19" w14:textId="77777777" w:rsidTr="00E40F04">
        <w:tc>
          <w:tcPr>
            <w:tcW w:w="1188" w:type="dxa"/>
            <w:shd w:val="clear" w:color="auto" w:fill="auto"/>
          </w:tcPr>
          <w:p w14:paraId="3B642F2D" w14:textId="77777777" w:rsidR="00EF5C5E" w:rsidRPr="002A677E" w:rsidRDefault="00EF5C5E" w:rsidP="00B055FF">
            <w:pPr>
              <w:pStyle w:val="InstructionsText"/>
            </w:pPr>
            <w:r>
              <w:t>0241</w:t>
            </w:r>
          </w:p>
        </w:tc>
        <w:tc>
          <w:tcPr>
            <w:tcW w:w="8640" w:type="dxa"/>
            <w:shd w:val="clear" w:color="auto" w:fill="auto"/>
          </w:tcPr>
          <w:p w14:paraId="0D72B3BB" w14:textId="77777777" w:rsidR="00EF5C5E" w:rsidRDefault="00EF5C5E" w:rsidP="00DA09CD">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 ITEM: RWEA RELATED TO THE IMPACT OF APPLICATION OF TRANSITIONAL PROVISIONS ON CCF FOR UNCONDITIONALLY CANCELLABLE COMMITMENTS</w:t>
            </w:r>
          </w:p>
          <w:p w14:paraId="0465D35F" w14:textId="77777777" w:rsidR="00EF5C5E" w:rsidRPr="006B6F04" w:rsidRDefault="00EF5C5E" w:rsidP="00DA09CD">
            <w:pPr>
              <w:pStyle w:val="InstructionsText"/>
              <w:rPr>
                <w:rStyle w:val="InstructionsTabelleberschrift"/>
                <w:rFonts w:ascii="Times New Roman" w:hAnsi="Times New Roman"/>
                <w:b w:val="0"/>
                <w:bCs w:val="0"/>
                <w:sz w:val="24"/>
                <w:u w:val="none"/>
              </w:rPr>
            </w:pPr>
            <w:r w:rsidRPr="006B6F04">
              <w:rPr>
                <w:rStyle w:val="InstructionsTabelleberschrift"/>
                <w:rFonts w:ascii="Times New Roman" w:hAnsi="Times New Roman"/>
                <w:b w:val="0"/>
                <w:bCs w:val="0"/>
                <w:sz w:val="24"/>
                <w:u w:val="none"/>
              </w:rPr>
              <w:t>Article 495d</w:t>
            </w:r>
            <w:r>
              <w:rPr>
                <w:rStyle w:val="InstructionsTabelleberschrift"/>
                <w:rFonts w:ascii="Times New Roman" w:hAnsi="Times New Roman"/>
                <w:b w:val="0"/>
                <w:bCs w:val="0"/>
                <w:sz w:val="24"/>
                <w:u w:val="none"/>
              </w:rPr>
              <w:t xml:space="preserve"> of Regulation (EU) No 575/2013. The difference between the RWEA calculated without applying the transitional provisions and the RWEA calculated applying the transitional provisions shall be reported. </w:t>
            </w:r>
          </w:p>
        </w:tc>
      </w:tr>
    </w:tbl>
    <w:p w14:paraId="310FB6E2" w14:textId="77777777" w:rsidR="00464F34" w:rsidRPr="002A677E" w:rsidRDefault="00464F34" w:rsidP="00B055F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24B43B11">
        <w:tc>
          <w:tcPr>
            <w:tcW w:w="1188" w:type="dxa"/>
            <w:shd w:val="clear" w:color="auto" w:fill="CCCCCC"/>
          </w:tcPr>
          <w:p w14:paraId="42E7C874" w14:textId="77777777" w:rsidR="00464F34" w:rsidRPr="002A677E" w:rsidRDefault="007106FB" w:rsidP="00B055FF">
            <w:pPr>
              <w:pStyle w:val="InstructionsText"/>
            </w:pPr>
            <w:r w:rsidRPr="002A677E">
              <w:t>R</w:t>
            </w:r>
            <w:r w:rsidR="00464F34" w:rsidRPr="002A677E">
              <w:t>ows</w:t>
            </w:r>
          </w:p>
        </w:tc>
        <w:tc>
          <w:tcPr>
            <w:tcW w:w="8701" w:type="dxa"/>
            <w:shd w:val="clear" w:color="auto" w:fill="CCCCCC"/>
          </w:tcPr>
          <w:p w14:paraId="5101E780" w14:textId="77777777" w:rsidR="00464F34" w:rsidRPr="002A677E" w:rsidRDefault="00464F34" w:rsidP="00B055FF">
            <w:pPr>
              <w:pStyle w:val="InstructionsText"/>
            </w:pPr>
            <w:r w:rsidRPr="002A677E">
              <w:t>Instructions</w:t>
            </w:r>
          </w:p>
        </w:tc>
      </w:tr>
      <w:tr w:rsidR="00464F34" w:rsidRPr="002A677E" w14:paraId="4200F5F5" w14:textId="77777777" w:rsidTr="24B43B11">
        <w:tc>
          <w:tcPr>
            <w:tcW w:w="1188" w:type="dxa"/>
          </w:tcPr>
          <w:p w14:paraId="13D34CD0" w14:textId="77777777" w:rsidR="00464F34" w:rsidRPr="002A677E" w:rsidRDefault="00FF15C6" w:rsidP="00B055FF">
            <w:pPr>
              <w:pStyle w:val="InstructionsText"/>
            </w:pPr>
            <w:r w:rsidRPr="002A677E">
              <w:t>0</w:t>
            </w:r>
            <w:r w:rsidR="00464F34" w:rsidRPr="002A677E">
              <w:t>010</w:t>
            </w:r>
          </w:p>
        </w:tc>
        <w:tc>
          <w:tcPr>
            <w:tcW w:w="8701" w:type="dxa"/>
          </w:tcPr>
          <w:p w14:paraId="2C368109" w14:textId="77777777" w:rsidR="00464F34" w:rsidRPr="002A677E" w:rsidRDefault="00464F34" w:rsidP="00B055FF">
            <w:pPr>
              <w:pStyle w:val="InstructionsText"/>
            </w:pPr>
            <w:r w:rsidRPr="002A677E">
              <w:rPr>
                <w:rStyle w:val="InstructionsTabelleberschrift"/>
                <w:rFonts w:ascii="Times New Roman" w:hAnsi="Times New Roman"/>
                <w:sz w:val="24"/>
              </w:rPr>
              <w:t>Total exposures</w:t>
            </w:r>
          </w:p>
        </w:tc>
      </w:tr>
      <w:tr w:rsidR="00373762" w:rsidRPr="002A677E" w14:paraId="3CBB5149" w14:textId="77777777" w:rsidTr="24B43B11">
        <w:tc>
          <w:tcPr>
            <w:tcW w:w="1188" w:type="dxa"/>
          </w:tcPr>
          <w:p w14:paraId="6C15DAA6" w14:textId="0081AE2F" w:rsidR="00373762" w:rsidRPr="002A677E" w:rsidRDefault="00373762" w:rsidP="00B055FF">
            <w:pPr>
              <w:pStyle w:val="InstructionsText"/>
            </w:pPr>
            <w:r>
              <w:t>0011</w:t>
            </w:r>
          </w:p>
        </w:tc>
        <w:tc>
          <w:tcPr>
            <w:tcW w:w="8701" w:type="dxa"/>
          </w:tcPr>
          <w:p w14:paraId="0A03EE8F" w14:textId="77777777" w:rsidR="00373762" w:rsidRDefault="0037376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Pr>
                <w:rStyle w:val="InstructionsTabelleberschrift"/>
                <w:rFonts w:ascii="Times New Roman" w:hAnsi="Times New Roman"/>
                <w:sz w:val="24"/>
              </w:rPr>
              <w:t>Exposures to central banks</w:t>
            </w:r>
          </w:p>
          <w:p w14:paraId="1D7215CE" w14:textId="1AA24C96" w:rsidR="00373762" w:rsidRPr="002A677E" w:rsidRDefault="00373762" w:rsidP="00B055FF">
            <w:pPr>
              <w:pStyle w:val="InstructionsText"/>
              <w:rPr>
                <w:rStyle w:val="InstructionsTabelleberschrift"/>
                <w:rFonts w:ascii="Times New Roman" w:hAnsi="Times New Roman"/>
                <w:sz w:val="24"/>
              </w:rPr>
            </w:pPr>
            <w:r w:rsidRPr="005962FC">
              <w:rPr>
                <w:rStyle w:val="InstructionsTabelleberschrift"/>
                <w:rFonts w:ascii="Times New Roman" w:hAnsi="Times New Roman"/>
                <w:b w:val="0"/>
                <w:bCs w:val="0"/>
                <w:sz w:val="24"/>
              </w:rPr>
              <w:t>Article 112(a) of</w:t>
            </w:r>
            <w:r>
              <w:rPr>
                <w:rStyle w:val="InstructionsTabelleberschrift"/>
                <w:rFonts w:ascii="Times New Roman" w:hAnsi="Times New Roman"/>
                <w:b w:val="0"/>
                <w:bCs w:val="0"/>
                <w:sz w:val="24"/>
              </w:rPr>
              <w:t xml:space="preserve"> </w:t>
            </w:r>
            <w:r w:rsidRPr="001235ED">
              <w:rPr>
                <w:lang w:val="en-US"/>
              </w:rPr>
              <w:t>Regulation (EU) No 575/20</w:t>
            </w:r>
            <w:r w:rsidR="00C54203">
              <w:rPr>
                <w:lang w:val="en-US"/>
              </w:rPr>
              <w:t>13</w:t>
            </w:r>
            <w:r>
              <w:rPr>
                <w:lang w:val="en-US"/>
              </w:rPr>
              <w:t>.</w:t>
            </w:r>
            <w:r>
              <w:rPr>
                <w:rStyle w:val="InstructionsTabelleberschrift"/>
                <w:rFonts w:ascii="Times New Roman" w:hAnsi="Times New Roman"/>
                <w:b w:val="0"/>
                <w:bCs w:val="0"/>
                <w:sz w:val="24"/>
              </w:rPr>
              <w:t xml:space="preserve"> </w:t>
            </w:r>
            <w:r w:rsidRPr="005962FC">
              <w:rPr>
                <w:rStyle w:val="InstructionsTabelleberschrift"/>
                <w:rFonts w:ascii="Times New Roman" w:hAnsi="Times New Roman"/>
                <w:b w:val="0"/>
                <w:bCs w:val="0"/>
                <w:sz w:val="24"/>
              </w:rPr>
              <w:t xml:space="preserve"> </w:t>
            </w:r>
          </w:p>
        </w:tc>
      </w:tr>
      <w:tr w:rsidR="00373762" w:rsidRPr="002A677E" w14:paraId="5E466513" w14:textId="77777777" w:rsidTr="24B43B11">
        <w:tc>
          <w:tcPr>
            <w:tcW w:w="1188" w:type="dxa"/>
          </w:tcPr>
          <w:p w14:paraId="39E8A0FB" w14:textId="77777777" w:rsidR="00373762" w:rsidRPr="002A677E" w:rsidRDefault="00373762" w:rsidP="00B055FF">
            <w:pPr>
              <w:pStyle w:val="InstructionsText"/>
            </w:pPr>
            <w:r w:rsidRPr="002A677E">
              <w:t>0015</w:t>
            </w:r>
          </w:p>
        </w:tc>
        <w:tc>
          <w:tcPr>
            <w:tcW w:w="8701" w:type="dxa"/>
          </w:tcPr>
          <w:p w14:paraId="2C748305" w14:textId="21C06348" w:rsidR="00373762" w:rsidRPr="002A677E" w:rsidRDefault="0037376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 “equity exposures”</w:t>
            </w:r>
          </w:p>
          <w:p w14:paraId="0CD31563" w14:textId="497F1A0E" w:rsidR="00373762" w:rsidRPr="002A677E" w:rsidRDefault="00373762" w:rsidP="00B055FF">
            <w:pPr>
              <w:pStyle w:val="InstructionsText"/>
            </w:pPr>
            <w:r w:rsidRPr="002A677E">
              <w:lastRenderedPageBreak/>
              <w:t xml:space="preserve">Article 127 </w:t>
            </w:r>
            <w:r w:rsidRPr="001235ED">
              <w:rPr>
                <w:lang w:val="en-US"/>
              </w:rPr>
              <w:t>of Regulation (EU) No 575/2013</w:t>
            </w:r>
          </w:p>
          <w:p w14:paraId="18E81DC8" w14:textId="6CAD87A9" w:rsidR="00373762" w:rsidRPr="002A677E" w:rsidRDefault="00373762" w:rsidP="00B055FF">
            <w:pPr>
              <w:pStyle w:val="InstructionsText"/>
            </w:pPr>
            <w:r w:rsidRPr="002A677E">
              <w:t>This row shall only be reported in exposure class ‘Equity exposures’.</w:t>
            </w:r>
          </w:p>
          <w:p w14:paraId="1BCB3895" w14:textId="192A494B" w:rsidR="00373762" w:rsidRPr="002A677E" w:rsidRDefault="00373762" w:rsidP="00B055FF">
            <w:pPr>
              <w:pStyle w:val="InstructionsText"/>
            </w:pPr>
            <w:r w:rsidRPr="002A677E">
              <w:t>An exposure that is</w:t>
            </w:r>
            <w:r w:rsidR="00527C18">
              <w:t xml:space="preserve"> </w:t>
            </w:r>
            <w:r w:rsidRPr="002A677E">
              <w:t xml:space="preserve">listed in Article 133 </w:t>
            </w:r>
            <w:r w:rsidRPr="001235ED">
              <w:rPr>
                <w:lang w:val="en-US"/>
              </w:rPr>
              <w:t>of Regulation (EU) No 575/2013</w:t>
            </w:r>
            <w:r w:rsidRPr="002A677E">
              <w:t xml:space="preserve"> shall be assigned to the exposure class “Equity exposures”. Consequently, there shall be no other allocation, even in case of an exposure in default as referred to in Article 127 </w:t>
            </w:r>
            <w:r w:rsidRPr="001235ED">
              <w:rPr>
                <w:lang w:val="en-US"/>
              </w:rPr>
              <w:t>of Regulation (EU) No 575/2013</w:t>
            </w:r>
            <w:r w:rsidRPr="002A677E">
              <w:t>.</w:t>
            </w:r>
          </w:p>
        </w:tc>
      </w:tr>
      <w:tr w:rsidR="00373762" w:rsidRPr="002A677E" w14:paraId="14FD232E" w14:textId="77777777" w:rsidTr="24B43B11">
        <w:tc>
          <w:tcPr>
            <w:tcW w:w="1188" w:type="dxa"/>
            <w:shd w:val="clear" w:color="auto" w:fill="auto"/>
          </w:tcPr>
          <w:p w14:paraId="4DA0658A" w14:textId="77777777" w:rsidR="00373762" w:rsidRPr="002A677E" w:rsidRDefault="00373762" w:rsidP="00B055FF">
            <w:pPr>
              <w:pStyle w:val="InstructionsText"/>
            </w:pPr>
            <w:r w:rsidRPr="002A677E">
              <w:lastRenderedPageBreak/>
              <w:t>0020</w:t>
            </w:r>
          </w:p>
        </w:tc>
        <w:tc>
          <w:tcPr>
            <w:tcW w:w="8701" w:type="dxa"/>
            <w:shd w:val="clear" w:color="auto" w:fill="auto"/>
          </w:tcPr>
          <w:p w14:paraId="1D643E98" w14:textId="77777777" w:rsidR="00373762" w:rsidRPr="002A677E" w:rsidRDefault="0037376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29C2106E" w14:textId="3DE61584" w:rsidR="00373762" w:rsidRPr="002A677E" w:rsidRDefault="00232245" w:rsidP="00B055FF">
            <w:pPr>
              <w:pStyle w:val="InstructionsText"/>
            </w:pPr>
            <w:r w:rsidRPr="2277E8EF">
              <w:t xml:space="preserve">Article 5 (8) </w:t>
            </w:r>
            <w:r w:rsidRPr="007A7FE8">
              <w:rPr>
                <w:lang w:val="en-US"/>
              </w:rPr>
              <w:t>of Regulation (EU) No 575/2013</w:t>
            </w:r>
            <w:r>
              <w:rPr>
                <w:lang w:val="en-US"/>
              </w:rPr>
              <w:t xml:space="preserve">. </w:t>
            </w:r>
            <w:r w:rsidR="00373762" w:rsidRPr="002A677E">
              <w:t xml:space="preserve">All exposures to SME shall be reported here. </w:t>
            </w:r>
          </w:p>
        </w:tc>
      </w:tr>
      <w:tr w:rsidR="00373762" w:rsidRPr="002A677E" w14:paraId="0D583426" w14:textId="77777777" w:rsidTr="24B43B11">
        <w:tc>
          <w:tcPr>
            <w:tcW w:w="1188" w:type="dxa"/>
            <w:shd w:val="clear" w:color="auto" w:fill="auto"/>
          </w:tcPr>
          <w:p w14:paraId="4E3B5FAC" w14:textId="77777777" w:rsidR="00373762" w:rsidRPr="002A677E" w:rsidRDefault="00373762" w:rsidP="00B055FF">
            <w:pPr>
              <w:pStyle w:val="InstructionsText"/>
            </w:pPr>
            <w:r w:rsidRPr="002A677E">
              <w:t>0030</w:t>
            </w:r>
          </w:p>
        </w:tc>
        <w:tc>
          <w:tcPr>
            <w:tcW w:w="8701" w:type="dxa"/>
            <w:shd w:val="clear" w:color="auto" w:fill="auto"/>
          </w:tcPr>
          <w:p w14:paraId="56D219A8" w14:textId="77777777" w:rsidR="00373762" w:rsidRPr="002A677E" w:rsidRDefault="0037376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subject to the SME supporting factor</w:t>
            </w:r>
          </w:p>
          <w:p w14:paraId="552F2982" w14:textId="1B5DF213" w:rsidR="00373762" w:rsidRPr="002A677E" w:rsidRDefault="00373762" w:rsidP="00B055FF">
            <w:pPr>
              <w:pStyle w:val="InstructionsText"/>
            </w:pPr>
            <w:r w:rsidRPr="002A677E">
              <w:t xml:space="preserve">Only exposures which meet the requirements of Article 501 </w:t>
            </w:r>
            <w:r w:rsidRPr="001235ED">
              <w:rPr>
                <w:lang w:val="en-US"/>
              </w:rPr>
              <w:t>of Regulation (EU) No 575/2013</w:t>
            </w:r>
            <w:r w:rsidRPr="002A677E">
              <w:t xml:space="preserve"> shall be reported here. </w:t>
            </w:r>
          </w:p>
        </w:tc>
      </w:tr>
      <w:tr w:rsidR="00373762" w:rsidRPr="002A677E" w14:paraId="5BB6176D" w14:textId="77777777" w:rsidTr="24B43B11">
        <w:tc>
          <w:tcPr>
            <w:tcW w:w="1188" w:type="dxa"/>
            <w:shd w:val="clear" w:color="auto" w:fill="auto"/>
          </w:tcPr>
          <w:p w14:paraId="0BD55A11" w14:textId="77777777" w:rsidR="00373762" w:rsidRPr="002A677E" w:rsidRDefault="00373762" w:rsidP="00B055FF">
            <w:pPr>
              <w:pStyle w:val="InstructionsText"/>
            </w:pPr>
            <w:r w:rsidRPr="002A677E">
              <w:t>0035</w:t>
            </w:r>
          </w:p>
        </w:tc>
        <w:tc>
          <w:tcPr>
            <w:tcW w:w="8701" w:type="dxa"/>
            <w:shd w:val="clear" w:color="auto" w:fill="auto"/>
          </w:tcPr>
          <w:p w14:paraId="12ED03DD" w14:textId="77777777" w:rsidR="00373762" w:rsidRPr="002A677E" w:rsidRDefault="00373762"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subject to the infrastructure supporting factor</w:t>
            </w:r>
          </w:p>
          <w:p w14:paraId="29B9E5EA" w14:textId="7E1C8895" w:rsidR="00373762" w:rsidRPr="002A677E" w:rsidRDefault="00373762" w:rsidP="00B055FF">
            <w:pPr>
              <w:pStyle w:val="InstructionsText"/>
              <w:rPr>
                <w:rStyle w:val="InstructionsTabelleberschrift"/>
                <w:rFonts w:ascii="Times New Roman" w:hAnsi="Times New Roman"/>
                <w:sz w:val="24"/>
              </w:rPr>
            </w:pPr>
            <w:r w:rsidRPr="001235ED">
              <w:t xml:space="preserve">Only exposures which meet the requirements of Article 501a </w:t>
            </w:r>
            <w:r w:rsidRPr="001235ED">
              <w:rPr>
                <w:lang w:val="en-US"/>
              </w:rPr>
              <w:t>of Regulation (EU) No 575/2013</w:t>
            </w:r>
            <w:r w:rsidRPr="002A677E">
              <w:t xml:space="preserve"> shall be reported here.</w:t>
            </w:r>
          </w:p>
        </w:tc>
      </w:tr>
      <w:tr w:rsidR="002053AE" w:rsidRPr="002A677E" w14:paraId="32737619" w14:textId="77777777" w:rsidTr="24B43B11">
        <w:tc>
          <w:tcPr>
            <w:tcW w:w="1188" w:type="dxa"/>
            <w:shd w:val="clear" w:color="auto" w:fill="auto"/>
          </w:tcPr>
          <w:p w14:paraId="23C967CE" w14:textId="77777777" w:rsidR="002053AE" w:rsidRPr="002A677E" w:rsidRDefault="002053AE" w:rsidP="00B055FF">
            <w:pPr>
              <w:pStyle w:val="InstructionsText"/>
            </w:pPr>
            <w:r w:rsidRPr="002A677E">
              <w:t>0050</w:t>
            </w:r>
          </w:p>
        </w:tc>
        <w:tc>
          <w:tcPr>
            <w:tcW w:w="8701" w:type="dxa"/>
            <w:shd w:val="clear" w:color="auto" w:fill="auto"/>
          </w:tcPr>
          <w:p w14:paraId="00A0215B"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permanent partial use of the Standardised approach</w:t>
            </w:r>
          </w:p>
          <w:p w14:paraId="1A2C5988" w14:textId="41C89F8A" w:rsidR="002053AE" w:rsidRPr="002A677E" w:rsidRDefault="002053AE" w:rsidP="00B055FF">
            <w:pPr>
              <w:pStyle w:val="InstructionsText"/>
            </w:pPr>
            <w:r w:rsidRPr="002A677E">
              <w:t xml:space="preserve">Exposures to which the Standardised approach has been applied in accordance with Article 150(1) </w:t>
            </w:r>
            <w:r w:rsidRPr="001235ED">
              <w:rPr>
                <w:lang w:val="en-US"/>
              </w:rPr>
              <w:t>of Regulation (EU) No 575/2013</w:t>
            </w:r>
          </w:p>
        </w:tc>
      </w:tr>
      <w:tr w:rsidR="002053AE" w:rsidRPr="002A677E" w14:paraId="1012E684" w14:textId="77777777" w:rsidTr="24B43B11">
        <w:tc>
          <w:tcPr>
            <w:tcW w:w="1188" w:type="dxa"/>
            <w:shd w:val="clear" w:color="auto" w:fill="auto"/>
          </w:tcPr>
          <w:p w14:paraId="12866B33" w14:textId="77777777" w:rsidR="002053AE" w:rsidRPr="002A677E" w:rsidRDefault="002053AE" w:rsidP="00B055FF">
            <w:pPr>
              <w:pStyle w:val="InstructionsText"/>
            </w:pPr>
            <w:r w:rsidRPr="002A677E">
              <w:t>0060</w:t>
            </w:r>
          </w:p>
        </w:tc>
        <w:tc>
          <w:tcPr>
            <w:tcW w:w="8701" w:type="dxa"/>
            <w:shd w:val="clear" w:color="auto" w:fill="auto"/>
          </w:tcPr>
          <w:p w14:paraId="49CB31A5"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Standardised Approach with prior supervisory permission to carry out a sequential IRB implementation</w:t>
            </w:r>
          </w:p>
          <w:p w14:paraId="133C6C49" w14:textId="489D54A3" w:rsidR="002053AE" w:rsidRPr="002A677E" w:rsidRDefault="002053AE" w:rsidP="00B055FF">
            <w:pPr>
              <w:pStyle w:val="InstructionsText"/>
            </w:pPr>
            <w:r w:rsidRPr="002A677E">
              <w:t xml:space="preserve">Article 148(1) </w:t>
            </w:r>
            <w:r w:rsidRPr="001235ED">
              <w:rPr>
                <w:lang w:val="en-US"/>
              </w:rPr>
              <w:t>of Regulation (EU) No 575/2013</w:t>
            </w:r>
            <w:r w:rsidRPr="002A677E">
              <w:t xml:space="preserve"> </w:t>
            </w:r>
          </w:p>
        </w:tc>
      </w:tr>
      <w:tr w:rsidR="002053AE" w:rsidRPr="002A677E" w14:paraId="346A34D0" w14:textId="77777777" w:rsidTr="24B43B11">
        <w:tc>
          <w:tcPr>
            <w:tcW w:w="1188" w:type="dxa"/>
          </w:tcPr>
          <w:p w14:paraId="4022200F" w14:textId="77777777" w:rsidR="002053AE" w:rsidRPr="002A677E" w:rsidRDefault="002053AE" w:rsidP="00B055FF">
            <w:pPr>
              <w:pStyle w:val="InstructionsText"/>
            </w:pPr>
            <w:r w:rsidRPr="002A677E">
              <w:t>0070-0130</w:t>
            </w:r>
          </w:p>
        </w:tc>
        <w:tc>
          <w:tcPr>
            <w:tcW w:w="8701" w:type="dxa"/>
          </w:tcPr>
          <w:p w14:paraId="7834AB93"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17A71539" w14:textId="77777777" w:rsidR="002053AE" w:rsidRPr="002A677E" w:rsidRDefault="002053AE" w:rsidP="00B055FF">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FE5F80E" w14:textId="0A61CA2D" w:rsidR="002053AE" w:rsidRPr="002A677E" w:rsidRDefault="002053AE" w:rsidP="00B055FF">
            <w:pPr>
              <w:pStyle w:val="InstructionsText"/>
            </w:pPr>
            <w:r w:rsidRPr="002A677E">
              <w:t>Exposures to counterparty credit risk arising from the trading book business of the institution as referred to in Article 92(</w:t>
            </w:r>
            <w:r w:rsidR="00DC5F81">
              <w:t>4</w:t>
            </w:r>
            <w:r w:rsidRPr="002A677E">
              <w:t>)</w:t>
            </w:r>
            <w:r>
              <w:t>, p</w:t>
            </w:r>
            <w:r w:rsidRPr="002A677E">
              <w:t xml:space="preserve">oint (f) and Article 299(2) </w:t>
            </w:r>
            <w:r w:rsidRPr="001235ED">
              <w:rPr>
                <w:lang w:val="en-US"/>
              </w:rPr>
              <w:t>of Regulation (EU) No 575/2013</w:t>
            </w:r>
            <w:r w:rsidRPr="002A677E">
              <w:t xml:space="preserve"> shall be assigned to the exposures subject to counterparty credit risk. Institutions that apply Article 94(1) </w:t>
            </w:r>
            <w:r w:rsidRPr="001235ED">
              <w:rPr>
                <w:lang w:val="en-US"/>
              </w:rPr>
              <w:t>of Regulation (EU) No 575/2013</w:t>
            </w:r>
            <w:r w:rsidRPr="002A677E">
              <w:t xml:space="preserve"> also break down their “trading book” positions referred to in Article 92(</w:t>
            </w:r>
            <w:r w:rsidR="00B06892">
              <w:t>4</w:t>
            </w:r>
            <w:r w:rsidRPr="002A677E">
              <w:t>)</w:t>
            </w:r>
            <w:r>
              <w:t>, p</w:t>
            </w:r>
            <w:r w:rsidRPr="002A677E">
              <w:t>oint (b)</w:t>
            </w:r>
            <w:r>
              <w:t>,</w:t>
            </w:r>
            <w:r w:rsidRPr="002A677E">
              <w:t xml:space="preserve"> </w:t>
            </w:r>
            <w:r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2053AE" w:rsidRPr="002A677E" w14:paraId="28E64E2D" w14:textId="77777777" w:rsidTr="24B43B11">
        <w:tc>
          <w:tcPr>
            <w:tcW w:w="1188" w:type="dxa"/>
          </w:tcPr>
          <w:p w14:paraId="6978CFA0" w14:textId="77777777" w:rsidR="002053AE" w:rsidRPr="002A677E" w:rsidRDefault="002053AE" w:rsidP="00B055FF">
            <w:pPr>
              <w:pStyle w:val="InstructionsText"/>
            </w:pPr>
            <w:r w:rsidRPr="002A677E">
              <w:t>0070</w:t>
            </w:r>
          </w:p>
        </w:tc>
        <w:tc>
          <w:tcPr>
            <w:tcW w:w="8701" w:type="dxa"/>
          </w:tcPr>
          <w:p w14:paraId="5AC21294"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624F8F5B" w14:textId="439CA126" w:rsidR="002053AE" w:rsidRPr="002A677E" w:rsidRDefault="002053AE" w:rsidP="00B055FF">
            <w:pPr>
              <w:pStyle w:val="InstructionsText"/>
            </w:pPr>
            <w:r w:rsidRPr="002A677E">
              <w:t xml:space="preserve">Assets referred to in Article 24 </w:t>
            </w:r>
            <w:r w:rsidRPr="001235ED">
              <w:rPr>
                <w:lang w:val="en-US"/>
              </w:rPr>
              <w:t>of Regulation (EU) No 575/2013</w:t>
            </w:r>
            <w:r w:rsidRPr="002A677E">
              <w:t xml:space="preserve"> not included in any other category.</w:t>
            </w:r>
          </w:p>
          <w:p w14:paraId="213B7CDD" w14:textId="53AA3359" w:rsidR="002053AE" w:rsidRPr="002A677E" w:rsidRDefault="002053AE" w:rsidP="00B055FF">
            <w:pPr>
              <w:pStyle w:val="InstructionsText"/>
            </w:pPr>
            <w:r w:rsidRPr="002A677E">
              <w:t>Exposures that are subject to counterparty credit risk</w:t>
            </w:r>
            <w:r>
              <w:t xml:space="preserve"> </w:t>
            </w:r>
            <w:r w:rsidRPr="002A677E">
              <w:t>shall be reported in rows 0090-0130-, and therefore shall not be reported in this row.</w:t>
            </w:r>
          </w:p>
          <w:p w14:paraId="0231E5DB" w14:textId="6ADF02F2" w:rsidR="002053AE" w:rsidRPr="002A677E" w:rsidRDefault="002053AE" w:rsidP="00B055FF">
            <w:pPr>
              <w:pStyle w:val="InstructionsText"/>
            </w:pPr>
            <w:r w:rsidRPr="002A677E">
              <w:lastRenderedPageBreak/>
              <w:t xml:space="preserve">Free deliveries as referred to in Article 379(1) </w:t>
            </w:r>
            <w:r w:rsidRPr="001235ED">
              <w:rPr>
                <w:lang w:val="en-US"/>
              </w:rPr>
              <w:t>of Regulation (EU) No 575/2013</w:t>
            </w:r>
            <w:r w:rsidRPr="002A677E">
              <w:t xml:space="preserve"> (if not deducted) do not constitute an on-balance sheet item, but nevertheless shall be reported in this row.</w:t>
            </w:r>
          </w:p>
          <w:p w14:paraId="4F4BC58B" w14:textId="77777777" w:rsidR="002053AE" w:rsidRPr="002A677E" w:rsidRDefault="002053AE" w:rsidP="00B055FF">
            <w:pPr>
              <w:pStyle w:val="InstructionsText"/>
            </w:pPr>
          </w:p>
        </w:tc>
      </w:tr>
      <w:tr w:rsidR="002053AE" w:rsidRPr="002A677E" w14:paraId="3221F281" w14:textId="77777777" w:rsidTr="24B43B11">
        <w:tc>
          <w:tcPr>
            <w:tcW w:w="1188" w:type="dxa"/>
          </w:tcPr>
          <w:p w14:paraId="2651D550" w14:textId="77777777" w:rsidR="002053AE" w:rsidRPr="002A677E" w:rsidRDefault="002053AE" w:rsidP="00B055FF">
            <w:pPr>
              <w:pStyle w:val="InstructionsText"/>
            </w:pPr>
            <w:r w:rsidRPr="002A677E">
              <w:lastRenderedPageBreak/>
              <w:t>0080</w:t>
            </w:r>
          </w:p>
        </w:tc>
        <w:tc>
          <w:tcPr>
            <w:tcW w:w="8701" w:type="dxa"/>
          </w:tcPr>
          <w:p w14:paraId="2C71240C"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0B80ACDD" w14:textId="0880FD72" w:rsidR="002053AE" w:rsidRPr="002A677E" w:rsidRDefault="002053AE" w:rsidP="00B055FF">
            <w:pPr>
              <w:pStyle w:val="InstructionsText"/>
            </w:pPr>
            <w:r w:rsidRPr="002A677E">
              <w:t xml:space="preserve">Off-balance sheet positions comprise the items listed in Annex I </w:t>
            </w:r>
            <w:r w:rsidRPr="001235ED">
              <w:rPr>
                <w:lang w:val="en-US"/>
              </w:rPr>
              <w:t>of Regulation (EU) No 575/2013</w:t>
            </w:r>
            <w:r w:rsidRPr="002A677E">
              <w:t>.</w:t>
            </w:r>
          </w:p>
          <w:p w14:paraId="62745F38" w14:textId="77777777" w:rsidR="002053AE" w:rsidRPr="002A677E" w:rsidRDefault="002053AE" w:rsidP="00B055FF">
            <w:pPr>
              <w:pStyle w:val="InstructionsText"/>
            </w:pPr>
            <w:r w:rsidRPr="002A677E">
              <w:t>Exposures that are subject to counterparty credit risk shall be reported in rows 0090 – 0130 and</w:t>
            </w:r>
            <w:r w:rsidRPr="002A677E">
              <w:rPr>
                <w:rFonts w:cs="Arial"/>
              </w:rPr>
              <w:t xml:space="preserve"> therefore shall not be reported in this row</w:t>
            </w:r>
            <w:r w:rsidRPr="002A677E">
              <w:t>.</w:t>
            </w:r>
          </w:p>
          <w:p w14:paraId="2575C561" w14:textId="77777777" w:rsidR="002053AE" w:rsidRPr="002A677E" w:rsidRDefault="002053AE" w:rsidP="00B055FF">
            <w:pPr>
              <w:pStyle w:val="InstructionsText"/>
            </w:pPr>
          </w:p>
        </w:tc>
      </w:tr>
      <w:tr w:rsidR="002053AE" w:rsidRPr="002A677E" w14:paraId="188EF448" w14:textId="77777777" w:rsidTr="24B43B11">
        <w:tc>
          <w:tcPr>
            <w:tcW w:w="1188" w:type="dxa"/>
            <w:tcBorders>
              <w:top w:val="single" w:sz="4" w:space="0" w:color="auto"/>
              <w:left w:val="single" w:sz="4" w:space="0" w:color="auto"/>
              <w:bottom w:val="single" w:sz="4" w:space="0" w:color="auto"/>
              <w:right w:val="single" w:sz="4" w:space="0" w:color="auto"/>
            </w:tcBorders>
          </w:tcPr>
          <w:p w14:paraId="5B6117A7" w14:textId="77777777" w:rsidR="002053AE" w:rsidRPr="002A677E" w:rsidRDefault="002053AE" w:rsidP="00B055FF">
            <w:pPr>
              <w:pStyle w:val="InstructionsText"/>
            </w:pPr>
            <w:r w:rsidRPr="002A677E">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2EC00BBC" w14:textId="77777777" w:rsidR="002053AE" w:rsidRPr="002A677E" w:rsidRDefault="002053AE" w:rsidP="00B055FF">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2053AE" w:rsidRPr="002A677E" w14:paraId="27E915EA" w14:textId="77777777" w:rsidTr="24B43B11">
        <w:tc>
          <w:tcPr>
            <w:tcW w:w="1188" w:type="dxa"/>
          </w:tcPr>
          <w:p w14:paraId="3F3E1E7C" w14:textId="77777777" w:rsidR="002053AE" w:rsidRPr="002A677E" w:rsidRDefault="002053AE" w:rsidP="00B055FF">
            <w:pPr>
              <w:pStyle w:val="InstructionsText"/>
            </w:pPr>
            <w:r w:rsidRPr="002A677E">
              <w:t>0090</w:t>
            </w:r>
          </w:p>
        </w:tc>
        <w:tc>
          <w:tcPr>
            <w:tcW w:w="8701" w:type="dxa"/>
          </w:tcPr>
          <w:p w14:paraId="4D245AF4" w14:textId="77777777" w:rsidR="002053AE" w:rsidRPr="002A677E" w:rsidRDefault="002053AE" w:rsidP="00B055FF">
            <w:pPr>
              <w:pStyle w:val="InstructionsText"/>
            </w:pPr>
            <w:r w:rsidRPr="002A677E">
              <w:rPr>
                <w:rStyle w:val="InstructionsTabelleberschrift"/>
                <w:rFonts w:ascii="Times New Roman" w:hAnsi="Times New Roman"/>
                <w:sz w:val="24"/>
              </w:rPr>
              <w:t>Securities Financing Transactions netting sets</w:t>
            </w:r>
          </w:p>
          <w:p w14:paraId="06C22FAA" w14:textId="07B8153D" w:rsidR="002053AE" w:rsidRPr="002A677E" w:rsidRDefault="002053AE" w:rsidP="00B055FF">
            <w:pPr>
              <w:pStyle w:val="InstructionsText"/>
            </w:pPr>
            <w:r w:rsidRPr="002A677E">
              <w:t>Netting sets containing only SFTs, as defined in Article 4(1)</w:t>
            </w:r>
            <w:r>
              <w:t>, p</w:t>
            </w:r>
            <w:r w:rsidRPr="002A677E">
              <w:t>oint (139)</w:t>
            </w:r>
            <w:r>
              <w:t>,</w:t>
            </w:r>
            <w:r w:rsidRPr="002A677E">
              <w:t xml:space="preserve"> </w:t>
            </w:r>
            <w:r w:rsidRPr="001235ED">
              <w:rPr>
                <w:lang w:val="en-US"/>
              </w:rPr>
              <w:t>of Regulation (EU) No 575/2013</w:t>
            </w:r>
            <w:r w:rsidRPr="002A677E">
              <w:t>.</w:t>
            </w:r>
          </w:p>
          <w:p w14:paraId="60729C75" w14:textId="02300C70" w:rsidR="002053AE" w:rsidRPr="002A677E" w:rsidRDefault="002053AE" w:rsidP="00B055FF">
            <w:pPr>
              <w:pStyle w:val="InstructionsText"/>
            </w:pPr>
            <w:r w:rsidRPr="002A677E">
              <w:t>SFTs that are included in a contractual cross product netting set and therefore reported in row 0130 shall not be reported in this row.</w:t>
            </w:r>
          </w:p>
        </w:tc>
      </w:tr>
      <w:tr w:rsidR="002053AE" w:rsidRPr="002A677E" w14:paraId="1ECF4207" w14:textId="77777777" w:rsidTr="24B43B11">
        <w:tc>
          <w:tcPr>
            <w:tcW w:w="1188" w:type="dxa"/>
          </w:tcPr>
          <w:p w14:paraId="33FA6A94" w14:textId="77777777" w:rsidR="002053AE" w:rsidRPr="002A677E" w:rsidRDefault="002053AE" w:rsidP="00B055FF">
            <w:pPr>
              <w:pStyle w:val="InstructionsText"/>
            </w:pPr>
            <w:r w:rsidRPr="002A677E">
              <w:t>0100</w:t>
            </w:r>
          </w:p>
        </w:tc>
        <w:tc>
          <w:tcPr>
            <w:tcW w:w="8701" w:type="dxa"/>
          </w:tcPr>
          <w:p w14:paraId="28D78EED"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centrally cleared through a QCCP</w:t>
            </w:r>
          </w:p>
          <w:p w14:paraId="4ED364CF" w14:textId="0859DB9D" w:rsidR="002053AE" w:rsidRPr="002A677E" w:rsidRDefault="002053AE" w:rsidP="00B055FF">
            <w:pPr>
              <w:pStyle w:val="InstructionsText"/>
            </w:pPr>
            <w:r w:rsidRPr="002A677E">
              <w:t xml:space="preserve">Contracts and transactions listed in Article 301(1) </w:t>
            </w:r>
            <w:r w:rsidRPr="001235ED">
              <w:rPr>
                <w:lang w:val="en-US"/>
              </w:rPr>
              <w:t>of Regulation (EU) No 575/2013</w:t>
            </w:r>
            <w:r w:rsidRPr="002A677E">
              <w:t xml:space="preserve"> as long as they are outstanding with a qualifying central counterparty (QCCP) as defined in Article 4(1)</w:t>
            </w:r>
            <w:r>
              <w:t>, p</w:t>
            </w:r>
            <w:r w:rsidRPr="002A677E">
              <w:t>oint (88)</w:t>
            </w:r>
            <w:r>
              <w:t>,</w:t>
            </w:r>
            <w:r w:rsidRPr="002A677E">
              <w:t xml:space="preserve"> </w:t>
            </w:r>
            <w:r w:rsidRPr="001235ED">
              <w:rPr>
                <w:lang w:val="en-US"/>
              </w:rPr>
              <w:t>of that Regulation</w:t>
            </w:r>
            <w:r w:rsidRPr="002A677E">
              <w:t xml:space="preserve">, including QCCP-related transactions, for which the risk weighted exposure amounts are calculated in accordance with Part Three, Title II, Chapter 6, Section 9 of that Regulation. QCCP-related transaction has the same meaning as CCP-related transaction in Article 300(2) </w:t>
            </w:r>
            <w:r w:rsidRPr="001235ED">
              <w:rPr>
                <w:lang w:val="en-US"/>
              </w:rPr>
              <w:t>of Regulation (EU) No 575/2013</w:t>
            </w:r>
            <w:r w:rsidRPr="002A677E">
              <w:t>, when the CCP is a QCCP.</w:t>
            </w:r>
          </w:p>
        </w:tc>
      </w:tr>
      <w:tr w:rsidR="002053AE" w:rsidRPr="002A677E" w14:paraId="5759D2A0" w14:textId="77777777" w:rsidTr="24B43B11">
        <w:tc>
          <w:tcPr>
            <w:tcW w:w="1188" w:type="dxa"/>
          </w:tcPr>
          <w:p w14:paraId="1024BE71" w14:textId="77777777" w:rsidR="002053AE" w:rsidRPr="002A677E" w:rsidRDefault="002053AE" w:rsidP="00B055FF">
            <w:pPr>
              <w:pStyle w:val="InstructionsText"/>
            </w:pPr>
            <w:r w:rsidRPr="002A677E">
              <w:t>0110</w:t>
            </w:r>
          </w:p>
        </w:tc>
        <w:tc>
          <w:tcPr>
            <w:tcW w:w="8701" w:type="dxa"/>
          </w:tcPr>
          <w:p w14:paraId="6CAABBDB"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Derivatives and Long Settlement Transactions netting sets</w:t>
            </w:r>
          </w:p>
          <w:p w14:paraId="6CF5B359" w14:textId="767432F1" w:rsidR="002053AE" w:rsidRPr="002A677E" w:rsidRDefault="002053AE" w:rsidP="00B055FF">
            <w:pPr>
              <w:pStyle w:val="InstructionsText"/>
            </w:pPr>
            <w:r w:rsidRPr="002A677E">
              <w:t xml:space="preserve">Netting sets containing only derivatives listed in Annex II </w:t>
            </w:r>
            <w:r w:rsidRPr="001235ED">
              <w:rPr>
                <w:lang w:val="en-US"/>
              </w:rPr>
              <w:t>of Regulation (EU) No 575/2013</w:t>
            </w:r>
            <w:r w:rsidRPr="002A677E">
              <w:t xml:space="preserve"> and long settlement transactions as defined in Article 272(2) </w:t>
            </w:r>
            <w:r w:rsidRPr="001235ED">
              <w:rPr>
                <w:lang w:val="en-US"/>
              </w:rPr>
              <w:t>of that Regulation</w:t>
            </w:r>
            <w:r w:rsidRPr="002A677E">
              <w:t>.</w:t>
            </w:r>
          </w:p>
          <w:p w14:paraId="28EE41AA" w14:textId="77777777" w:rsidR="002053AE" w:rsidRPr="002A677E" w:rsidRDefault="002053AE" w:rsidP="00B055FF">
            <w:pPr>
              <w:pStyle w:val="InstructionsText"/>
            </w:pPr>
            <w:r w:rsidRPr="002A677E">
              <w:t>Derivatives and Long Settlement Transactions that are included in a contractual Cross Product Netting set and therefore reported in row 0130, shall not be reported in this row.</w:t>
            </w:r>
          </w:p>
        </w:tc>
      </w:tr>
      <w:tr w:rsidR="002053AE" w:rsidRPr="002A677E" w14:paraId="09859B14" w14:textId="77777777" w:rsidTr="24B43B11">
        <w:tc>
          <w:tcPr>
            <w:tcW w:w="1188" w:type="dxa"/>
          </w:tcPr>
          <w:p w14:paraId="2BF222FC" w14:textId="77777777" w:rsidR="002053AE" w:rsidRPr="002A677E" w:rsidRDefault="002053AE" w:rsidP="00B055FF">
            <w:pPr>
              <w:pStyle w:val="InstructionsText"/>
            </w:pPr>
            <w:r w:rsidRPr="002A677E">
              <w:t>0120</w:t>
            </w:r>
          </w:p>
        </w:tc>
        <w:tc>
          <w:tcPr>
            <w:tcW w:w="8701" w:type="dxa"/>
          </w:tcPr>
          <w:p w14:paraId="0334F5BE" w14:textId="77777777" w:rsidR="002053AE" w:rsidRPr="002A677E" w:rsidRDefault="002053AE" w:rsidP="00B055FF">
            <w:pPr>
              <w:pStyle w:val="InstructionsText"/>
            </w:pPr>
            <w:r w:rsidRPr="002A677E">
              <w:rPr>
                <w:rStyle w:val="InstructionsTabelleberschrift"/>
                <w:rFonts w:ascii="Times New Roman" w:hAnsi="Times New Roman"/>
                <w:sz w:val="24"/>
              </w:rPr>
              <w:t>Of which: centrally cleared through a QCCP</w:t>
            </w:r>
          </w:p>
          <w:p w14:paraId="7CDEC702" w14:textId="7A4ACEFB" w:rsidR="002053AE" w:rsidRPr="002A677E" w:rsidRDefault="002053AE" w:rsidP="00B055FF">
            <w:pPr>
              <w:pStyle w:val="InstructionsText"/>
            </w:pPr>
            <w:r w:rsidRPr="002A677E">
              <w:t>See instructions to row 0100.</w:t>
            </w:r>
          </w:p>
        </w:tc>
      </w:tr>
      <w:tr w:rsidR="002053AE" w:rsidRPr="002A677E" w14:paraId="62C835C7" w14:textId="77777777" w:rsidTr="24B43B11">
        <w:tc>
          <w:tcPr>
            <w:tcW w:w="1188" w:type="dxa"/>
          </w:tcPr>
          <w:p w14:paraId="659B11C6" w14:textId="77777777" w:rsidR="002053AE" w:rsidRPr="002A677E" w:rsidRDefault="002053AE" w:rsidP="00B055FF">
            <w:pPr>
              <w:pStyle w:val="InstructionsText"/>
            </w:pPr>
            <w:r w:rsidRPr="002A677E">
              <w:t>0130</w:t>
            </w:r>
          </w:p>
        </w:tc>
        <w:tc>
          <w:tcPr>
            <w:tcW w:w="8701" w:type="dxa"/>
          </w:tcPr>
          <w:p w14:paraId="0905CC06"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From Contractual Cross Product netting sets</w:t>
            </w:r>
          </w:p>
          <w:p w14:paraId="04F5BFB5" w14:textId="22F365D1" w:rsidR="002053AE" w:rsidRPr="002A677E" w:rsidRDefault="002053AE" w:rsidP="00B055FF">
            <w:pPr>
              <w:pStyle w:val="InstructionsText"/>
            </w:pPr>
            <w:r w:rsidRPr="002A677E">
              <w:t xml:space="preserve">Netting sets containing transactions of different product categories (Article 272(11) </w:t>
            </w:r>
            <w:r w:rsidRPr="001235ED">
              <w:rPr>
                <w:lang w:val="en-US"/>
              </w:rPr>
              <w:t>of Regulation (EU) No 575/2013</w:t>
            </w:r>
            <w:r w:rsidRPr="002A677E">
              <w:t xml:space="preserve">), i.e. derivatives and SFTs, for which a contractual cross product netting agreement as defined in Article 272(25) </w:t>
            </w:r>
            <w:r w:rsidRPr="001235ED">
              <w:rPr>
                <w:lang w:val="en-US"/>
              </w:rPr>
              <w:t>of Regulation (EU) No 575/2013</w:t>
            </w:r>
            <w:r w:rsidRPr="002A677E">
              <w:t xml:space="preserve"> exists.</w:t>
            </w:r>
          </w:p>
        </w:tc>
      </w:tr>
      <w:tr w:rsidR="002053AE" w:rsidRPr="002A677E" w14:paraId="18B545A8" w14:textId="77777777" w:rsidTr="24B43B11">
        <w:tc>
          <w:tcPr>
            <w:tcW w:w="1188" w:type="dxa"/>
          </w:tcPr>
          <w:p w14:paraId="35C407E2" w14:textId="77777777" w:rsidR="002053AE" w:rsidRPr="002A677E" w:rsidRDefault="002053AE" w:rsidP="00B055FF">
            <w:pPr>
              <w:pStyle w:val="InstructionsText"/>
            </w:pPr>
            <w:r w:rsidRPr="002A677E">
              <w:lastRenderedPageBreak/>
              <w:t>0140-0280</w:t>
            </w:r>
          </w:p>
        </w:tc>
        <w:tc>
          <w:tcPr>
            <w:tcW w:w="8701" w:type="dxa"/>
          </w:tcPr>
          <w:p w14:paraId="3C6F34DB"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14B818A" w14:textId="77777777" w:rsidR="002053AE" w:rsidRPr="002A677E" w:rsidRDefault="002053AE" w:rsidP="00B055FF">
            <w:pPr>
              <w:pStyle w:val="InstructionsText"/>
            </w:pPr>
          </w:p>
        </w:tc>
      </w:tr>
      <w:tr w:rsidR="002053AE" w:rsidRPr="002A677E" w14:paraId="690F249C" w14:textId="77777777" w:rsidTr="24B43B11">
        <w:tc>
          <w:tcPr>
            <w:tcW w:w="1188" w:type="dxa"/>
            <w:shd w:val="clear" w:color="auto" w:fill="auto"/>
          </w:tcPr>
          <w:p w14:paraId="7D3DEC2F" w14:textId="77777777" w:rsidR="002053AE" w:rsidRPr="002A677E" w:rsidRDefault="002053AE" w:rsidP="00B055FF">
            <w:pPr>
              <w:pStyle w:val="InstructionsText"/>
            </w:pPr>
            <w:r w:rsidRPr="002A677E">
              <w:t>0140</w:t>
            </w:r>
          </w:p>
        </w:tc>
        <w:tc>
          <w:tcPr>
            <w:tcW w:w="8701" w:type="dxa"/>
            <w:shd w:val="clear" w:color="auto" w:fill="auto"/>
          </w:tcPr>
          <w:p w14:paraId="0B3AC7C9" w14:textId="6E95CA2E" w:rsidR="002053AE" w:rsidRPr="002A677E" w:rsidRDefault="002053AE" w:rsidP="00B055FF">
            <w:pPr>
              <w:pStyle w:val="InstructionsText"/>
            </w:pPr>
            <w:r w:rsidRPr="002A677E">
              <w:rPr>
                <w:rStyle w:val="InstructionsTabelleberschrift"/>
                <w:rFonts w:ascii="Times New Roman" w:hAnsi="Times New Roman"/>
                <w:sz w:val="24"/>
              </w:rPr>
              <w:t>0 %</w:t>
            </w:r>
          </w:p>
        </w:tc>
      </w:tr>
      <w:tr w:rsidR="002053AE" w:rsidRPr="002A677E" w14:paraId="47996870" w14:textId="77777777" w:rsidTr="24B43B11">
        <w:tc>
          <w:tcPr>
            <w:tcW w:w="1188" w:type="dxa"/>
            <w:shd w:val="clear" w:color="auto" w:fill="auto"/>
          </w:tcPr>
          <w:p w14:paraId="04FC7687" w14:textId="77777777" w:rsidR="002053AE" w:rsidRPr="002A677E" w:rsidRDefault="002053AE" w:rsidP="00B055FF">
            <w:pPr>
              <w:pStyle w:val="InstructionsText"/>
            </w:pPr>
            <w:r w:rsidRPr="002A677E">
              <w:t>0150</w:t>
            </w:r>
          </w:p>
        </w:tc>
        <w:tc>
          <w:tcPr>
            <w:tcW w:w="8701" w:type="dxa"/>
            <w:shd w:val="clear" w:color="auto" w:fill="auto"/>
          </w:tcPr>
          <w:p w14:paraId="645BC433"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2F82CA58" w14:textId="3BFD7CD6" w:rsidR="002053AE" w:rsidRPr="002A677E" w:rsidRDefault="002053AE" w:rsidP="00B055FF">
            <w:pPr>
              <w:pStyle w:val="InstructionsText"/>
              <w:rPr>
                <w:b/>
              </w:rPr>
            </w:pPr>
            <w:r w:rsidRPr="002A677E">
              <w:t xml:space="preserve">Article 306(1) </w:t>
            </w:r>
            <w:r w:rsidRPr="001235ED">
              <w:rPr>
                <w:lang w:val="en-US"/>
              </w:rPr>
              <w:t>of Regulation (EU) No 575/2013</w:t>
            </w:r>
          </w:p>
        </w:tc>
      </w:tr>
      <w:tr w:rsidR="002053AE" w:rsidRPr="002A677E" w14:paraId="6E0FC016" w14:textId="77777777" w:rsidTr="24B43B11">
        <w:tc>
          <w:tcPr>
            <w:tcW w:w="1188" w:type="dxa"/>
            <w:shd w:val="clear" w:color="auto" w:fill="auto"/>
          </w:tcPr>
          <w:p w14:paraId="63485BB0" w14:textId="77777777" w:rsidR="002053AE" w:rsidRPr="002A677E" w:rsidRDefault="002053AE" w:rsidP="00B055FF">
            <w:pPr>
              <w:pStyle w:val="InstructionsText"/>
            </w:pPr>
            <w:r w:rsidRPr="002A677E">
              <w:t>0160</w:t>
            </w:r>
          </w:p>
        </w:tc>
        <w:tc>
          <w:tcPr>
            <w:tcW w:w="8701" w:type="dxa"/>
            <w:shd w:val="clear" w:color="auto" w:fill="auto"/>
          </w:tcPr>
          <w:p w14:paraId="69F26852"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1398F586" w14:textId="06AAEE25" w:rsidR="002053AE" w:rsidRPr="002A677E" w:rsidRDefault="002053AE" w:rsidP="00B055FF">
            <w:pPr>
              <w:pStyle w:val="InstructionsText"/>
              <w:rPr>
                <w:b/>
                <w:u w:val="single"/>
              </w:rPr>
            </w:pPr>
            <w:r w:rsidRPr="002A677E">
              <w:t xml:space="preserve">Article 305(3) </w:t>
            </w:r>
            <w:r w:rsidRPr="001235ED">
              <w:rPr>
                <w:lang w:val="en-US"/>
              </w:rPr>
              <w:t>of Regulation (EU) No 575/2013</w:t>
            </w:r>
          </w:p>
        </w:tc>
      </w:tr>
      <w:tr w:rsidR="002053AE" w:rsidRPr="002A677E" w14:paraId="1A6A1E78" w14:textId="77777777" w:rsidTr="24B43B11">
        <w:tc>
          <w:tcPr>
            <w:tcW w:w="1188" w:type="dxa"/>
            <w:shd w:val="clear" w:color="auto" w:fill="auto"/>
          </w:tcPr>
          <w:p w14:paraId="6D4904D9" w14:textId="77777777" w:rsidR="002053AE" w:rsidRPr="002A677E" w:rsidRDefault="002053AE" w:rsidP="00B055FF">
            <w:pPr>
              <w:pStyle w:val="InstructionsText"/>
            </w:pPr>
            <w:r w:rsidRPr="002A677E">
              <w:t>0170</w:t>
            </w:r>
          </w:p>
        </w:tc>
        <w:tc>
          <w:tcPr>
            <w:tcW w:w="8701" w:type="dxa"/>
            <w:shd w:val="clear" w:color="auto" w:fill="auto"/>
          </w:tcPr>
          <w:p w14:paraId="6E8C60CA" w14:textId="037A3CF4" w:rsidR="002053AE" w:rsidRPr="002A677E" w:rsidRDefault="002053AE" w:rsidP="00B055FF">
            <w:pPr>
              <w:pStyle w:val="InstructionsText"/>
            </w:pPr>
            <w:r w:rsidRPr="002A677E">
              <w:rPr>
                <w:rStyle w:val="InstructionsTabelleberschrift"/>
                <w:rFonts w:ascii="Times New Roman" w:hAnsi="Times New Roman"/>
                <w:sz w:val="24"/>
              </w:rPr>
              <w:t>10 %</w:t>
            </w:r>
          </w:p>
        </w:tc>
      </w:tr>
      <w:tr w:rsidR="002053AE" w:rsidRPr="002A677E" w14:paraId="7E322BEB" w14:textId="77777777" w:rsidTr="24B43B11">
        <w:tc>
          <w:tcPr>
            <w:tcW w:w="1188" w:type="dxa"/>
            <w:shd w:val="clear" w:color="auto" w:fill="auto"/>
          </w:tcPr>
          <w:p w14:paraId="741FA972" w14:textId="77777777" w:rsidR="002053AE" w:rsidRPr="002A677E" w:rsidRDefault="002053AE" w:rsidP="00B055FF">
            <w:pPr>
              <w:pStyle w:val="InstructionsText"/>
            </w:pPr>
            <w:r w:rsidRPr="002A677E">
              <w:t>0180</w:t>
            </w:r>
          </w:p>
        </w:tc>
        <w:tc>
          <w:tcPr>
            <w:tcW w:w="8701" w:type="dxa"/>
            <w:shd w:val="clear" w:color="auto" w:fill="auto"/>
          </w:tcPr>
          <w:p w14:paraId="10ED646C" w14:textId="03810209" w:rsidR="002053AE" w:rsidRPr="002A677E" w:rsidRDefault="002053AE" w:rsidP="00B055FF">
            <w:pPr>
              <w:pStyle w:val="InstructionsText"/>
            </w:pPr>
            <w:r w:rsidRPr="002A677E">
              <w:rPr>
                <w:rStyle w:val="InstructionsTabelleberschrift"/>
                <w:rFonts w:ascii="Times New Roman" w:hAnsi="Times New Roman"/>
                <w:sz w:val="24"/>
              </w:rPr>
              <w:t>20 %</w:t>
            </w:r>
          </w:p>
        </w:tc>
      </w:tr>
      <w:tr w:rsidR="00045B05" w:rsidRPr="002A677E" w14:paraId="10F4F738" w14:textId="77777777" w:rsidTr="24B43B11">
        <w:tc>
          <w:tcPr>
            <w:tcW w:w="1188" w:type="dxa"/>
            <w:shd w:val="clear" w:color="auto" w:fill="auto"/>
          </w:tcPr>
          <w:p w14:paraId="1E8575C6" w14:textId="7EEEA45C" w:rsidR="00045B05" w:rsidRPr="002A677E" w:rsidRDefault="00045B05" w:rsidP="00B055FF">
            <w:pPr>
              <w:pStyle w:val="InstructionsText"/>
            </w:pPr>
            <w:r>
              <w:t>0185</w:t>
            </w:r>
          </w:p>
        </w:tc>
        <w:tc>
          <w:tcPr>
            <w:tcW w:w="8701" w:type="dxa"/>
            <w:shd w:val="clear" w:color="auto" w:fill="auto"/>
          </w:tcPr>
          <w:p w14:paraId="0103FC5C" w14:textId="2424542F"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045B05" w:rsidRPr="002A677E" w14:paraId="3F29E1EE" w14:textId="77777777" w:rsidTr="24B43B11">
        <w:tc>
          <w:tcPr>
            <w:tcW w:w="1188" w:type="dxa"/>
            <w:shd w:val="clear" w:color="auto" w:fill="auto"/>
          </w:tcPr>
          <w:p w14:paraId="65CBC869" w14:textId="433BF125" w:rsidR="00045B05" w:rsidRPr="002A677E" w:rsidRDefault="00045B05" w:rsidP="00B055FF">
            <w:pPr>
              <w:pStyle w:val="InstructionsText"/>
            </w:pPr>
            <w:r w:rsidRPr="002A677E">
              <w:t>0190</w:t>
            </w:r>
          </w:p>
        </w:tc>
        <w:tc>
          <w:tcPr>
            <w:tcW w:w="8701" w:type="dxa"/>
            <w:shd w:val="clear" w:color="auto" w:fill="auto"/>
          </w:tcPr>
          <w:p w14:paraId="4D011FB3" w14:textId="07D26E09" w:rsidR="00045B05" w:rsidRPr="002A677E" w:rsidRDefault="00045B05" w:rsidP="00B055FF">
            <w:pPr>
              <w:pStyle w:val="InstructionsText"/>
            </w:pPr>
            <w:r w:rsidRPr="002A677E">
              <w:rPr>
                <w:rStyle w:val="InstructionsTabelleberschrift"/>
                <w:rFonts w:ascii="Times New Roman" w:hAnsi="Times New Roman"/>
                <w:sz w:val="24"/>
              </w:rPr>
              <w:t>35 %</w:t>
            </w:r>
          </w:p>
        </w:tc>
      </w:tr>
      <w:tr w:rsidR="00045B05" w:rsidRPr="002A677E" w14:paraId="710E8323" w14:textId="77777777" w:rsidTr="24B43B11">
        <w:tc>
          <w:tcPr>
            <w:tcW w:w="1188" w:type="dxa"/>
            <w:shd w:val="clear" w:color="auto" w:fill="auto"/>
          </w:tcPr>
          <w:p w14:paraId="2EDB6464" w14:textId="2ED40B70" w:rsidR="00045B05" w:rsidRPr="002A677E" w:rsidRDefault="00045B05" w:rsidP="00B055FF">
            <w:pPr>
              <w:pStyle w:val="InstructionsText"/>
            </w:pPr>
            <w:r>
              <w:t>0195</w:t>
            </w:r>
          </w:p>
        </w:tc>
        <w:tc>
          <w:tcPr>
            <w:tcW w:w="8701" w:type="dxa"/>
            <w:shd w:val="clear" w:color="auto" w:fill="auto"/>
          </w:tcPr>
          <w:p w14:paraId="31A70F9B" w14:textId="17C79C0F"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40%</w:t>
            </w:r>
          </w:p>
        </w:tc>
      </w:tr>
      <w:tr w:rsidR="00045B05" w:rsidRPr="002A677E" w14:paraId="587677FE" w14:textId="77777777" w:rsidTr="24B43B11">
        <w:tc>
          <w:tcPr>
            <w:tcW w:w="1188" w:type="dxa"/>
            <w:shd w:val="clear" w:color="auto" w:fill="auto"/>
          </w:tcPr>
          <w:p w14:paraId="20EF1C4D" w14:textId="5FBAB327" w:rsidR="00045B05" w:rsidRPr="002A677E" w:rsidRDefault="00045B05" w:rsidP="00B055FF">
            <w:pPr>
              <w:pStyle w:val="InstructionsText"/>
            </w:pPr>
            <w:r>
              <w:t>0196</w:t>
            </w:r>
          </w:p>
        </w:tc>
        <w:tc>
          <w:tcPr>
            <w:tcW w:w="8701" w:type="dxa"/>
            <w:shd w:val="clear" w:color="auto" w:fill="auto"/>
          </w:tcPr>
          <w:p w14:paraId="101D8B52" w14:textId="1877D8DB"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45%</w:t>
            </w:r>
          </w:p>
        </w:tc>
      </w:tr>
      <w:tr w:rsidR="00045B05" w:rsidRPr="002A677E" w14:paraId="7AF6FA4E" w14:textId="77777777" w:rsidTr="24B43B11">
        <w:tc>
          <w:tcPr>
            <w:tcW w:w="1188" w:type="dxa"/>
            <w:shd w:val="clear" w:color="auto" w:fill="auto"/>
          </w:tcPr>
          <w:p w14:paraId="44CD4160" w14:textId="14CF14FB" w:rsidR="00045B05" w:rsidRPr="002A677E" w:rsidRDefault="00045B05" w:rsidP="00B055FF">
            <w:pPr>
              <w:pStyle w:val="InstructionsText"/>
            </w:pPr>
            <w:r w:rsidRPr="002A677E">
              <w:t>0200</w:t>
            </w:r>
          </w:p>
        </w:tc>
        <w:tc>
          <w:tcPr>
            <w:tcW w:w="8701" w:type="dxa"/>
            <w:shd w:val="clear" w:color="auto" w:fill="auto"/>
          </w:tcPr>
          <w:p w14:paraId="0BEC153A" w14:textId="17C7B328" w:rsidR="00045B05" w:rsidRPr="002A677E" w:rsidRDefault="00045B05" w:rsidP="00B055FF">
            <w:pPr>
              <w:pStyle w:val="InstructionsText"/>
            </w:pPr>
            <w:r w:rsidRPr="002A677E">
              <w:rPr>
                <w:rStyle w:val="InstructionsTabelleberschrift"/>
                <w:rFonts w:ascii="Times New Roman" w:hAnsi="Times New Roman"/>
                <w:sz w:val="24"/>
              </w:rPr>
              <w:t>50 %</w:t>
            </w:r>
          </w:p>
        </w:tc>
      </w:tr>
      <w:tr w:rsidR="00045B05" w:rsidRPr="002A677E" w14:paraId="61C20A4A" w14:textId="77777777" w:rsidTr="24B43B11">
        <w:tc>
          <w:tcPr>
            <w:tcW w:w="1188" w:type="dxa"/>
            <w:shd w:val="clear" w:color="auto" w:fill="auto"/>
          </w:tcPr>
          <w:p w14:paraId="01A0ED60" w14:textId="6330C717" w:rsidR="00045B05" w:rsidRPr="002A677E" w:rsidRDefault="00045B05" w:rsidP="00B055FF">
            <w:pPr>
              <w:pStyle w:val="InstructionsText"/>
            </w:pPr>
            <w:r>
              <w:t>0205</w:t>
            </w:r>
          </w:p>
        </w:tc>
        <w:tc>
          <w:tcPr>
            <w:tcW w:w="8701" w:type="dxa"/>
            <w:shd w:val="clear" w:color="auto" w:fill="auto"/>
          </w:tcPr>
          <w:p w14:paraId="15BF2A2F" w14:textId="6152BB15"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60%</w:t>
            </w:r>
          </w:p>
        </w:tc>
      </w:tr>
      <w:tr w:rsidR="00045B05" w:rsidRPr="002A677E" w14:paraId="1C7FD885" w14:textId="77777777" w:rsidTr="24B43B11">
        <w:tc>
          <w:tcPr>
            <w:tcW w:w="1188" w:type="dxa"/>
            <w:shd w:val="clear" w:color="auto" w:fill="auto"/>
          </w:tcPr>
          <w:p w14:paraId="6FED70ED" w14:textId="575B4EC2" w:rsidR="00045B05" w:rsidRPr="002A677E" w:rsidRDefault="00045B05" w:rsidP="00B055FF">
            <w:pPr>
              <w:pStyle w:val="InstructionsText"/>
            </w:pPr>
            <w:r w:rsidRPr="002A677E">
              <w:t>0210</w:t>
            </w:r>
          </w:p>
        </w:tc>
        <w:tc>
          <w:tcPr>
            <w:tcW w:w="8701" w:type="dxa"/>
            <w:shd w:val="clear" w:color="auto" w:fill="auto"/>
          </w:tcPr>
          <w:p w14:paraId="65C9D644" w14:textId="77777777" w:rsidR="00045B05" w:rsidRPr="002A677E" w:rsidRDefault="00045B0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t> </w:t>
            </w:r>
            <w:r w:rsidRPr="002A677E">
              <w:rPr>
                <w:rStyle w:val="InstructionsTabelleberschrift"/>
                <w:rFonts w:ascii="Times New Roman" w:hAnsi="Times New Roman"/>
                <w:sz w:val="24"/>
              </w:rPr>
              <w:t>%</w:t>
            </w:r>
          </w:p>
          <w:p w14:paraId="6D02B8FE" w14:textId="0B2DD67B" w:rsidR="00045B05" w:rsidRPr="002A677E" w:rsidRDefault="00045B05" w:rsidP="00B055FF">
            <w:pPr>
              <w:pStyle w:val="InstructionsText"/>
            </w:pPr>
            <w:r w:rsidRPr="002A677E">
              <w:t>Article 232(3)</w:t>
            </w:r>
            <w:r>
              <w:t>, p</w:t>
            </w:r>
            <w:r w:rsidRPr="002A677E">
              <w:t>oint (c)</w:t>
            </w:r>
            <w:r>
              <w:t>,</w:t>
            </w:r>
            <w:r w:rsidRPr="002A677E">
              <w:t xml:space="preserve"> </w:t>
            </w:r>
            <w:r w:rsidRPr="001235ED">
              <w:rPr>
                <w:lang w:val="en-US"/>
              </w:rPr>
              <w:t>of Regulation (EU) No 575/2013</w:t>
            </w:r>
            <w:r w:rsidRPr="002A677E">
              <w:t>.</w:t>
            </w:r>
          </w:p>
        </w:tc>
      </w:tr>
      <w:tr w:rsidR="00045B05" w:rsidRPr="002A677E" w14:paraId="0B877D29" w14:textId="77777777" w:rsidTr="24B43B11">
        <w:tc>
          <w:tcPr>
            <w:tcW w:w="1188" w:type="dxa"/>
            <w:shd w:val="clear" w:color="auto" w:fill="auto"/>
          </w:tcPr>
          <w:p w14:paraId="6FA2349D" w14:textId="5FB390AC" w:rsidR="00045B05" w:rsidRPr="002A677E" w:rsidRDefault="00045B05" w:rsidP="00B055FF">
            <w:pPr>
              <w:pStyle w:val="InstructionsText"/>
            </w:pPr>
            <w:r w:rsidRPr="002A677E">
              <w:t>0220</w:t>
            </w:r>
          </w:p>
        </w:tc>
        <w:tc>
          <w:tcPr>
            <w:tcW w:w="8701" w:type="dxa"/>
            <w:shd w:val="clear" w:color="auto" w:fill="auto"/>
          </w:tcPr>
          <w:p w14:paraId="1512C11F" w14:textId="5C244FAE" w:rsidR="00045B05" w:rsidRPr="002A677E" w:rsidRDefault="00045B05" w:rsidP="00B055FF">
            <w:pPr>
              <w:pStyle w:val="InstructionsText"/>
            </w:pPr>
            <w:r w:rsidRPr="002A677E">
              <w:rPr>
                <w:rStyle w:val="InstructionsTabelleberschrift"/>
                <w:rFonts w:ascii="Times New Roman" w:hAnsi="Times New Roman"/>
                <w:sz w:val="24"/>
              </w:rPr>
              <w:t>75 %</w:t>
            </w:r>
          </w:p>
        </w:tc>
      </w:tr>
      <w:tr w:rsidR="00045B05" w:rsidRPr="002A677E" w14:paraId="751BDF26" w14:textId="77777777" w:rsidTr="24B43B11">
        <w:tc>
          <w:tcPr>
            <w:tcW w:w="1188" w:type="dxa"/>
            <w:shd w:val="clear" w:color="auto" w:fill="auto"/>
          </w:tcPr>
          <w:p w14:paraId="350BC767" w14:textId="7811B82C" w:rsidR="00045B05" w:rsidRPr="002A677E" w:rsidRDefault="00045B05" w:rsidP="00B055FF">
            <w:pPr>
              <w:pStyle w:val="InstructionsText"/>
            </w:pPr>
            <w:r>
              <w:t>0225</w:t>
            </w:r>
          </w:p>
        </w:tc>
        <w:tc>
          <w:tcPr>
            <w:tcW w:w="8701" w:type="dxa"/>
            <w:shd w:val="clear" w:color="auto" w:fill="auto"/>
          </w:tcPr>
          <w:p w14:paraId="1FED7E88" w14:textId="5AD37AC0"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80%</w:t>
            </w:r>
          </w:p>
        </w:tc>
      </w:tr>
      <w:tr w:rsidR="00045B05" w:rsidRPr="002A677E" w14:paraId="5B7CAC11" w14:textId="77777777" w:rsidTr="24B43B11">
        <w:tc>
          <w:tcPr>
            <w:tcW w:w="1188" w:type="dxa"/>
            <w:shd w:val="clear" w:color="auto" w:fill="auto"/>
          </w:tcPr>
          <w:p w14:paraId="2B942F26" w14:textId="7E1900DF" w:rsidR="00045B05" w:rsidRPr="002A677E" w:rsidRDefault="00045B05" w:rsidP="00B055FF">
            <w:pPr>
              <w:pStyle w:val="InstructionsText"/>
            </w:pPr>
            <w:r>
              <w:t>0226</w:t>
            </w:r>
          </w:p>
        </w:tc>
        <w:tc>
          <w:tcPr>
            <w:tcW w:w="8701" w:type="dxa"/>
            <w:shd w:val="clear" w:color="auto" w:fill="auto"/>
          </w:tcPr>
          <w:p w14:paraId="6EE17CC6" w14:textId="20436526"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90%</w:t>
            </w:r>
          </w:p>
        </w:tc>
      </w:tr>
      <w:tr w:rsidR="00045B05" w:rsidRPr="002A677E" w14:paraId="689DC287" w14:textId="77777777" w:rsidTr="24B43B11">
        <w:tc>
          <w:tcPr>
            <w:tcW w:w="1188" w:type="dxa"/>
            <w:shd w:val="clear" w:color="auto" w:fill="auto"/>
          </w:tcPr>
          <w:p w14:paraId="67D93887" w14:textId="1DB294A8" w:rsidR="00045B05" w:rsidRPr="002A677E" w:rsidRDefault="00045B05" w:rsidP="00B055FF">
            <w:pPr>
              <w:pStyle w:val="InstructionsText"/>
            </w:pPr>
            <w:r w:rsidRPr="002A677E">
              <w:t>0230</w:t>
            </w:r>
          </w:p>
        </w:tc>
        <w:tc>
          <w:tcPr>
            <w:tcW w:w="8701" w:type="dxa"/>
            <w:shd w:val="clear" w:color="auto" w:fill="auto"/>
          </w:tcPr>
          <w:p w14:paraId="1118345E" w14:textId="2F96731E" w:rsidR="00045B05" w:rsidRPr="002A677E" w:rsidRDefault="00045B05" w:rsidP="00B055FF">
            <w:pPr>
              <w:pStyle w:val="InstructionsText"/>
            </w:pPr>
            <w:r w:rsidRPr="002A677E">
              <w:rPr>
                <w:rStyle w:val="InstructionsTabelleberschrift"/>
                <w:rFonts w:ascii="Times New Roman" w:hAnsi="Times New Roman"/>
                <w:sz w:val="24"/>
              </w:rPr>
              <w:t>100 %</w:t>
            </w:r>
          </w:p>
        </w:tc>
      </w:tr>
      <w:tr w:rsidR="00045B05" w:rsidRPr="002A677E" w14:paraId="1AD3EF69" w14:textId="77777777" w:rsidTr="24B43B11">
        <w:tc>
          <w:tcPr>
            <w:tcW w:w="1188" w:type="dxa"/>
            <w:shd w:val="clear" w:color="auto" w:fill="auto"/>
          </w:tcPr>
          <w:p w14:paraId="3659B77E" w14:textId="39CB1E3D" w:rsidR="00045B05" w:rsidRPr="002A677E" w:rsidRDefault="00045B05" w:rsidP="00B055FF">
            <w:pPr>
              <w:pStyle w:val="InstructionsText"/>
            </w:pPr>
            <w:r>
              <w:t>0231</w:t>
            </w:r>
          </w:p>
        </w:tc>
        <w:tc>
          <w:tcPr>
            <w:tcW w:w="8701" w:type="dxa"/>
            <w:shd w:val="clear" w:color="auto" w:fill="auto"/>
          </w:tcPr>
          <w:p w14:paraId="2AE1284E" w14:textId="4053E9EB"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105%</w:t>
            </w:r>
          </w:p>
        </w:tc>
      </w:tr>
      <w:tr w:rsidR="00045B05" w:rsidRPr="002A677E" w14:paraId="652FD576" w14:textId="77777777" w:rsidTr="24B43B11">
        <w:tc>
          <w:tcPr>
            <w:tcW w:w="1188" w:type="dxa"/>
            <w:shd w:val="clear" w:color="auto" w:fill="auto"/>
          </w:tcPr>
          <w:p w14:paraId="342E2729" w14:textId="6E41BB74" w:rsidR="00045B05" w:rsidRPr="002A677E" w:rsidRDefault="00045B05" w:rsidP="00B055FF">
            <w:pPr>
              <w:pStyle w:val="InstructionsText"/>
            </w:pPr>
            <w:r>
              <w:t>0232</w:t>
            </w:r>
          </w:p>
        </w:tc>
        <w:tc>
          <w:tcPr>
            <w:tcW w:w="8701" w:type="dxa"/>
            <w:shd w:val="clear" w:color="auto" w:fill="auto"/>
          </w:tcPr>
          <w:p w14:paraId="69A11F04" w14:textId="6AC13E3C"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110%</w:t>
            </w:r>
          </w:p>
        </w:tc>
      </w:tr>
      <w:tr w:rsidR="00045B05" w:rsidRPr="002A677E" w14:paraId="5140E54F" w14:textId="77777777" w:rsidTr="24B43B11">
        <w:tc>
          <w:tcPr>
            <w:tcW w:w="1188" w:type="dxa"/>
            <w:shd w:val="clear" w:color="auto" w:fill="auto"/>
          </w:tcPr>
          <w:p w14:paraId="396584DE" w14:textId="127D6F9F" w:rsidR="00045B05" w:rsidRPr="002A677E" w:rsidRDefault="00045B05" w:rsidP="00B055FF">
            <w:pPr>
              <w:pStyle w:val="InstructionsText"/>
            </w:pPr>
            <w:r>
              <w:t>0235</w:t>
            </w:r>
          </w:p>
        </w:tc>
        <w:tc>
          <w:tcPr>
            <w:tcW w:w="8701" w:type="dxa"/>
            <w:shd w:val="clear" w:color="auto" w:fill="auto"/>
          </w:tcPr>
          <w:p w14:paraId="06A70A40" w14:textId="712FE8D9"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130%</w:t>
            </w:r>
          </w:p>
        </w:tc>
      </w:tr>
      <w:tr w:rsidR="00045B05" w:rsidRPr="002A677E" w14:paraId="37352646" w14:textId="77777777" w:rsidTr="24B43B11">
        <w:tc>
          <w:tcPr>
            <w:tcW w:w="1188" w:type="dxa"/>
            <w:shd w:val="clear" w:color="auto" w:fill="auto"/>
          </w:tcPr>
          <w:p w14:paraId="073CA0B8" w14:textId="0CAB9887" w:rsidR="00045B05" w:rsidRPr="002A677E" w:rsidRDefault="00045B05" w:rsidP="00B055FF">
            <w:pPr>
              <w:pStyle w:val="InstructionsText"/>
            </w:pPr>
            <w:r w:rsidRPr="002A677E">
              <w:t>0240</w:t>
            </w:r>
          </w:p>
        </w:tc>
        <w:tc>
          <w:tcPr>
            <w:tcW w:w="8701" w:type="dxa"/>
            <w:shd w:val="clear" w:color="auto" w:fill="auto"/>
          </w:tcPr>
          <w:p w14:paraId="43F2084C" w14:textId="621E7C57" w:rsidR="00045B05" w:rsidRPr="002A677E" w:rsidRDefault="00045B05" w:rsidP="00B055FF">
            <w:pPr>
              <w:pStyle w:val="InstructionsText"/>
            </w:pPr>
            <w:r w:rsidRPr="002A677E">
              <w:rPr>
                <w:rStyle w:val="InstructionsTabelleberschrift"/>
                <w:rFonts w:ascii="Times New Roman" w:hAnsi="Times New Roman"/>
                <w:sz w:val="24"/>
              </w:rPr>
              <w:t>150 %</w:t>
            </w:r>
          </w:p>
        </w:tc>
      </w:tr>
      <w:tr w:rsidR="00045B05" w:rsidRPr="002A677E" w14:paraId="0D9267A6" w14:textId="77777777" w:rsidTr="24B43B11">
        <w:tc>
          <w:tcPr>
            <w:tcW w:w="1188" w:type="dxa"/>
            <w:shd w:val="clear" w:color="auto" w:fill="auto"/>
          </w:tcPr>
          <w:p w14:paraId="0D0A1D08" w14:textId="5FF11DB0" w:rsidR="00045B05" w:rsidRPr="002A677E" w:rsidRDefault="00045B05" w:rsidP="00B055FF">
            <w:pPr>
              <w:pStyle w:val="InstructionsText"/>
            </w:pPr>
            <w:r w:rsidRPr="002A677E">
              <w:t>0250</w:t>
            </w:r>
          </w:p>
        </w:tc>
        <w:tc>
          <w:tcPr>
            <w:tcW w:w="8701" w:type="dxa"/>
            <w:shd w:val="clear" w:color="auto" w:fill="auto"/>
          </w:tcPr>
          <w:p w14:paraId="49534785" w14:textId="77777777" w:rsidR="00045B05" w:rsidRPr="002A677E" w:rsidRDefault="00045B0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55894113" w14:textId="1AEB8A17" w:rsidR="00045B05" w:rsidRPr="002A677E" w:rsidRDefault="00045B05" w:rsidP="00B055FF">
            <w:pPr>
              <w:pStyle w:val="InstructionsText"/>
            </w:pPr>
            <w:r w:rsidRPr="002A677E">
              <w:t xml:space="preserve">Articles 133(2) and 48(4) </w:t>
            </w:r>
            <w:r w:rsidRPr="001235ED">
              <w:rPr>
                <w:lang w:val="en-US"/>
              </w:rPr>
              <w:t>of Regulation (EU) No 575/2013</w:t>
            </w:r>
          </w:p>
        </w:tc>
      </w:tr>
      <w:tr w:rsidR="00045B05" w:rsidRPr="002A677E" w14:paraId="7C093985" w14:textId="77777777" w:rsidTr="24B43B11">
        <w:tc>
          <w:tcPr>
            <w:tcW w:w="1188" w:type="dxa"/>
            <w:shd w:val="clear" w:color="auto" w:fill="auto"/>
          </w:tcPr>
          <w:p w14:paraId="449EF471" w14:textId="57FF9282" w:rsidR="00045B05" w:rsidRPr="002A677E" w:rsidRDefault="00045B05" w:rsidP="00B055FF">
            <w:pPr>
              <w:pStyle w:val="InstructionsText"/>
            </w:pPr>
            <w:r w:rsidRPr="002A677E">
              <w:t>0260</w:t>
            </w:r>
          </w:p>
        </w:tc>
        <w:tc>
          <w:tcPr>
            <w:tcW w:w="8701" w:type="dxa"/>
            <w:shd w:val="clear" w:color="auto" w:fill="auto"/>
          </w:tcPr>
          <w:p w14:paraId="79D6BEB4" w14:textId="77777777" w:rsidR="00045B05" w:rsidRPr="002A677E" w:rsidRDefault="00045B05"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26072AFF" w14:textId="3E5EF15C" w:rsidR="00045B05" w:rsidRPr="002A677E" w:rsidRDefault="00045B05" w:rsidP="00B055FF">
            <w:pPr>
              <w:pStyle w:val="InstructionsText"/>
              <w:rPr>
                <w:b/>
                <w:u w:val="single"/>
              </w:rPr>
            </w:pPr>
            <w:r w:rsidRPr="002A677E">
              <w:t xml:space="preserve">Article 471 </w:t>
            </w:r>
            <w:r w:rsidRPr="001235ED">
              <w:rPr>
                <w:lang w:val="en-US"/>
              </w:rPr>
              <w:t>of Regulation (EU) No 575/2013</w:t>
            </w:r>
          </w:p>
        </w:tc>
      </w:tr>
      <w:tr w:rsidR="00045B05" w:rsidRPr="002A677E" w14:paraId="74FCC06E" w14:textId="77777777" w:rsidTr="24B43B11">
        <w:tc>
          <w:tcPr>
            <w:tcW w:w="1188" w:type="dxa"/>
            <w:shd w:val="clear" w:color="auto" w:fill="auto"/>
          </w:tcPr>
          <w:p w14:paraId="4ED4D255" w14:textId="5B5E2B77" w:rsidR="00045B05" w:rsidRPr="002A677E" w:rsidRDefault="00045B05" w:rsidP="00B055FF">
            <w:pPr>
              <w:pStyle w:val="InstructionsText"/>
            </w:pPr>
            <w:r>
              <w:t>0265</w:t>
            </w:r>
          </w:p>
        </w:tc>
        <w:tc>
          <w:tcPr>
            <w:tcW w:w="8701" w:type="dxa"/>
            <w:shd w:val="clear" w:color="auto" w:fill="auto"/>
          </w:tcPr>
          <w:p w14:paraId="5595F59F" w14:textId="46B6544A" w:rsidR="00045B05" w:rsidRPr="002A677E" w:rsidRDefault="00045B05"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400%</w:t>
            </w:r>
          </w:p>
        </w:tc>
      </w:tr>
      <w:tr w:rsidR="002053AE" w:rsidRPr="002A677E" w14:paraId="6F6DFE50" w14:textId="77777777" w:rsidTr="24B43B11">
        <w:tc>
          <w:tcPr>
            <w:tcW w:w="1188" w:type="dxa"/>
            <w:shd w:val="clear" w:color="auto" w:fill="auto"/>
          </w:tcPr>
          <w:p w14:paraId="08F0AF10" w14:textId="77777777" w:rsidR="002053AE" w:rsidRPr="002A677E" w:rsidRDefault="002053AE" w:rsidP="00B055FF">
            <w:pPr>
              <w:pStyle w:val="InstructionsText"/>
            </w:pPr>
            <w:r w:rsidRPr="002A677E">
              <w:t>0270</w:t>
            </w:r>
          </w:p>
        </w:tc>
        <w:tc>
          <w:tcPr>
            <w:tcW w:w="8701" w:type="dxa"/>
            <w:shd w:val="clear" w:color="auto" w:fill="auto"/>
          </w:tcPr>
          <w:p w14:paraId="1478A326"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7317B454" w14:textId="03D666D0" w:rsidR="002053AE" w:rsidRPr="002A677E" w:rsidRDefault="002053AE" w:rsidP="00B055FF">
            <w:pPr>
              <w:pStyle w:val="InstructionsText"/>
              <w:rPr>
                <w:b/>
                <w:u w:val="single"/>
              </w:rPr>
            </w:pPr>
            <w:r w:rsidRPr="002A677E">
              <w:t xml:space="preserve">Article 133(2) and Article 379 </w:t>
            </w:r>
            <w:r w:rsidRPr="001235ED">
              <w:rPr>
                <w:lang w:val="en-US"/>
              </w:rPr>
              <w:t>of Regulation (EU) No 575/2013</w:t>
            </w:r>
          </w:p>
        </w:tc>
      </w:tr>
      <w:tr w:rsidR="002053AE" w:rsidRPr="002A677E" w14:paraId="70D52ADF" w14:textId="77777777" w:rsidTr="24B43B11">
        <w:tc>
          <w:tcPr>
            <w:tcW w:w="1188" w:type="dxa"/>
            <w:shd w:val="clear" w:color="auto" w:fill="auto"/>
          </w:tcPr>
          <w:p w14:paraId="69C23061" w14:textId="77777777" w:rsidR="002053AE" w:rsidRPr="002A677E" w:rsidRDefault="002053AE" w:rsidP="00B055FF">
            <w:pPr>
              <w:pStyle w:val="InstructionsText"/>
            </w:pPr>
            <w:r w:rsidRPr="002A677E">
              <w:t>0280</w:t>
            </w:r>
          </w:p>
        </w:tc>
        <w:tc>
          <w:tcPr>
            <w:tcW w:w="8701" w:type="dxa"/>
            <w:shd w:val="clear" w:color="auto" w:fill="auto"/>
          </w:tcPr>
          <w:p w14:paraId="59C6FA0A" w14:textId="1FAE6EE0" w:rsidR="002053AE" w:rsidRPr="002A677E" w:rsidRDefault="002053AE" w:rsidP="00B055FF">
            <w:pPr>
              <w:pStyle w:val="InstructionsText"/>
              <w:rPr>
                <w:rStyle w:val="InstructionsTabelleberschrift"/>
                <w:rFonts w:ascii="Times New Roman" w:hAnsi="Times New Roman"/>
                <w:sz w:val="24"/>
              </w:rPr>
            </w:pPr>
            <w:r w:rsidRPr="24B43B11">
              <w:rPr>
                <w:rStyle w:val="InstructionsTabelleberschrift"/>
                <w:rFonts w:ascii="Times New Roman" w:hAnsi="Times New Roman"/>
                <w:sz w:val="24"/>
              </w:rPr>
              <w:t>Other risk weights</w:t>
            </w:r>
          </w:p>
          <w:p w14:paraId="417334B0" w14:textId="77777777" w:rsidR="002053AE" w:rsidRPr="002A677E" w:rsidRDefault="002053AE" w:rsidP="00B055FF">
            <w:pPr>
              <w:pStyle w:val="InstructionsText"/>
            </w:pPr>
            <w:r w:rsidRPr="002A677E">
              <w:lastRenderedPageBreak/>
              <w:t>This row is not available for exposure classes</w:t>
            </w:r>
            <w:r w:rsidRPr="002A677E" w:rsidDel="00385B93">
              <w:t xml:space="preserve"> </w:t>
            </w:r>
            <w:r w:rsidRPr="002A677E">
              <w:t>Government, Corporates, Institutions and Retail.</w:t>
            </w:r>
          </w:p>
          <w:p w14:paraId="7BB922B8" w14:textId="77777777" w:rsidR="002053AE" w:rsidRPr="002A677E" w:rsidRDefault="002053AE" w:rsidP="00B055FF">
            <w:pPr>
              <w:pStyle w:val="InstructionsText"/>
            </w:pPr>
          </w:p>
          <w:p w14:paraId="0875E46F" w14:textId="77777777" w:rsidR="002053AE" w:rsidRPr="002A677E" w:rsidRDefault="002053AE" w:rsidP="00B055FF">
            <w:pPr>
              <w:pStyle w:val="InstructionsText"/>
            </w:pPr>
            <w:r w:rsidRPr="002A677E">
              <w:t>For reporting those exposures not subject to the risk weights listed in the template.</w:t>
            </w:r>
          </w:p>
          <w:p w14:paraId="2DC925E8" w14:textId="77E036D7" w:rsidR="002053AE" w:rsidRPr="002A677E" w:rsidRDefault="002053AE" w:rsidP="00B055FF">
            <w:pPr>
              <w:pStyle w:val="InstructionsText"/>
            </w:pPr>
            <w:r w:rsidRPr="002A677E">
              <w:t>Article 113</w:t>
            </w:r>
            <w:r>
              <w:t>, p</w:t>
            </w:r>
            <w:r w:rsidRPr="002A677E">
              <w:t xml:space="preserve">aragraphs 1 to 5 </w:t>
            </w:r>
            <w:r w:rsidRPr="001235ED">
              <w:rPr>
                <w:lang w:val="en-US"/>
              </w:rPr>
              <w:t>of Regulation (EU) No 575/2013</w:t>
            </w:r>
            <w:r w:rsidRPr="002A677E">
              <w:t xml:space="preserve">. </w:t>
            </w:r>
          </w:p>
          <w:p w14:paraId="18BFF5DF" w14:textId="77777777" w:rsidR="002053AE" w:rsidRPr="002A677E" w:rsidRDefault="002053AE" w:rsidP="00B055FF">
            <w:pPr>
              <w:pStyle w:val="InstructionsText"/>
            </w:pPr>
          </w:p>
          <w:p w14:paraId="17483585" w14:textId="6FA4DCAD" w:rsidR="002053AE" w:rsidRPr="002A677E" w:rsidRDefault="002053AE" w:rsidP="00B055FF">
            <w:pPr>
              <w:pStyle w:val="InstructionsText"/>
            </w:pPr>
            <w:r w:rsidRPr="002A677E">
              <w:t xml:space="preserve">Unrated nth-to-default credit derivatives under the Standardised approach (Article 134(6) </w:t>
            </w:r>
            <w:r w:rsidRPr="001235ED">
              <w:rPr>
                <w:lang w:val="en-US"/>
              </w:rPr>
              <w:t>of Regulation (EU) No 575/2013</w:t>
            </w:r>
            <w:r w:rsidRPr="002A677E">
              <w:t>) shall be reported in this row under the exposure class "Other items".</w:t>
            </w:r>
          </w:p>
          <w:p w14:paraId="4839EA0F" w14:textId="5ECEE1A6" w:rsidR="002053AE" w:rsidRPr="002A677E" w:rsidRDefault="002053AE" w:rsidP="00B055FF">
            <w:pPr>
              <w:pStyle w:val="InstructionsText"/>
            </w:pPr>
          </w:p>
        </w:tc>
      </w:tr>
      <w:tr w:rsidR="002053AE" w:rsidRPr="002A677E" w14:paraId="39C62CA5" w14:textId="77777777" w:rsidTr="24B43B11">
        <w:tc>
          <w:tcPr>
            <w:tcW w:w="1188" w:type="dxa"/>
            <w:shd w:val="clear" w:color="auto" w:fill="auto"/>
          </w:tcPr>
          <w:p w14:paraId="3CDA9CA8" w14:textId="77777777" w:rsidR="002053AE" w:rsidRPr="002A677E" w:rsidRDefault="002053AE" w:rsidP="00B055FF">
            <w:pPr>
              <w:pStyle w:val="InstructionsText"/>
            </w:pPr>
            <w:r w:rsidRPr="002A677E">
              <w:lastRenderedPageBreak/>
              <w:t>0281-0284</w:t>
            </w:r>
          </w:p>
        </w:tc>
        <w:tc>
          <w:tcPr>
            <w:tcW w:w="8701" w:type="dxa"/>
            <w:shd w:val="clear" w:color="auto" w:fill="auto"/>
          </w:tcPr>
          <w:p w14:paraId="29B8A563"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p>
          <w:p w14:paraId="2BAD7DF7" w14:textId="309BCA76"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These rows shall only be reported for the exposure class Collective investments undertakings (CIU), in line with Articles 132, 132a, 132b and 132c </w:t>
            </w:r>
            <w:r w:rsidRPr="001235ED">
              <w:rPr>
                <w:lang w:val="en-US"/>
              </w:rPr>
              <w:t>of Regulation (EU) No 575/2013</w:t>
            </w:r>
            <w:r w:rsidRPr="002A677E">
              <w:rPr>
                <w:rStyle w:val="InstructionsTabelleberschrift"/>
                <w:rFonts w:ascii="Times New Roman" w:hAnsi="Times New Roman"/>
                <w:b w:val="0"/>
                <w:sz w:val="24"/>
                <w:u w:val="none"/>
              </w:rPr>
              <w:t>.</w:t>
            </w:r>
          </w:p>
        </w:tc>
      </w:tr>
      <w:tr w:rsidR="002053AE" w:rsidRPr="002A677E" w14:paraId="6775AB36" w14:textId="77777777" w:rsidTr="24B43B11">
        <w:tc>
          <w:tcPr>
            <w:tcW w:w="1188" w:type="dxa"/>
            <w:shd w:val="clear" w:color="auto" w:fill="auto"/>
          </w:tcPr>
          <w:p w14:paraId="02AB8D76" w14:textId="77777777" w:rsidR="002053AE" w:rsidRPr="002A677E" w:rsidRDefault="002053AE" w:rsidP="00B055FF">
            <w:pPr>
              <w:pStyle w:val="InstructionsText"/>
            </w:pPr>
            <w:r w:rsidRPr="002A677E">
              <w:t>0281</w:t>
            </w:r>
          </w:p>
        </w:tc>
        <w:tc>
          <w:tcPr>
            <w:tcW w:w="8701" w:type="dxa"/>
            <w:shd w:val="clear" w:color="auto" w:fill="auto"/>
          </w:tcPr>
          <w:p w14:paraId="0A5EA157"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B60464B" w14:textId="63B2D041" w:rsidR="002053AE" w:rsidRPr="002A677E" w:rsidRDefault="002053AE" w:rsidP="00B055FF">
            <w:pPr>
              <w:pStyle w:val="InstructionsText"/>
              <w:rPr>
                <w:rStyle w:val="InstructionsTabelleberschrift"/>
                <w:rFonts w:ascii="Times New Roman" w:hAnsi="Times New Roman"/>
                <w:sz w:val="24"/>
              </w:rPr>
            </w:pPr>
            <w:r w:rsidRPr="001235ED">
              <w:t>Article 132</w:t>
            </w:r>
            <w:r w:rsidRPr="002A677E">
              <w:t xml:space="preserve">a(1) </w:t>
            </w:r>
            <w:r w:rsidRPr="001235ED">
              <w:rPr>
                <w:lang w:val="en-US"/>
              </w:rPr>
              <w:t>of Regulation (EU) No 575/2013</w:t>
            </w:r>
            <w:r w:rsidRPr="002A677E">
              <w:t>.</w:t>
            </w:r>
          </w:p>
        </w:tc>
      </w:tr>
      <w:tr w:rsidR="002053AE" w:rsidRPr="002A677E" w14:paraId="7FE5EDE2" w14:textId="77777777" w:rsidTr="24B43B11">
        <w:tc>
          <w:tcPr>
            <w:tcW w:w="1188" w:type="dxa"/>
            <w:shd w:val="clear" w:color="auto" w:fill="auto"/>
          </w:tcPr>
          <w:p w14:paraId="283630FA" w14:textId="77777777" w:rsidR="002053AE" w:rsidRPr="002A677E" w:rsidRDefault="002053AE" w:rsidP="00B055FF">
            <w:pPr>
              <w:pStyle w:val="InstructionsText"/>
            </w:pPr>
            <w:r w:rsidRPr="002A677E">
              <w:t>0282</w:t>
            </w:r>
          </w:p>
        </w:tc>
        <w:tc>
          <w:tcPr>
            <w:tcW w:w="8701" w:type="dxa"/>
            <w:shd w:val="clear" w:color="auto" w:fill="auto"/>
          </w:tcPr>
          <w:p w14:paraId="4201B20C"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6185E49" w14:textId="5DEC4114" w:rsidR="002053AE" w:rsidRPr="002A677E" w:rsidRDefault="002053AE" w:rsidP="00B055FF">
            <w:pPr>
              <w:pStyle w:val="InstructionsText"/>
              <w:rPr>
                <w:rStyle w:val="InstructionsTabelleberschrift"/>
                <w:rFonts w:ascii="Times New Roman" w:hAnsi="Times New Roman"/>
                <w:sz w:val="24"/>
              </w:rPr>
            </w:pPr>
            <w:r w:rsidRPr="001235ED">
              <w:t>Article 132</w:t>
            </w:r>
            <w:r w:rsidRPr="002A677E">
              <w:t xml:space="preserve">a(2) </w:t>
            </w:r>
            <w:r w:rsidRPr="001235ED">
              <w:rPr>
                <w:lang w:val="en-US"/>
              </w:rPr>
              <w:t>of Regulation (EU) No 575/2013</w:t>
            </w:r>
            <w:r w:rsidRPr="002A677E">
              <w:t>.</w:t>
            </w:r>
          </w:p>
        </w:tc>
      </w:tr>
      <w:tr w:rsidR="002053AE" w:rsidRPr="002A677E" w14:paraId="7BCD3485" w14:textId="77777777" w:rsidTr="24B43B11">
        <w:tc>
          <w:tcPr>
            <w:tcW w:w="1188" w:type="dxa"/>
            <w:shd w:val="clear" w:color="auto" w:fill="auto"/>
          </w:tcPr>
          <w:p w14:paraId="32E3EF5D" w14:textId="77777777" w:rsidR="002053AE" w:rsidRPr="002A677E" w:rsidRDefault="002053AE" w:rsidP="00B055FF">
            <w:pPr>
              <w:pStyle w:val="InstructionsText"/>
            </w:pPr>
            <w:r w:rsidRPr="002A677E">
              <w:t>0283</w:t>
            </w:r>
          </w:p>
        </w:tc>
        <w:tc>
          <w:tcPr>
            <w:tcW w:w="8701" w:type="dxa"/>
            <w:shd w:val="clear" w:color="auto" w:fill="auto"/>
          </w:tcPr>
          <w:p w14:paraId="6D628ACA"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8735693" w14:textId="4B897295" w:rsidR="002053AE" w:rsidRPr="002A677E" w:rsidRDefault="002053AE" w:rsidP="00B055FF">
            <w:pPr>
              <w:pStyle w:val="InstructionsText"/>
              <w:rPr>
                <w:rStyle w:val="InstructionsTabelleberschrift"/>
                <w:rFonts w:ascii="Times New Roman" w:hAnsi="Times New Roman"/>
                <w:sz w:val="24"/>
              </w:rPr>
            </w:pPr>
            <w:r w:rsidRPr="001235ED">
              <w:t xml:space="preserve">Article 132(2) </w:t>
            </w:r>
            <w:r w:rsidRPr="001235ED">
              <w:rPr>
                <w:lang w:val="en-US"/>
              </w:rPr>
              <w:t>of Regulation (EU) No 575/2013</w:t>
            </w:r>
            <w:r w:rsidRPr="002A677E">
              <w:t>.</w:t>
            </w:r>
          </w:p>
        </w:tc>
      </w:tr>
      <w:tr w:rsidR="002053AE" w:rsidRPr="002A677E" w14:paraId="5D1E6934" w14:textId="77777777" w:rsidTr="24B43B11">
        <w:tc>
          <w:tcPr>
            <w:tcW w:w="1188" w:type="dxa"/>
            <w:shd w:val="clear" w:color="auto" w:fill="auto"/>
          </w:tcPr>
          <w:p w14:paraId="0A64BA8C" w14:textId="41B38DFF" w:rsidR="002053AE" w:rsidRPr="002A677E" w:rsidRDefault="002053AE" w:rsidP="00B055FF">
            <w:pPr>
              <w:pStyle w:val="InstructionsText"/>
            </w:pPr>
            <w:r w:rsidRPr="002A677E">
              <w:t>0290-03</w:t>
            </w:r>
            <w:r w:rsidR="008F0CB3">
              <w:t>4</w:t>
            </w:r>
            <w:r w:rsidRPr="002A677E">
              <w:t>0</w:t>
            </w:r>
          </w:p>
        </w:tc>
        <w:tc>
          <w:tcPr>
            <w:tcW w:w="8701" w:type="dxa"/>
            <w:shd w:val="clear" w:color="auto" w:fill="auto"/>
          </w:tcPr>
          <w:p w14:paraId="55553372"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40A38B29" w14:textId="205B50AC" w:rsidR="002053AE" w:rsidRPr="002A677E" w:rsidRDefault="002053AE" w:rsidP="00B055FF">
            <w:pPr>
              <w:pStyle w:val="InstructionsText"/>
              <w:rPr>
                <w:b/>
                <w:u w:val="single"/>
              </w:rPr>
            </w:pPr>
            <w:r w:rsidRPr="002A677E">
              <w:t>For rows 0290 to 03</w:t>
            </w:r>
            <w:r w:rsidR="008F0CB3">
              <w:t>4</w:t>
            </w:r>
            <w:r w:rsidRPr="002A677E">
              <w:t>0, see also the explanation of the purpose of the memorandum items in the general section of the CR SA.</w:t>
            </w:r>
          </w:p>
        </w:tc>
      </w:tr>
      <w:tr w:rsidR="002053AE" w:rsidRPr="002A677E" w14:paraId="73B8B57C" w14:textId="77777777" w:rsidTr="24B43B11">
        <w:tc>
          <w:tcPr>
            <w:tcW w:w="1188" w:type="dxa"/>
            <w:shd w:val="clear" w:color="auto" w:fill="auto"/>
          </w:tcPr>
          <w:p w14:paraId="72B6CA67" w14:textId="77777777" w:rsidR="002053AE" w:rsidRPr="002A677E" w:rsidRDefault="002053AE" w:rsidP="00B055FF">
            <w:pPr>
              <w:pStyle w:val="InstructionsText"/>
            </w:pPr>
            <w:r w:rsidRPr="002A677E">
              <w:t>0290</w:t>
            </w:r>
          </w:p>
          <w:p w14:paraId="697FBB70" w14:textId="77777777" w:rsidR="002053AE" w:rsidRPr="002A677E" w:rsidRDefault="002053AE" w:rsidP="00B055FF">
            <w:pPr>
              <w:pStyle w:val="InstructionsText"/>
            </w:pPr>
          </w:p>
        </w:tc>
        <w:tc>
          <w:tcPr>
            <w:tcW w:w="8701" w:type="dxa"/>
            <w:shd w:val="clear" w:color="auto" w:fill="auto"/>
          </w:tcPr>
          <w:p w14:paraId="6446B8C9"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secured by mortgages on commercial immovable property</w:t>
            </w:r>
          </w:p>
          <w:p w14:paraId="082BF5F4" w14:textId="6509D7F7" w:rsidR="002053AE" w:rsidRPr="002A677E" w:rsidRDefault="002053AE" w:rsidP="00B055FF">
            <w:pPr>
              <w:pStyle w:val="InstructionsText"/>
            </w:pPr>
            <w:r w:rsidRPr="002A677E">
              <w:t>Article 112</w:t>
            </w:r>
            <w:r>
              <w:t>, p</w:t>
            </w:r>
            <w:r w:rsidRPr="002A677E">
              <w:t>oint (i)</w:t>
            </w:r>
            <w:r>
              <w:t>,</w:t>
            </w:r>
            <w:r w:rsidRPr="002A677E">
              <w:t xml:space="preserve"> </w:t>
            </w:r>
            <w:r w:rsidRPr="001235ED">
              <w:rPr>
                <w:lang w:val="en-US"/>
              </w:rPr>
              <w:t>of Regulation (EU) No 575/2013</w:t>
            </w:r>
            <w:r w:rsidR="008651D4">
              <w:rPr>
                <w:lang w:val="en-US"/>
              </w:rPr>
              <w:t>. See also</w:t>
            </w:r>
            <w:r w:rsidR="00DE6E2A">
              <w:rPr>
                <w:lang w:val="en-US"/>
              </w:rPr>
              <w:t xml:space="preserve"> explanations in</w:t>
            </w:r>
            <w:r w:rsidR="008651D4">
              <w:rPr>
                <w:lang w:val="en-US"/>
              </w:rPr>
              <w:t xml:space="preserve"> section </w:t>
            </w:r>
            <w:r w:rsidR="00DE6E2A">
              <w:rPr>
                <w:lang w:val="en-US"/>
              </w:rPr>
              <w:t>3.2.4 of CR SA.</w:t>
            </w:r>
          </w:p>
          <w:p w14:paraId="19873995" w14:textId="1A0443EA" w:rsidR="002053AE" w:rsidRPr="002A677E" w:rsidRDefault="002053AE" w:rsidP="00B055FF">
            <w:pPr>
              <w:pStyle w:val="InstructionsText"/>
            </w:pPr>
            <w:r w:rsidRPr="002A677E">
              <w:t>This is a memorandum item only. Independent from the calculation of risk exposure amounts of exposures secured by commercial immovable property as referred to in Article</w:t>
            </w:r>
            <w:r w:rsidR="00865D33">
              <w:t>s</w:t>
            </w:r>
            <w:r w:rsidRPr="002A677E">
              <w:t xml:space="preserve"> 124 and 126 </w:t>
            </w:r>
            <w:r w:rsidRPr="001235ED">
              <w:rPr>
                <w:lang w:val="en-US"/>
              </w:rPr>
              <w:t>of Regulation (EU) No 575/2013</w:t>
            </w:r>
            <w:r w:rsidRPr="002A677E">
              <w:t xml:space="preserve"> the exposures shall be broken down and reported in this row if the exposures are secured by commercial real estate.</w:t>
            </w:r>
          </w:p>
        </w:tc>
      </w:tr>
      <w:tr w:rsidR="002053AE" w:rsidRPr="002A677E" w14:paraId="5B97E097" w14:textId="77777777" w:rsidTr="24B43B11">
        <w:tc>
          <w:tcPr>
            <w:tcW w:w="1188" w:type="dxa"/>
            <w:shd w:val="clear" w:color="auto" w:fill="auto"/>
          </w:tcPr>
          <w:p w14:paraId="10174445" w14:textId="77777777" w:rsidR="002053AE" w:rsidRPr="002A677E" w:rsidRDefault="002053AE" w:rsidP="00B055FF">
            <w:pPr>
              <w:pStyle w:val="InstructionsText"/>
            </w:pPr>
            <w:r w:rsidRPr="002A677E">
              <w:t>0300</w:t>
            </w:r>
          </w:p>
        </w:tc>
        <w:tc>
          <w:tcPr>
            <w:tcW w:w="8701" w:type="dxa"/>
            <w:shd w:val="clear" w:color="auto" w:fill="auto"/>
          </w:tcPr>
          <w:p w14:paraId="67A2C608" w14:textId="49F372EB"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t> </w:t>
            </w:r>
            <w:r w:rsidRPr="002A677E">
              <w:rPr>
                <w:rStyle w:val="InstructionsTabelleberschrift"/>
                <w:rFonts w:ascii="Times New Roman" w:hAnsi="Times New Roman"/>
                <w:sz w:val="24"/>
              </w:rPr>
              <w:t>%</w:t>
            </w:r>
          </w:p>
          <w:p w14:paraId="6A941F3C" w14:textId="17FFB607" w:rsidR="002053AE" w:rsidRPr="002A677E" w:rsidRDefault="002053AE" w:rsidP="00B055FF">
            <w:pPr>
              <w:pStyle w:val="InstructionsText"/>
            </w:pPr>
            <w:r w:rsidRPr="002A677E">
              <w:t>Article 112</w:t>
            </w:r>
            <w:r>
              <w:t>, p</w:t>
            </w:r>
            <w:r w:rsidRPr="002A677E">
              <w:t>oint (j)</w:t>
            </w:r>
            <w:r>
              <w:t>,</w:t>
            </w:r>
            <w:r w:rsidRPr="002A677E">
              <w:t xml:space="preserve"> </w:t>
            </w:r>
            <w:r w:rsidRPr="001235ED">
              <w:rPr>
                <w:lang w:val="en-US"/>
              </w:rPr>
              <w:t>of Regulation (EU) No 575/2013</w:t>
            </w:r>
          </w:p>
          <w:p w14:paraId="4F7F2414" w14:textId="77777777" w:rsidR="002053AE" w:rsidRPr="002A677E" w:rsidRDefault="002053AE" w:rsidP="00B055FF">
            <w:pPr>
              <w:pStyle w:val="InstructionsText"/>
            </w:pPr>
            <w:r w:rsidRPr="002A677E">
              <w:t>Exposures included in the exposure class “exposures in default” which shall be included in this exposure class if they were not in default.</w:t>
            </w:r>
          </w:p>
        </w:tc>
      </w:tr>
      <w:tr w:rsidR="002053AE" w:rsidRPr="002A677E" w14:paraId="60537968" w14:textId="77777777" w:rsidTr="24B43B11">
        <w:tc>
          <w:tcPr>
            <w:tcW w:w="1188" w:type="dxa"/>
            <w:shd w:val="clear" w:color="auto" w:fill="auto"/>
          </w:tcPr>
          <w:p w14:paraId="6C8FEC13" w14:textId="77777777" w:rsidR="002053AE" w:rsidRPr="002A677E" w:rsidRDefault="002053AE" w:rsidP="00B055FF">
            <w:pPr>
              <w:pStyle w:val="InstructionsText"/>
            </w:pPr>
            <w:r w:rsidRPr="002A677E">
              <w:t>0310</w:t>
            </w:r>
          </w:p>
        </w:tc>
        <w:tc>
          <w:tcPr>
            <w:tcW w:w="8701" w:type="dxa"/>
            <w:shd w:val="clear" w:color="auto" w:fill="auto"/>
          </w:tcPr>
          <w:p w14:paraId="68609255" w14:textId="77777777"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property </w:t>
            </w:r>
          </w:p>
          <w:p w14:paraId="5BDAA36A" w14:textId="2B62F59F" w:rsidR="002053AE" w:rsidRPr="002A677E" w:rsidRDefault="002053AE" w:rsidP="00B055FF">
            <w:pPr>
              <w:pStyle w:val="InstructionsText"/>
            </w:pPr>
            <w:r w:rsidRPr="002A677E">
              <w:t>Article 112</w:t>
            </w:r>
            <w:r>
              <w:t>, p</w:t>
            </w:r>
            <w:r w:rsidRPr="002A677E">
              <w:t>oint (i)</w:t>
            </w:r>
            <w:r>
              <w:t>,</w:t>
            </w:r>
            <w:r w:rsidRPr="002A677E">
              <w:t xml:space="preserve"> </w:t>
            </w:r>
            <w:r w:rsidRPr="001235ED">
              <w:rPr>
                <w:lang w:val="en-US"/>
              </w:rPr>
              <w:t>of Regulation (EU) No 575/2013</w:t>
            </w:r>
            <w:r w:rsidR="00DE6E2A">
              <w:rPr>
                <w:lang w:val="en-US"/>
              </w:rPr>
              <w:t>. See also explanations in section 3.2.4 of CR SA.</w:t>
            </w:r>
          </w:p>
          <w:p w14:paraId="6DBBFFDB" w14:textId="0CFBB02F" w:rsidR="002053AE" w:rsidRPr="002A677E" w:rsidRDefault="002053AE" w:rsidP="00B055FF">
            <w:pPr>
              <w:pStyle w:val="InstructionsText"/>
              <w:rPr>
                <w:b/>
                <w:u w:val="single"/>
              </w:rPr>
            </w:pPr>
            <w:r w:rsidRPr="002A677E">
              <w:t xml:space="preserve">This is a memorandum item only. Independent from the calculation of risk exposure amounts of exposures secured by mortgages on residential property in accordance </w:t>
            </w:r>
            <w:r w:rsidRPr="002A677E">
              <w:lastRenderedPageBreak/>
              <w:t xml:space="preserve">with Article 124 and 125 </w:t>
            </w:r>
            <w:r w:rsidRPr="001235ED">
              <w:rPr>
                <w:lang w:val="en-US"/>
              </w:rPr>
              <w:t>of Regulation (EU) No 575/2013</w:t>
            </w:r>
            <w:r w:rsidRPr="002A677E">
              <w:t xml:space="preserve"> the exposures shall be broken down and reported in this row if the exposures are secured by real estate property.</w:t>
            </w:r>
          </w:p>
        </w:tc>
      </w:tr>
      <w:tr w:rsidR="002053AE" w:rsidRPr="002A677E" w14:paraId="434D4D1A" w14:textId="77777777" w:rsidTr="24B43B11">
        <w:tc>
          <w:tcPr>
            <w:tcW w:w="1188" w:type="dxa"/>
            <w:shd w:val="clear" w:color="auto" w:fill="auto"/>
          </w:tcPr>
          <w:p w14:paraId="7D656691" w14:textId="77777777" w:rsidR="002053AE" w:rsidRPr="002A677E" w:rsidRDefault="002053AE" w:rsidP="00B055FF">
            <w:pPr>
              <w:pStyle w:val="InstructionsText"/>
            </w:pPr>
            <w:r w:rsidRPr="002A677E">
              <w:lastRenderedPageBreak/>
              <w:t>0320</w:t>
            </w:r>
          </w:p>
        </w:tc>
        <w:tc>
          <w:tcPr>
            <w:tcW w:w="8701" w:type="dxa"/>
            <w:shd w:val="clear" w:color="auto" w:fill="auto"/>
          </w:tcPr>
          <w:p w14:paraId="361CB612" w14:textId="1B8C6B41" w:rsidR="002053AE" w:rsidRPr="002A677E" w:rsidRDefault="002053AE" w:rsidP="00B055FF">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t> </w:t>
            </w:r>
            <w:r w:rsidRPr="002A677E">
              <w:rPr>
                <w:rStyle w:val="InstructionsTabelleberschrift"/>
                <w:rFonts w:ascii="Times New Roman" w:hAnsi="Times New Roman"/>
                <w:sz w:val="24"/>
              </w:rPr>
              <w:t xml:space="preserve">% </w:t>
            </w:r>
          </w:p>
          <w:p w14:paraId="0681B1E0" w14:textId="215C21CB" w:rsidR="002053AE" w:rsidRPr="002A677E" w:rsidRDefault="002053AE" w:rsidP="00B055FF">
            <w:pPr>
              <w:pStyle w:val="InstructionsText"/>
            </w:pPr>
            <w:r w:rsidRPr="002A677E">
              <w:t>Article 112</w:t>
            </w:r>
            <w:r>
              <w:t>, p</w:t>
            </w:r>
            <w:r w:rsidRPr="002A677E">
              <w:t>oint (j)</w:t>
            </w:r>
            <w:r>
              <w:t xml:space="preserve"> </w:t>
            </w:r>
            <w:r w:rsidRPr="001235ED">
              <w:rPr>
                <w:lang w:val="en-US"/>
              </w:rPr>
              <w:t>of Regulation (EU) No 575/2013</w:t>
            </w:r>
          </w:p>
          <w:p w14:paraId="38918FFA" w14:textId="77777777" w:rsidR="002053AE" w:rsidRPr="002A677E" w:rsidRDefault="002053AE" w:rsidP="00B055FF">
            <w:pPr>
              <w:pStyle w:val="InstructionsText"/>
            </w:pPr>
            <w:r w:rsidRPr="002A677E">
              <w:t>Exposures included in the exposure class “exposures in default” which shall be included in this exposure class if they were not in default.</w:t>
            </w:r>
          </w:p>
        </w:tc>
      </w:tr>
      <w:tr w:rsidR="0034101A" w:rsidRPr="002A677E" w14:paraId="183DD698" w14:textId="77777777" w:rsidTr="24B43B11">
        <w:tc>
          <w:tcPr>
            <w:tcW w:w="1188" w:type="dxa"/>
            <w:shd w:val="clear" w:color="auto" w:fill="auto"/>
          </w:tcPr>
          <w:p w14:paraId="45234C8F" w14:textId="1BE16A0E" w:rsidR="0034101A" w:rsidRPr="002A677E" w:rsidRDefault="0034101A" w:rsidP="00B055FF">
            <w:pPr>
              <w:pStyle w:val="InstructionsText"/>
            </w:pPr>
            <w:r>
              <w:t>0330</w:t>
            </w:r>
          </w:p>
        </w:tc>
        <w:tc>
          <w:tcPr>
            <w:tcW w:w="8701" w:type="dxa"/>
            <w:shd w:val="clear" w:color="auto" w:fill="auto"/>
          </w:tcPr>
          <w:p w14:paraId="31AE58AE" w14:textId="77777777" w:rsidR="0034101A" w:rsidRDefault="0034101A"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Exposures secured by immovable property - Other</w:t>
            </w:r>
          </w:p>
          <w:p w14:paraId="763CDED7" w14:textId="088CCA87" w:rsidR="0034101A" w:rsidRPr="002A677E" w:rsidRDefault="0034101A" w:rsidP="00B055FF">
            <w:pPr>
              <w:pStyle w:val="InstructionsText"/>
              <w:rPr>
                <w:rStyle w:val="InstructionsTabelleberschrift"/>
                <w:rFonts w:ascii="Times New Roman" w:hAnsi="Times New Roman"/>
                <w:sz w:val="24"/>
              </w:rPr>
            </w:pPr>
            <w:r>
              <w:rPr>
                <w:lang w:val="en-US"/>
              </w:rPr>
              <w:t xml:space="preserve">Article 124(1) of </w:t>
            </w:r>
            <w:r w:rsidRPr="001235ED">
              <w:rPr>
                <w:lang w:val="en-US"/>
              </w:rPr>
              <w:t>Regulation (EU) No 575/2013</w:t>
            </w:r>
          </w:p>
        </w:tc>
      </w:tr>
      <w:tr w:rsidR="0034101A" w:rsidRPr="002A677E" w14:paraId="1DB7D416" w14:textId="77777777" w:rsidTr="24B43B11">
        <w:tc>
          <w:tcPr>
            <w:tcW w:w="1188" w:type="dxa"/>
            <w:shd w:val="clear" w:color="auto" w:fill="auto"/>
          </w:tcPr>
          <w:p w14:paraId="291CC1BF" w14:textId="1C42632E" w:rsidR="0034101A" w:rsidRPr="002A677E" w:rsidRDefault="0034101A" w:rsidP="00B055FF">
            <w:pPr>
              <w:pStyle w:val="InstructionsText"/>
            </w:pPr>
            <w:r>
              <w:t>0340</w:t>
            </w:r>
          </w:p>
        </w:tc>
        <w:tc>
          <w:tcPr>
            <w:tcW w:w="8701" w:type="dxa"/>
            <w:shd w:val="clear" w:color="auto" w:fill="auto"/>
          </w:tcPr>
          <w:p w14:paraId="39E38FC9" w14:textId="77777777" w:rsidR="0034101A" w:rsidRDefault="0034101A" w:rsidP="00B055FF">
            <w:pPr>
              <w:pStyle w:val="InstructionsText"/>
              <w:rPr>
                <w:rStyle w:val="InstructionsTabelleberschrift"/>
                <w:rFonts w:ascii="Times New Roman" w:hAnsi="Times New Roman"/>
                <w:sz w:val="24"/>
              </w:rPr>
            </w:pPr>
            <w:r>
              <w:rPr>
                <w:rStyle w:val="InstructionsTabelleberschrift"/>
                <w:rFonts w:ascii="Times New Roman" w:hAnsi="Times New Roman"/>
                <w:sz w:val="24"/>
              </w:rPr>
              <w:t>Acquisition, development and construction (ADC)</w:t>
            </w:r>
          </w:p>
          <w:p w14:paraId="4F41787B" w14:textId="6A0FF513" w:rsidR="0034101A" w:rsidRPr="002A677E" w:rsidRDefault="0034101A" w:rsidP="00B055FF">
            <w:pPr>
              <w:pStyle w:val="InstructionsText"/>
              <w:rPr>
                <w:rStyle w:val="InstructionsTabelleberschrift"/>
                <w:rFonts w:ascii="Times New Roman" w:hAnsi="Times New Roman"/>
                <w:sz w:val="24"/>
              </w:rPr>
            </w:pPr>
            <w:r>
              <w:rPr>
                <w:rStyle w:val="InstructionsTabelleberschrift"/>
                <w:rFonts w:ascii="Times New Roman" w:hAnsi="Times New Roman"/>
                <w:b w:val="0"/>
                <w:bCs w:val="0"/>
                <w:sz w:val="24"/>
                <w:u w:val="none"/>
              </w:rPr>
              <w:t xml:space="preserve">Article 126(a) </w:t>
            </w:r>
            <w:r w:rsidRPr="001235ED">
              <w:rPr>
                <w:lang w:val="en-US"/>
              </w:rPr>
              <w:t>of Regulation (EU) No 575/2013</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5" w:name="_Toc360188357"/>
      <w:bookmarkStart w:id="216" w:name="_Toc473560906"/>
      <w:bookmarkStart w:id="217" w:name="_Toc151714394"/>
      <w:r w:rsidRPr="002A677E">
        <w:rPr>
          <w:rFonts w:ascii="Times New Roman" w:hAnsi="Times New Roman" w:cs="Times New Roman"/>
          <w:sz w:val="24"/>
          <w:u w:val="none"/>
          <w:lang w:val="en-GB"/>
        </w:rPr>
        <w:t>3.3.</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 xml:space="preserve">approach </w:t>
      </w:r>
      <w:r w:rsidR="001C7AB7" w:rsidRPr="002A677E">
        <w:rPr>
          <w:rFonts w:ascii="Times New Roman" w:hAnsi="Times New Roman" w:cs="Times New Roman"/>
          <w:sz w:val="24"/>
          <w:lang w:val="en-GB"/>
        </w:rPr>
        <w:t>to Own funds Requirements</w:t>
      </w:r>
      <w:bookmarkEnd w:id="215"/>
      <w:r w:rsidR="007711E7" w:rsidRPr="002A677E">
        <w:rPr>
          <w:rFonts w:ascii="Times New Roman" w:hAnsi="Times New Roman" w:cs="Times New Roman"/>
          <w:sz w:val="24"/>
          <w:lang w:val="en-GB"/>
        </w:rPr>
        <w:t xml:space="preserve"> (CR IRB)</w:t>
      </w:r>
      <w:bookmarkEnd w:id="216"/>
      <w:bookmarkEnd w:id="21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8" w:name="_Toc360188358"/>
      <w:bookmarkStart w:id="219" w:name="_Toc473560907"/>
      <w:bookmarkStart w:id="220" w:name="_Toc151714395"/>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Scope of the CR IRB template</w:t>
      </w:r>
      <w:bookmarkEnd w:id="218"/>
      <w:bookmarkEnd w:id="219"/>
      <w:bookmarkEnd w:id="220"/>
    </w:p>
    <w:p w14:paraId="0D6B8B2B" w14:textId="6A329293" w:rsidR="001C7AB7" w:rsidRPr="002A677E" w:rsidRDefault="006834AB" w:rsidP="0047337A">
      <w:pPr>
        <w:pStyle w:val="InstructionsText2"/>
        <w:numPr>
          <w:ilvl w:val="0"/>
          <w:numId w:val="0"/>
        </w:numPr>
        <w:ind w:left="993"/>
      </w:pPr>
      <w:r>
        <w:t>72</w:t>
      </w:r>
      <w:r w:rsidR="00BB0C11">
        <w:fldChar w:fldCharType="begin"/>
      </w:r>
      <w:r w:rsidR="00BB0C11">
        <w:instrText xml:space="preserve"> seq paragraphs </w:instrText>
      </w:r>
      <w:r w:rsidR="00BB0C11">
        <w:fldChar w:fldCharType="separate"/>
      </w:r>
      <w:r w:rsidR="005E3D5A">
        <w:rPr>
          <w:noProof/>
        </w:rPr>
        <w:t>72</w:t>
      </w:r>
      <w:r w:rsidR="00BB0C11">
        <w:fldChar w:fldCharType="end"/>
      </w:r>
      <w:r w:rsidR="00125707" w:rsidRPr="002A677E">
        <w:t>.</w:t>
      </w:r>
      <w:r w:rsidR="00125707" w:rsidRPr="002A677E">
        <w:tab/>
      </w:r>
      <w:r w:rsidR="001C7AB7" w:rsidRPr="002A677E">
        <w:t>The scope of the CR IRB template covers:</w:t>
      </w:r>
    </w:p>
    <w:p w14:paraId="71C6A2AC" w14:textId="77777777" w:rsidR="001C7AB7" w:rsidRPr="002A677E" w:rsidRDefault="00125707" w:rsidP="0047337A">
      <w:pPr>
        <w:pStyle w:val="InstructionsText2"/>
        <w:numPr>
          <w:ilvl w:val="0"/>
          <w:numId w:val="0"/>
        </w:numPr>
        <w:ind w:left="993"/>
      </w:pPr>
      <w:r w:rsidRPr="002A677E">
        <w:t>i.</w:t>
      </w:r>
      <w:r w:rsidRPr="002A677E">
        <w:tab/>
      </w:r>
      <w:r w:rsidR="001C7AB7" w:rsidRPr="002A677E">
        <w:t>Credit risk in the banking book, among which:</w:t>
      </w:r>
    </w:p>
    <w:p w14:paraId="6C5B8735" w14:textId="77777777" w:rsidR="001C7AB7" w:rsidRPr="002A677E" w:rsidRDefault="001C7AB7" w:rsidP="0047337A">
      <w:pPr>
        <w:pStyle w:val="InstructionsText2"/>
        <w:numPr>
          <w:ilvl w:val="0"/>
          <w:numId w:val="0"/>
        </w:numPr>
        <w:ind w:left="993"/>
      </w:pPr>
      <w:r w:rsidRPr="002A677E">
        <w:t>Counterparty credit risk in the banking book;</w:t>
      </w:r>
    </w:p>
    <w:p w14:paraId="0E5EFDA9" w14:textId="77777777" w:rsidR="001C7AB7" w:rsidRPr="002A677E" w:rsidRDefault="001C7AB7" w:rsidP="0047337A">
      <w:pPr>
        <w:pStyle w:val="InstructionsText2"/>
        <w:numPr>
          <w:ilvl w:val="0"/>
          <w:numId w:val="0"/>
        </w:numPr>
        <w:ind w:left="993"/>
      </w:pPr>
      <w:r w:rsidRPr="002A677E">
        <w:t>Dilution risk for purchased receivables;</w:t>
      </w:r>
    </w:p>
    <w:p w14:paraId="6D35E42E" w14:textId="77777777" w:rsidR="001C7AB7" w:rsidRPr="002A677E" w:rsidRDefault="00125707" w:rsidP="0047337A">
      <w:pPr>
        <w:pStyle w:val="InstructionsText2"/>
        <w:numPr>
          <w:ilvl w:val="0"/>
          <w:numId w:val="0"/>
        </w:numPr>
        <w:ind w:left="993"/>
      </w:pPr>
      <w:r w:rsidRPr="002A677E">
        <w:t>ii.</w:t>
      </w:r>
      <w:r w:rsidRPr="002A677E">
        <w:tab/>
      </w:r>
      <w:r w:rsidR="001C7AB7" w:rsidRPr="002A677E">
        <w:t>Counterparty credit risk in the trading book;</w:t>
      </w:r>
    </w:p>
    <w:p w14:paraId="477FA3DC" w14:textId="77777777" w:rsidR="001C7AB7" w:rsidRPr="002A677E" w:rsidRDefault="00125707" w:rsidP="0047337A">
      <w:pPr>
        <w:pStyle w:val="InstructionsText2"/>
        <w:numPr>
          <w:ilvl w:val="0"/>
          <w:numId w:val="0"/>
        </w:numPr>
        <w:ind w:left="993"/>
      </w:pPr>
      <w:r w:rsidRPr="002A677E">
        <w:t>iii.</w:t>
      </w:r>
      <w:r w:rsidRPr="002A677E">
        <w:tab/>
      </w:r>
      <w:r w:rsidR="001C7AB7" w:rsidRPr="002A677E">
        <w:t>Free deliveries resulting from all business activities.</w:t>
      </w:r>
    </w:p>
    <w:p w14:paraId="06BDFF2D" w14:textId="4D890E73" w:rsidR="001C7AB7" w:rsidRPr="002A677E" w:rsidRDefault="006834AB" w:rsidP="0047337A">
      <w:pPr>
        <w:pStyle w:val="InstructionsText2"/>
        <w:numPr>
          <w:ilvl w:val="0"/>
          <w:numId w:val="0"/>
        </w:numPr>
        <w:ind w:left="993"/>
      </w:pPr>
      <w:r>
        <w:t>73</w:t>
      </w:r>
      <w:r w:rsidR="00BB0C11">
        <w:fldChar w:fldCharType="begin"/>
      </w:r>
      <w:r w:rsidR="00BB0C11">
        <w:instrText xml:space="preserve"> seq paragraphs </w:instrText>
      </w:r>
      <w:r w:rsidR="00BB0C11">
        <w:fldChar w:fldCharType="separate"/>
      </w:r>
      <w:r w:rsidR="005E3D5A">
        <w:rPr>
          <w:noProof/>
        </w:rPr>
        <w:t>73</w:t>
      </w:r>
      <w:r w:rsidR="00BB0C11">
        <w:fldChar w:fldCharType="end"/>
      </w:r>
      <w:r w:rsidR="00125707" w:rsidRPr="002A677E">
        <w:t>.</w:t>
      </w:r>
      <w:r w:rsidR="00125707" w:rsidRPr="002A677E">
        <w:tab/>
      </w:r>
      <w:r w:rsidR="001C7AB7" w:rsidRPr="002A677E">
        <w:t xml:space="preserve">The scope of the template refers to the exposures for which the risk weighted exposure amounts are calculated </w:t>
      </w:r>
      <w:r w:rsidR="00BB22D4" w:rsidRPr="002A677E">
        <w:t>in accordance with</w:t>
      </w:r>
      <w:r w:rsidR="001C7AB7" w:rsidRPr="002A677E">
        <w:t xml:space="preserve"> Part Three</w:t>
      </w:r>
      <w:r w:rsidR="00E7205D" w:rsidRPr="002A677E">
        <w:t>,</w:t>
      </w:r>
      <w:r w:rsidR="001C7AB7" w:rsidRPr="002A677E">
        <w:t xml:space="preserve"> </w:t>
      </w:r>
      <w:r w:rsidR="00E7205D" w:rsidRPr="002A677E">
        <w:t xml:space="preserve">Title II, Chapter 3, Articles 151 to 157 </w:t>
      </w:r>
      <w:r w:rsidR="00E7205D" w:rsidRPr="001235ED">
        <w:rPr>
          <w:lang w:val="en-US"/>
        </w:rPr>
        <w:t>of Regulation (EU) No 575/2013</w:t>
      </w:r>
      <w:r w:rsidR="00712DE1" w:rsidRPr="002A677E">
        <w:t xml:space="preserve"> </w:t>
      </w:r>
      <w:r w:rsidR="001C7AB7" w:rsidRPr="002A677E">
        <w:t>(</w:t>
      </w:r>
      <w:r w:rsidR="008241B9" w:rsidRPr="002A677E">
        <w:t xml:space="preserve">IRB </w:t>
      </w:r>
      <w:r w:rsidR="009A4399" w:rsidRPr="002A677E">
        <w:t>approach</w:t>
      </w:r>
      <w:r w:rsidR="001C7AB7" w:rsidRPr="002A677E">
        <w:t xml:space="preserve">). </w:t>
      </w:r>
    </w:p>
    <w:p w14:paraId="41F30311" w14:textId="0C9A63FE" w:rsidR="001C7AB7" w:rsidRPr="002A677E" w:rsidRDefault="00F762C2" w:rsidP="0047337A">
      <w:pPr>
        <w:pStyle w:val="InstructionsText2"/>
        <w:numPr>
          <w:ilvl w:val="0"/>
          <w:numId w:val="0"/>
        </w:numPr>
        <w:ind w:left="993"/>
      </w:pPr>
      <w:r>
        <w:fldChar w:fldCharType="begin"/>
      </w:r>
      <w:r>
        <w:instrText xml:space="preserve"> seq paragraphs </w:instrText>
      </w:r>
      <w:r>
        <w:fldChar w:fldCharType="separate"/>
      </w:r>
      <w:r w:rsidR="005E3D5A">
        <w:rPr>
          <w:noProof/>
        </w:rPr>
        <w:t>74</w:t>
      </w:r>
      <w:r>
        <w:fldChar w:fldCharType="end"/>
      </w:r>
      <w:r w:rsidR="00A92733">
        <w:t xml:space="preserve">. </w:t>
      </w:r>
      <w:r w:rsidR="001C7AB7" w:rsidRPr="002A677E">
        <w:t xml:space="preserve">The CR IRB template does not cover the following data: </w:t>
      </w:r>
    </w:p>
    <w:p w14:paraId="22C972FA" w14:textId="77777777" w:rsidR="001C7AB7" w:rsidRPr="002A677E" w:rsidRDefault="00125707" w:rsidP="0047337A">
      <w:pPr>
        <w:pStyle w:val="InstructionsText2"/>
        <w:numPr>
          <w:ilvl w:val="0"/>
          <w:numId w:val="0"/>
        </w:numPr>
        <w:ind w:left="993"/>
      </w:pPr>
      <w:r w:rsidRPr="002A677E">
        <w:t>i.</w:t>
      </w:r>
      <w:r w:rsidRPr="002A677E">
        <w:tab/>
      </w:r>
      <w:r w:rsidR="001C7AB7" w:rsidRPr="002A677E">
        <w:t xml:space="preserve">Equity exposures, which are reported in the CR EQU IRB template; </w:t>
      </w:r>
    </w:p>
    <w:p w14:paraId="254CA575" w14:textId="77777777" w:rsidR="001C7AB7" w:rsidRPr="002A677E" w:rsidRDefault="1559DEC5" w:rsidP="0047337A">
      <w:pPr>
        <w:pStyle w:val="InstructionsText2"/>
        <w:numPr>
          <w:ilvl w:val="0"/>
          <w:numId w:val="0"/>
        </w:numPr>
        <w:ind w:left="993"/>
      </w:pPr>
      <w:r>
        <w:t>ii.</w:t>
      </w:r>
      <w:r w:rsidR="00125707">
        <w:tab/>
      </w:r>
      <w:r w:rsidR="520B763C">
        <w:t>Securitisation positions, which are reported in the CR SEC and/or CR SEC Details templates;</w:t>
      </w:r>
    </w:p>
    <w:p w14:paraId="08743BAB" w14:textId="7EFFC068" w:rsidR="001C7AB7" w:rsidRPr="002A677E" w:rsidRDefault="00125707" w:rsidP="0047337A">
      <w:pPr>
        <w:pStyle w:val="InstructionsText2"/>
        <w:numPr>
          <w:ilvl w:val="0"/>
          <w:numId w:val="0"/>
        </w:numPr>
        <w:ind w:left="993"/>
      </w:pPr>
      <w:r w:rsidRPr="002A677E">
        <w:t>iii.</w:t>
      </w:r>
      <w:r w:rsidRPr="002A677E">
        <w:tab/>
      </w:r>
      <w:r w:rsidR="001C7AB7" w:rsidRPr="002A677E">
        <w:t xml:space="preserve"> “Other non</w:t>
      </w:r>
      <w:r w:rsidR="00167619" w:rsidRPr="002A677E">
        <w:t xml:space="preserve"> credit</w:t>
      </w:r>
      <w:r w:rsidR="001C7AB7" w:rsidRPr="002A677E">
        <w:t xml:space="preserve">-obligation assets”, </w:t>
      </w:r>
      <w:r w:rsidR="00167619" w:rsidRPr="002A677E">
        <w:t xml:space="preserve">as referred to in </w:t>
      </w:r>
      <w:r w:rsidR="001C7AB7" w:rsidRPr="002A677E">
        <w:t>Article 147(2)</w:t>
      </w:r>
      <w:r w:rsidR="00B83DDE">
        <w:t>, p</w:t>
      </w:r>
      <w:r w:rsidR="00887929" w:rsidRPr="002A677E">
        <w:t>oint (g)</w:t>
      </w:r>
      <w:r w:rsidR="00BE1277">
        <w:t>,</w:t>
      </w:r>
      <w:r w:rsidR="00887929" w:rsidRPr="002A677E">
        <w:t xml:space="preserve"> </w:t>
      </w:r>
      <w:r w:rsidR="00F34382" w:rsidRPr="001235ED">
        <w:rPr>
          <w:lang w:val="en-US"/>
        </w:rPr>
        <w:t>of Regulation (EU) No 575/2013</w:t>
      </w:r>
      <w:r w:rsidR="001C7AB7" w:rsidRPr="002A677E">
        <w:t xml:space="preserve">. The risk weight for this exposure class has to be set at 100 % at any time except for cash in hand, equivalent cash items and exposures that are residual values of leased assets, </w:t>
      </w:r>
      <w:r w:rsidR="00BB22D4" w:rsidRPr="002A677E">
        <w:t>in accordance with</w:t>
      </w:r>
      <w:r w:rsidR="001C7AB7" w:rsidRPr="002A677E">
        <w:t xml:space="preserve"> Article 156 </w:t>
      </w:r>
      <w:r w:rsidR="00F34382" w:rsidRPr="001235ED">
        <w:rPr>
          <w:lang w:val="en-US"/>
        </w:rPr>
        <w:t>of Regulation (EU) No 575/2013</w:t>
      </w:r>
      <w:r w:rsidR="001C7AB7" w:rsidRPr="002A677E">
        <w:t xml:space="preserve">. The risk weighted exposure amounts for this exposure class </w:t>
      </w:r>
      <w:r w:rsidR="00167619" w:rsidRPr="002A677E">
        <w:t>shall be</w:t>
      </w:r>
      <w:r w:rsidR="001C7AB7" w:rsidRPr="002A677E">
        <w:t xml:space="preserve"> reported directly in the CA-Template;</w:t>
      </w:r>
    </w:p>
    <w:p w14:paraId="6E21D181" w14:textId="77777777" w:rsidR="001C7AB7" w:rsidRPr="002A677E" w:rsidRDefault="00125707" w:rsidP="0047337A">
      <w:pPr>
        <w:pStyle w:val="InstructionsText2"/>
        <w:numPr>
          <w:ilvl w:val="0"/>
          <w:numId w:val="0"/>
        </w:numPr>
        <w:ind w:left="993"/>
      </w:pPr>
      <w:r w:rsidRPr="002A677E">
        <w:lastRenderedPageBreak/>
        <w:t>iv.</w:t>
      </w:r>
      <w:r w:rsidRPr="002A677E">
        <w:tab/>
      </w:r>
      <w:r w:rsidR="001C7AB7" w:rsidRPr="002A677E">
        <w:t>Credit valuation adjustment risk, which is reported on the CVA Risk template;</w:t>
      </w:r>
    </w:p>
    <w:p w14:paraId="226F3F85" w14:textId="77777777" w:rsidR="001C7AB7" w:rsidRPr="002A677E" w:rsidRDefault="001C7AB7" w:rsidP="0047337A">
      <w:pPr>
        <w:pStyle w:val="InstructionsText2"/>
        <w:numPr>
          <w:ilvl w:val="0"/>
          <w:numId w:val="0"/>
        </w:numPr>
        <w:ind w:left="993"/>
      </w:pPr>
      <w:r w:rsidRPr="002A677E">
        <w:t xml:space="preserve">The CR IRB template does not require a geographical breakdown of IRB exposures by residence of the counterparty. This breakdown </w:t>
      </w:r>
      <w:r w:rsidR="00167619" w:rsidRPr="002A677E">
        <w:t>shall be</w:t>
      </w:r>
      <w:r w:rsidRPr="002A677E">
        <w:t xml:space="preserve"> reported in the template CR GB.</w:t>
      </w:r>
      <w:r w:rsidR="00730040" w:rsidRPr="002A677E">
        <w:t xml:space="preserve"> </w:t>
      </w:r>
    </w:p>
    <w:p w14:paraId="20E49C52" w14:textId="77777777" w:rsidR="00FA641C" w:rsidRPr="002A677E" w:rsidRDefault="00FA641C" w:rsidP="00ED0DB5">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7D4DC8CE" w14:textId="19FAB31C" w:rsidR="001C7AB7"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75</w:t>
      </w:r>
      <w:r>
        <w:fldChar w:fldCharType="end"/>
      </w:r>
      <w:r w:rsidR="00125707" w:rsidRPr="002A677E">
        <w:t>.</w:t>
      </w:r>
      <w:r w:rsidR="00125707" w:rsidRPr="002A677E">
        <w:tab/>
      </w:r>
      <w:r w:rsidR="001C7AB7" w:rsidRPr="002A677E">
        <w:t xml:space="preserve">In order to clarify whether the institution uses its own estimates for LGD </w:t>
      </w:r>
      <w:r w:rsidR="00841645" w:rsidRPr="002A677E">
        <w:t>and/</w:t>
      </w:r>
      <w:r w:rsidR="001C7AB7" w:rsidRPr="002A677E">
        <w:t>or credit conversion factors</w:t>
      </w:r>
      <w:r w:rsidR="00167619" w:rsidRPr="002A677E">
        <w:t>,</w:t>
      </w:r>
      <w:r w:rsidR="001C7AB7" w:rsidRPr="002A677E">
        <w:t xml:space="preserve"> the following information shall be provided for each reported exposure class:</w:t>
      </w:r>
    </w:p>
    <w:p w14:paraId="2C1D90EE" w14:textId="77777777"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054DCB50" w14:textId="7350581B"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w:t>
      </w:r>
      <w:r w:rsidR="0091342F">
        <w:rPr>
          <w:rFonts w:ascii="Times New Roman" w:hAnsi="Times New Roman"/>
          <w:sz w:val="24"/>
          <w:lang w:eastAsia="de-DE"/>
        </w:rPr>
        <w:t>/or</w:t>
      </w:r>
      <w:r w:rsidRPr="002A677E">
        <w:rPr>
          <w:rFonts w:ascii="Times New Roman" w:hAnsi="Times New Roman"/>
          <w:sz w:val="24"/>
          <w:lang w:eastAsia="de-DE"/>
        </w:rPr>
        <w:t xml:space="preserve"> credit conversion factors are used (Advanced IRB)</w:t>
      </w:r>
      <w:r w:rsidR="00AF3C69" w:rsidRPr="002A677E">
        <w:rPr>
          <w:rFonts w:ascii="Times New Roman" w:hAnsi="Times New Roman"/>
          <w:sz w:val="24"/>
          <w:lang w:eastAsia="de-DE"/>
        </w:rPr>
        <w:t>. This includes all retail portfolios.</w:t>
      </w:r>
    </w:p>
    <w:p w14:paraId="147D6F2B" w14:textId="77777777"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2B1E7374" w14:textId="77777777" w:rsidR="001C7AB7" w:rsidRPr="002A677E" w:rsidRDefault="00125707" w:rsidP="00ED0DB5">
      <w:pPr>
        <w:pStyle w:val="Instructionsberschrift2"/>
        <w:numPr>
          <w:ilvl w:val="0"/>
          <w:numId w:val="0"/>
        </w:numPr>
        <w:rPr>
          <w:rFonts w:ascii="Times New Roman" w:hAnsi="Times New Roman" w:cs="Times New Roman"/>
          <w:sz w:val="24"/>
          <w:lang w:val="en-GB"/>
        </w:rPr>
      </w:pPr>
      <w:bookmarkStart w:id="221" w:name="_Toc262568037"/>
      <w:bookmarkStart w:id="222" w:name="_Toc264038435"/>
      <w:bookmarkStart w:id="223" w:name="_Toc295829865"/>
      <w:bookmarkStart w:id="224" w:name="_Toc308155142"/>
      <w:bookmarkStart w:id="225" w:name="_Toc310415028"/>
      <w:bookmarkStart w:id="226" w:name="_Toc360188359"/>
      <w:bookmarkStart w:id="227" w:name="_Toc473560908"/>
      <w:bookmarkStart w:id="228" w:name="_Toc151714396"/>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Breakdown of the CR IRB template</w:t>
      </w:r>
      <w:bookmarkEnd w:id="221"/>
      <w:bookmarkEnd w:id="222"/>
      <w:bookmarkEnd w:id="223"/>
      <w:bookmarkEnd w:id="224"/>
      <w:bookmarkEnd w:id="225"/>
      <w:bookmarkEnd w:id="226"/>
      <w:bookmarkEnd w:id="227"/>
      <w:bookmarkEnd w:id="228"/>
    </w:p>
    <w:p w14:paraId="4A3FF0C6" w14:textId="7CC2BCC6" w:rsidR="001C7AB7"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76</w:t>
      </w:r>
      <w:r>
        <w:fldChar w:fldCharType="end"/>
      </w:r>
      <w:r w:rsidR="00125707" w:rsidRPr="002A677E">
        <w:t>.</w:t>
      </w:r>
      <w:r w:rsidR="00125707" w:rsidRPr="002A677E">
        <w:tab/>
      </w:r>
      <w:r w:rsidR="001C7AB7" w:rsidRPr="002A677E">
        <w:t xml:space="preserve">The CR IRB consists of </w:t>
      </w:r>
      <w:r w:rsidR="002D7779" w:rsidRPr="002A677E">
        <w:t xml:space="preserve">seven </w:t>
      </w:r>
      <w:r w:rsidR="00480A69" w:rsidRPr="002A677E">
        <w:t>template</w:t>
      </w:r>
      <w:r w:rsidR="001C7AB7" w:rsidRPr="002A677E">
        <w:t xml:space="preserve">s. CR IRB 1 provides a general overview of IRB exposures and the different methods to calculate risk </w:t>
      </w:r>
      <w:r w:rsidR="00AF3C69" w:rsidRPr="002A677E">
        <w:t xml:space="preserve">weighted </w:t>
      </w:r>
      <w:r w:rsidR="001C7AB7" w:rsidRPr="002A677E">
        <w:t>exposure amounts as well as a breakdown of total exposures by exposure types. CR IRB 2 provides a breakdown of total exposures assigned to obligor grades or pools</w:t>
      </w:r>
      <w:r w:rsidR="00352A45" w:rsidRPr="002A677E">
        <w:t xml:space="preserve"> (exposures reported under row </w:t>
      </w:r>
      <w:r w:rsidR="00AF3C69" w:rsidRPr="002A677E">
        <w:t>0</w:t>
      </w:r>
      <w:r w:rsidR="00352A45" w:rsidRPr="002A677E">
        <w:t>070 of CR IRB 1)</w:t>
      </w:r>
      <w:r w:rsidR="001C7AB7" w:rsidRPr="002A677E">
        <w:t xml:space="preserve">. </w:t>
      </w:r>
      <w:r w:rsidR="008304E8" w:rsidRPr="002A677E">
        <w:t xml:space="preserve">CR IRB 3 provides all relevant parameters used for the calculation of credit risk capital requirements for IRB models. CR IRB 4 presents a flow statement explaining changes in risk </w:t>
      </w:r>
      <w:r w:rsidR="00AF3C69" w:rsidRPr="002A677E">
        <w:t>weighted exposure amounts</w:t>
      </w:r>
      <w:r w:rsidR="008304E8" w:rsidRPr="002A677E">
        <w:t xml:space="preserve"> determined under the IRB approach for credit risk. CR IRB 5 provides information on the results of backtesting of PDs for the models reported.</w:t>
      </w:r>
      <w:r w:rsidR="0054122B" w:rsidRPr="002A677E">
        <w:t xml:space="preserve"> </w:t>
      </w:r>
      <w:r w:rsidR="008304E8" w:rsidRPr="002A677E">
        <w:t>CR IRB 6 provides all relevant parameters used for the calculation of credit risk capital requirements under the slotting criteria for speciali</w:t>
      </w:r>
      <w:r w:rsidR="00E64990" w:rsidRPr="002A677E">
        <w:t>s</w:t>
      </w:r>
      <w:r w:rsidR="008304E8" w:rsidRPr="002A677E">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1204A849"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1)</w:t>
      </w:r>
      <w:r w:rsidRPr="002A677E">
        <w:rPr>
          <w:rFonts w:ascii="Times New Roman" w:hAnsi="Times New Roman"/>
          <w:sz w:val="24"/>
          <w:lang w:eastAsia="de-DE"/>
        </w:rPr>
        <w:tab/>
        <w:t>Total</w:t>
      </w:r>
    </w:p>
    <w:p w14:paraId="57B8AF84"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ab/>
        <w:t xml:space="preserve">(The Total template must be reported for the Foundation IRB </w:t>
      </w:r>
      <w:r w:rsidR="00E64990" w:rsidRPr="002A677E">
        <w:rPr>
          <w:rFonts w:ascii="Times New Roman" w:hAnsi="Times New Roman"/>
          <w:sz w:val="24"/>
          <w:lang w:eastAsia="de-DE"/>
        </w:rPr>
        <w:t xml:space="preserve">approach </w:t>
      </w:r>
      <w:r w:rsidRPr="002A677E">
        <w:rPr>
          <w:rFonts w:ascii="Times New Roman" w:hAnsi="Times New Roman"/>
          <w:sz w:val="24"/>
          <w:lang w:eastAsia="de-DE"/>
        </w:rPr>
        <w:t xml:space="preserve">and, separately for the Advanced </w:t>
      </w:r>
      <w:r w:rsidR="008241B9" w:rsidRPr="002A677E">
        <w:rPr>
          <w:rFonts w:ascii="Times New Roman" w:hAnsi="Times New Roman"/>
          <w:sz w:val="24"/>
          <w:lang w:eastAsia="de-DE"/>
        </w:rPr>
        <w:t xml:space="preserve">IRB </w:t>
      </w:r>
      <w:r w:rsidR="00E64990" w:rsidRPr="002A677E">
        <w:rPr>
          <w:rFonts w:ascii="Times New Roman" w:hAnsi="Times New Roman"/>
          <w:sz w:val="24"/>
          <w:lang w:eastAsia="de-DE"/>
        </w:rPr>
        <w:t>approach</w:t>
      </w:r>
      <w:r w:rsidRPr="002A677E">
        <w:rPr>
          <w:rFonts w:ascii="Times New Roman" w:hAnsi="Times New Roman"/>
          <w:sz w:val="24"/>
          <w:lang w:eastAsia="de-DE"/>
        </w:rPr>
        <w:t>.)</w:t>
      </w:r>
    </w:p>
    <w:p w14:paraId="6332413A"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2)</w:t>
      </w:r>
      <w:r w:rsidRPr="002A677E">
        <w:rPr>
          <w:rFonts w:ascii="Times New Roman" w:hAnsi="Times New Roman"/>
          <w:sz w:val="24"/>
          <w:lang w:eastAsia="de-DE"/>
        </w:rPr>
        <w:tab/>
        <w:t xml:space="preserve">Central banks and central governments </w:t>
      </w:r>
    </w:p>
    <w:p w14:paraId="19FD4BF4" w14:textId="6D4C5B07" w:rsidR="001C7AB7" w:rsidRDefault="001C7AB7"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(a)</w:t>
      </w:r>
      <w:r w:rsidR="00CF595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36D094FB" w14:textId="3EFF2256" w:rsidR="0005110D" w:rsidRPr="002A677E" w:rsidRDefault="0005110D"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3</w:t>
      </w:r>
      <w:r w:rsidRPr="002A677E">
        <w:rPr>
          <w:rFonts w:ascii="Times New Roman" w:hAnsi="Times New Roman"/>
          <w:sz w:val="24"/>
          <w:lang w:eastAsia="de-DE"/>
        </w:rPr>
        <w:t>)</w:t>
      </w:r>
      <w:r w:rsidRPr="002A677E">
        <w:rPr>
          <w:rFonts w:ascii="Times New Roman" w:hAnsi="Times New Roman"/>
          <w:sz w:val="24"/>
          <w:lang w:eastAsia="de-DE"/>
        </w:rPr>
        <w:tab/>
      </w:r>
      <w:r w:rsidRPr="0005110D">
        <w:rPr>
          <w:rFonts w:ascii="Times New Roman" w:hAnsi="Times New Roman"/>
          <w:sz w:val="24"/>
          <w:lang w:eastAsia="de-DE"/>
        </w:rPr>
        <w:t>Regional governments or local authorities</w:t>
      </w:r>
      <w:r w:rsidRPr="002A677E">
        <w:rPr>
          <w:rFonts w:ascii="Times New Roman" w:hAnsi="Times New Roman"/>
          <w:sz w:val="24"/>
          <w:lang w:eastAsia="de-DE"/>
        </w:rPr>
        <w:t xml:space="preserve"> </w:t>
      </w:r>
    </w:p>
    <w:p w14:paraId="7AF024EA" w14:textId="7731CC7A" w:rsidR="0005110D" w:rsidRPr="002A677E" w:rsidRDefault="0005110D"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3978DF">
        <w:rPr>
          <w:rFonts w:ascii="Times New Roman" w:hAnsi="Times New Roman"/>
          <w:sz w:val="24"/>
          <w:lang w:eastAsia="de-DE"/>
        </w:rPr>
        <w:t>1</w:t>
      </w:r>
      <w:r w:rsidRPr="002A677E">
        <w:rPr>
          <w:rFonts w:ascii="Times New Roman" w:hAnsi="Times New Roman"/>
          <w:sz w:val="24"/>
          <w:lang w:eastAsia="de-DE"/>
        </w:rPr>
        <w:t>)</w:t>
      </w:r>
      <w:r w:rsidR="003978DF">
        <w:rPr>
          <w:rFonts w:ascii="Times New Roman" w:hAnsi="Times New Roman"/>
          <w:sz w:val="24"/>
          <w:lang w:eastAsia="de-DE"/>
        </w:rPr>
        <w:t xml:space="preserve"> (i)</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64E224A2" w14:textId="732A155F" w:rsidR="0005110D" w:rsidRPr="002A677E" w:rsidRDefault="0005110D"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4</w:t>
      </w:r>
      <w:r w:rsidRPr="002A677E">
        <w:rPr>
          <w:rFonts w:ascii="Times New Roman" w:hAnsi="Times New Roman"/>
          <w:sz w:val="24"/>
          <w:lang w:eastAsia="de-DE"/>
        </w:rPr>
        <w:t>)</w:t>
      </w:r>
      <w:r w:rsidRPr="002A677E">
        <w:rPr>
          <w:rFonts w:ascii="Times New Roman" w:hAnsi="Times New Roman"/>
          <w:sz w:val="24"/>
          <w:lang w:eastAsia="de-DE"/>
        </w:rPr>
        <w:tab/>
      </w:r>
      <w:r w:rsidR="00C06422" w:rsidRPr="00C06422">
        <w:rPr>
          <w:rFonts w:ascii="Times New Roman" w:hAnsi="Times New Roman"/>
          <w:sz w:val="24"/>
          <w:lang w:eastAsia="de-DE"/>
        </w:rPr>
        <w:t xml:space="preserve">Public sector entities </w:t>
      </w:r>
      <w:r w:rsidRPr="002A677E">
        <w:rPr>
          <w:rFonts w:ascii="Times New Roman" w:hAnsi="Times New Roman"/>
          <w:sz w:val="24"/>
          <w:lang w:eastAsia="de-DE"/>
        </w:rPr>
        <w:t xml:space="preserve"> </w:t>
      </w:r>
    </w:p>
    <w:p w14:paraId="250B1FD3" w14:textId="3033B265" w:rsidR="0005110D" w:rsidRPr="002A677E" w:rsidRDefault="0005110D"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3978DF">
        <w:rPr>
          <w:rFonts w:ascii="Times New Roman" w:hAnsi="Times New Roman"/>
          <w:sz w:val="24"/>
          <w:lang w:eastAsia="de-DE"/>
        </w:rPr>
        <w:t>1</w:t>
      </w:r>
      <w:r w:rsidRPr="002A677E">
        <w:rPr>
          <w:rFonts w:ascii="Times New Roman" w:hAnsi="Times New Roman"/>
          <w:sz w:val="24"/>
          <w:lang w:eastAsia="de-DE"/>
        </w:rPr>
        <w:t>)</w:t>
      </w:r>
      <w:r w:rsidR="003978DF">
        <w:rPr>
          <w:rFonts w:ascii="Times New Roman" w:hAnsi="Times New Roman"/>
          <w:sz w:val="24"/>
          <w:lang w:eastAsia="de-DE"/>
        </w:rPr>
        <w:t xml:space="preserve"> (ii)</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2557891D" w14:textId="55D0ECAB" w:rsidR="001C7AB7" w:rsidRPr="002A677E" w:rsidRDefault="003978DF" w:rsidP="00ED0DB5">
      <w:pPr>
        <w:autoSpaceDE w:val="0"/>
        <w:autoSpaceDN w:val="0"/>
        <w:adjustRightInd w:val="0"/>
        <w:spacing w:before="0" w:after="0"/>
        <w:ind w:left="708"/>
        <w:rPr>
          <w:rFonts w:ascii="Times New Roman" w:hAnsi="Times New Roman"/>
          <w:sz w:val="24"/>
        </w:rPr>
      </w:pPr>
      <w:r>
        <w:rPr>
          <w:rFonts w:ascii="Times New Roman" w:hAnsi="Times New Roman"/>
          <w:sz w:val="24"/>
        </w:rPr>
        <w:t>5</w:t>
      </w:r>
      <w:r w:rsidR="001C7AB7" w:rsidRPr="002A677E">
        <w:rPr>
          <w:rFonts w:ascii="Times New Roman" w:hAnsi="Times New Roman"/>
          <w:sz w:val="24"/>
        </w:rPr>
        <w:t>)</w:t>
      </w:r>
      <w:r w:rsidR="001C7AB7" w:rsidRPr="002A677E">
        <w:rPr>
          <w:rFonts w:ascii="Times New Roman" w:hAnsi="Times New Roman"/>
          <w:sz w:val="24"/>
        </w:rPr>
        <w:tab/>
        <w:t>Institutions</w:t>
      </w:r>
    </w:p>
    <w:p w14:paraId="2A33DD3A" w14:textId="5D71366D" w:rsidR="001C7AB7" w:rsidRPr="002A677E" w:rsidRDefault="001C7AB7" w:rsidP="00ED0DB5">
      <w:pPr>
        <w:autoSpaceDE w:val="0"/>
        <w:autoSpaceDN w:val="0"/>
        <w:adjustRightInd w:val="0"/>
        <w:spacing w:before="0" w:after="0"/>
        <w:ind w:left="1428"/>
        <w:rPr>
          <w:rFonts w:ascii="Times New Roman" w:hAnsi="Times New Roman"/>
          <w:sz w:val="24"/>
        </w:rPr>
      </w:pPr>
      <w:r w:rsidRPr="002A677E">
        <w:rPr>
          <w:rFonts w:ascii="Times New Roman" w:hAnsi="Times New Roman"/>
          <w:sz w:val="24"/>
        </w:rPr>
        <w:lastRenderedPageBreak/>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(b)</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278AB9B6" w14:textId="0136F0F8" w:rsidR="001C7AB7" w:rsidRPr="002A677E" w:rsidRDefault="003978DF" w:rsidP="00ED0DB5">
      <w:pPr>
        <w:autoSpaceDE w:val="0"/>
        <w:autoSpaceDN w:val="0"/>
        <w:adjustRightInd w:val="0"/>
        <w:spacing w:before="0" w:after="0"/>
        <w:ind w:left="708"/>
        <w:jc w:val="left"/>
        <w:rPr>
          <w:rFonts w:ascii="Times New Roman" w:hAnsi="Times New Roman"/>
          <w:sz w:val="24"/>
          <w:lang w:eastAsia="de-DE"/>
        </w:rPr>
      </w:pPr>
      <w:r w:rsidRPr="72FDE0D4">
        <w:rPr>
          <w:rFonts w:ascii="Times New Roman" w:hAnsi="Times New Roman"/>
          <w:sz w:val="24"/>
        </w:rPr>
        <w:t>6</w:t>
      </w:r>
      <w:r w:rsidR="001C7AB7" w:rsidRPr="72FDE0D4">
        <w:rPr>
          <w:rFonts w:ascii="Times New Roman" w:hAnsi="Times New Roman"/>
          <w:sz w:val="24"/>
        </w:rPr>
        <w:t>.1)</w:t>
      </w:r>
      <w:r w:rsidR="001C7AB7">
        <w:tab/>
      </w:r>
      <w:r w:rsidR="001C7AB7" w:rsidRPr="72FDE0D4">
        <w:rPr>
          <w:rFonts w:ascii="Times New Roman" w:hAnsi="Times New Roman"/>
          <w:sz w:val="24"/>
          <w:lang w:eastAsia="de-DE"/>
        </w:rPr>
        <w:t>Corporate – Specialised lending</w:t>
      </w:r>
    </w:p>
    <w:p w14:paraId="1003485F" w14:textId="33C7040E" w:rsidR="001C7AB7" w:rsidRDefault="001C7AB7" w:rsidP="00ED0DB5">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w:t>
      </w:r>
      <w:r w:rsidR="009C0FFD" w:rsidRPr="06BBFB04">
        <w:rPr>
          <w:rFonts w:ascii="Times New Roman" w:hAnsi="Times New Roman"/>
          <w:sz w:val="24"/>
          <w:lang w:eastAsia="de-DE"/>
        </w:rPr>
        <w:t>Article 147(2), point (c) (ii)</w:t>
      </w:r>
      <w:r w:rsidRPr="06BBFB04">
        <w:rPr>
          <w:rFonts w:ascii="Times New Roman" w:hAnsi="Times New Roman"/>
          <w:sz w:val="24"/>
          <w:lang w:eastAsia="de-DE"/>
        </w:rPr>
        <w:t xml:space="preserve"> </w:t>
      </w:r>
      <w:r w:rsidR="00F34382" w:rsidRPr="06BBFB04">
        <w:rPr>
          <w:rFonts w:ascii="Times New Roman" w:hAnsi="Times New Roman"/>
          <w:sz w:val="24"/>
          <w:lang w:val="en-US"/>
        </w:rPr>
        <w:t>of Regulation (EU) No 575/2013</w:t>
      </w:r>
      <w:r w:rsidRPr="06BBFB04">
        <w:rPr>
          <w:rFonts w:ascii="Times New Roman" w:hAnsi="Times New Roman"/>
          <w:sz w:val="24"/>
          <w:lang w:eastAsia="de-DE"/>
        </w:rPr>
        <w:t>)</w:t>
      </w:r>
    </w:p>
    <w:p w14:paraId="3A2EE211" w14:textId="74F35C22" w:rsidR="00A2636C" w:rsidRPr="002A677E" w:rsidRDefault="26852602" w:rsidP="00A2636C">
      <w:pPr>
        <w:autoSpaceDE w:val="0"/>
        <w:autoSpaceDN w:val="0"/>
        <w:adjustRightInd w:val="0"/>
        <w:spacing w:before="0" w:after="0"/>
        <w:ind w:left="708"/>
        <w:jc w:val="left"/>
        <w:rPr>
          <w:rFonts w:ascii="Times New Roman" w:hAnsi="Times New Roman"/>
          <w:sz w:val="24"/>
          <w:lang w:eastAsia="de-DE"/>
        </w:rPr>
      </w:pPr>
      <w:r w:rsidRPr="72FDE0D4">
        <w:rPr>
          <w:rFonts w:ascii="Times New Roman" w:hAnsi="Times New Roman"/>
          <w:sz w:val="24"/>
        </w:rPr>
        <w:t>6.</w:t>
      </w:r>
      <w:r w:rsidR="58E1108D" w:rsidRPr="72FDE0D4">
        <w:rPr>
          <w:rFonts w:ascii="Times New Roman" w:hAnsi="Times New Roman"/>
          <w:sz w:val="24"/>
        </w:rPr>
        <w:t>2</w:t>
      </w:r>
      <w:r w:rsidR="5D0742BA" w:rsidRPr="72FDE0D4">
        <w:rPr>
          <w:rFonts w:ascii="Times New Roman" w:hAnsi="Times New Roman"/>
          <w:sz w:val="24"/>
        </w:rPr>
        <w:t xml:space="preserve">)   </w:t>
      </w:r>
      <w:r w:rsidR="00A2636C">
        <w:rPr>
          <w:rFonts w:ascii="Times New Roman" w:hAnsi="Times New Roman"/>
          <w:sz w:val="24"/>
        </w:rPr>
        <w:t xml:space="preserve"> </w:t>
      </w:r>
      <w:r w:rsidR="5D0742BA" w:rsidRPr="72FDE0D4">
        <w:rPr>
          <w:rFonts w:ascii="Times New Roman" w:hAnsi="Times New Roman"/>
          <w:sz w:val="24"/>
        </w:rPr>
        <w:t xml:space="preserve"> </w:t>
      </w:r>
      <w:r w:rsidR="00A2636C" w:rsidRPr="72FDE0D4">
        <w:rPr>
          <w:rFonts w:ascii="Times New Roman" w:hAnsi="Times New Roman"/>
          <w:sz w:val="24"/>
          <w:lang w:eastAsia="de-DE"/>
        </w:rPr>
        <w:t>Corporate – Purchased receivables</w:t>
      </w:r>
    </w:p>
    <w:p w14:paraId="33A37C6B" w14:textId="77777777" w:rsidR="00A2636C" w:rsidRDefault="00A2636C" w:rsidP="00A2636C">
      <w:pPr>
        <w:autoSpaceDE w:val="0"/>
        <w:autoSpaceDN w:val="0"/>
        <w:adjustRightInd w:val="0"/>
        <w:spacing w:before="0" w:after="0"/>
        <w:ind w:left="1428"/>
        <w:jc w:val="left"/>
        <w:rPr>
          <w:rFonts w:ascii="Times New Roman" w:hAnsi="Times New Roman"/>
          <w:sz w:val="24"/>
          <w:lang w:eastAsia="de-DE"/>
        </w:rPr>
      </w:pPr>
      <w:r w:rsidRPr="4D94AC78">
        <w:rPr>
          <w:rFonts w:ascii="Times New Roman" w:hAnsi="Times New Roman"/>
          <w:sz w:val="24"/>
          <w:lang w:eastAsia="de-DE"/>
        </w:rPr>
        <w:t xml:space="preserve">(Article 147(2), point (c) (iii) </w:t>
      </w:r>
      <w:r w:rsidRPr="4D94AC78">
        <w:rPr>
          <w:rFonts w:ascii="Times New Roman" w:hAnsi="Times New Roman"/>
          <w:sz w:val="24"/>
          <w:lang w:val="en-US"/>
        </w:rPr>
        <w:t>of Regulation (EU) No 575/2013</w:t>
      </w:r>
      <w:r w:rsidRPr="4D94AC78">
        <w:rPr>
          <w:rFonts w:ascii="Times New Roman" w:hAnsi="Times New Roman"/>
          <w:sz w:val="24"/>
          <w:lang w:eastAsia="de-DE"/>
        </w:rPr>
        <w:t>)</w:t>
      </w:r>
    </w:p>
    <w:p w14:paraId="7636578C" w14:textId="1BC65947" w:rsidR="5D0742BA" w:rsidRDefault="00A2636C" w:rsidP="00ED0DB5">
      <w:pPr>
        <w:spacing w:before="0" w:after="0" w:line="259" w:lineRule="auto"/>
        <w:ind w:left="708"/>
        <w:jc w:val="left"/>
        <w:rPr>
          <w:rFonts w:ascii="Times New Roman" w:hAnsi="Times New Roman"/>
          <w:sz w:val="24"/>
        </w:rPr>
      </w:pPr>
      <w:r>
        <w:rPr>
          <w:rFonts w:ascii="Times New Roman" w:hAnsi="Times New Roman"/>
          <w:sz w:val="24"/>
        </w:rPr>
        <w:t xml:space="preserve">6.3)     </w:t>
      </w:r>
      <w:r w:rsidR="5D0742BA" w:rsidRPr="72FDE0D4">
        <w:rPr>
          <w:rFonts w:ascii="Times New Roman" w:hAnsi="Times New Roman"/>
          <w:sz w:val="24"/>
          <w:lang w:eastAsia="de-DE"/>
        </w:rPr>
        <w:t>Corporate – Large corporates</w:t>
      </w:r>
    </w:p>
    <w:p w14:paraId="48515F07" w14:textId="7CFB372E" w:rsidR="00A65255" w:rsidRDefault="5D0742BA" w:rsidP="00146836">
      <w:pPr>
        <w:autoSpaceDE w:val="0"/>
        <w:autoSpaceDN w:val="0"/>
        <w:adjustRightInd w:val="0"/>
        <w:spacing w:before="0" w:after="0"/>
        <w:ind w:left="1428"/>
        <w:jc w:val="left"/>
        <w:rPr>
          <w:rFonts w:ascii="Times New Roman" w:hAnsi="Times New Roman"/>
          <w:sz w:val="24"/>
          <w:lang w:eastAsia="de-DE"/>
        </w:rPr>
      </w:pPr>
      <w:r w:rsidRPr="2277E8EF">
        <w:rPr>
          <w:rFonts w:ascii="Times New Roman" w:hAnsi="Times New Roman"/>
          <w:sz w:val="24"/>
          <w:lang w:eastAsia="de-DE"/>
        </w:rPr>
        <w:t xml:space="preserve">(Article 147(2), point (c) (i) </w:t>
      </w:r>
      <w:r w:rsidRPr="2277E8EF">
        <w:rPr>
          <w:rFonts w:ascii="Times New Roman" w:hAnsi="Times New Roman"/>
          <w:sz w:val="24"/>
          <w:lang w:val="en-US"/>
        </w:rPr>
        <w:t>of Regulation (EU) No 575/2013</w:t>
      </w:r>
      <w:r w:rsidRPr="2277E8EF">
        <w:rPr>
          <w:rFonts w:ascii="Times New Roman" w:hAnsi="Times New Roman"/>
          <w:sz w:val="24"/>
          <w:lang w:eastAsia="de-DE"/>
        </w:rPr>
        <w:t xml:space="preserve">). For the purpose of classification to this sub-exposure class the reporting entities shall use the definition of Large Corporate in Article 142 (1), point (5a) </w:t>
      </w:r>
      <w:r w:rsidRPr="2277E8EF">
        <w:rPr>
          <w:rFonts w:ascii="Times New Roman" w:hAnsi="Times New Roman"/>
          <w:sz w:val="24"/>
          <w:lang w:val="en-US"/>
        </w:rPr>
        <w:t>of Regulation (EU) No 575/2013</w:t>
      </w:r>
      <w:r w:rsidRPr="2277E8EF">
        <w:rPr>
          <w:rFonts w:ascii="Times New Roman" w:hAnsi="Times New Roman"/>
          <w:sz w:val="24"/>
          <w:lang w:eastAsia="de-DE"/>
        </w:rPr>
        <w:t>.</w:t>
      </w:r>
    </w:p>
    <w:p w14:paraId="336D846E" w14:textId="4C80D81F" w:rsidR="4198C81F" w:rsidRDefault="4198C81F" w:rsidP="00ED0DB5">
      <w:pPr>
        <w:spacing w:before="0" w:after="0" w:line="259" w:lineRule="auto"/>
        <w:ind w:left="708"/>
        <w:jc w:val="left"/>
        <w:rPr>
          <w:rFonts w:ascii="Times New Roman" w:hAnsi="Times New Roman"/>
          <w:sz w:val="24"/>
          <w:lang w:eastAsia="de-DE"/>
        </w:rPr>
      </w:pPr>
      <w:r w:rsidRPr="72FDE0D4">
        <w:rPr>
          <w:rFonts w:ascii="Times New Roman" w:hAnsi="Times New Roman"/>
          <w:sz w:val="24"/>
          <w:lang w:eastAsia="de-DE"/>
        </w:rPr>
        <w:t xml:space="preserve"> </w:t>
      </w:r>
      <w:r w:rsidR="142C143C" w:rsidRPr="72FDE0D4">
        <w:rPr>
          <w:rFonts w:ascii="Times New Roman" w:hAnsi="Times New Roman"/>
          <w:sz w:val="24"/>
          <w:lang w:eastAsia="de-DE"/>
        </w:rPr>
        <w:t>6.</w:t>
      </w:r>
      <w:r w:rsidR="07468457" w:rsidRPr="72FDE0D4">
        <w:rPr>
          <w:rFonts w:ascii="Times New Roman" w:hAnsi="Times New Roman"/>
          <w:sz w:val="24"/>
          <w:lang w:eastAsia="de-DE"/>
        </w:rPr>
        <w:t>4</w:t>
      </w:r>
      <w:r w:rsidR="142C143C" w:rsidRPr="72FDE0D4">
        <w:rPr>
          <w:rFonts w:ascii="Times New Roman" w:hAnsi="Times New Roman"/>
          <w:sz w:val="24"/>
          <w:lang w:eastAsia="de-DE"/>
        </w:rPr>
        <w:t>)</w:t>
      </w:r>
      <w:r w:rsidR="53AD4E1E" w:rsidRPr="72FDE0D4">
        <w:rPr>
          <w:rFonts w:ascii="Times New Roman" w:hAnsi="Times New Roman"/>
          <w:sz w:val="24"/>
          <w:lang w:eastAsia="de-DE"/>
        </w:rPr>
        <w:t xml:space="preserve">  </w:t>
      </w:r>
      <w:r w:rsidR="7A992078" w:rsidRPr="72FDE0D4">
        <w:rPr>
          <w:rFonts w:ascii="Times New Roman" w:hAnsi="Times New Roman"/>
          <w:sz w:val="24"/>
          <w:lang w:eastAsia="de-DE"/>
        </w:rPr>
        <w:t xml:space="preserve"> </w:t>
      </w:r>
      <w:r w:rsidR="53AD4E1E" w:rsidRPr="72FDE0D4">
        <w:rPr>
          <w:rFonts w:ascii="Times New Roman" w:hAnsi="Times New Roman"/>
          <w:sz w:val="24"/>
          <w:lang w:eastAsia="de-DE"/>
        </w:rPr>
        <w:t>Corporate – SME</w:t>
      </w:r>
    </w:p>
    <w:p w14:paraId="04807DCD" w14:textId="212F4D85" w:rsidR="09CDC181" w:rsidRPr="007A7FE8" w:rsidRDefault="4198C81F" w:rsidP="00ED0DB5">
      <w:pPr>
        <w:spacing w:before="0" w:after="0"/>
        <w:ind w:left="1428"/>
        <w:jc w:val="left"/>
        <w:rPr>
          <w:rFonts w:ascii="Times New Roman" w:hAnsi="Times New Roman"/>
          <w:sz w:val="24"/>
        </w:rPr>
      </w:pPr>
      <w:r w:rsidRPr="007A7FE8">
        <w:rPr>
          <w:rFonts w:ascii="Times New Roman" w:hAnsi="Times New Roman"/>
          <w:sz w:val="24"/>
        </w:rPr>
        <w:t>(Article 147(2), point (c)</w:t>
      </w:r>
      <w:r w:rsidR="00B975AC">
        <w:rPr>
          <w:rFonts w:ascii="Times New Roman" w:hAnsi="Times New Roman"/>
          <w:sz w:val="24"/>
        </w:rPr>
        <w:t xml:space="preserve"> (i</w:t>
      </w:r>
      <w:r w:rsidRPr="007A7FE8">
        <w:rPr>
          <w:rFonts w:ascii="Times New Roman" w:hAnsi="Times New Roman"/>
          <w:sz w:val="24"/>
        </w:rPr>
        <w:t xml:space="preserve">), </w:t>
      </w:r>
      <w:r w:rsidRPr="007A7FE8">
        <w:rPr>
          <w:rFonts w:ascii="Times New Roman" w:hAnsi="Times New Roman"/>
          <w:sz w:val="24"/>
          <w:lang w:val="en-US"/>
        </w:rPr>
        <w:t>of Regulation (EU) No 575/2013</w:t>
      </w:r>
      <w:r w:rsidRPr="007A7FE8">
        <w:rPr>
          <w:rFonts w:ascii="Times New Roman" w:hAnsi="Times New Roman"/>
          <w:sz w:val="24"/>
        </w:rPr>
        <w:t xml:space="preserve">). </w:t>
      </w:r>
      <w:r w:rsidRPr="2277E8EF">
        <w:rPr>
          <w:rFonts w:ascii="Times New Roman" w:hAnsi="Times New Roman"/>
          <w:sz w:val="24"/>
          <w:lang w:eastAsia="de-DE"/>
        </w:rPr>
        <w:t xml:space="preserve">For the purpose of classification to this sub-exposure class the reporting entities shall use the definition of SME in Article 5 (8) </w:t>
      </w:r>
      <w:r w:rsidRPr="007A7FE8">
        <w:rPr>
          <w:rFonts w:ascii="Times New Roman" w:hAnsi="Times New Roman"/>
          <w:sz w:val="24"/>
          <w:lang w:val="en-US"/>
        </w:rPr>
        <w:t>of Regulation (EU) No 575/2013</w:t>
      </w:r>
      <w:r w:rsidRPr="2277E8EF">
        <w:rPr>
          <w:rFonts w:ascii="Times New Roman" w:hAnsi="Times New Roman"/>
          <w:sz w:val="24"/>
          <w:lang w:eastAsia="de-DE"/>
        </w:rPr>
        <w:t>.</w:t>
      </w:r>
    </w:p>
    <w:p w14:paraId="68FC2266" w14:textId="5D565C68" w:rsidR="001C7AB7" w:rsidRPr="002A677E" w:rsidRDefault="009C0FFD" w:rsidP="00ED0DB5">
      <w:pPr>
        <w:autoSpaceDE w:val="0"/>
        <w:autoSpaceDN w:val="0"/>
        <w:adjustRightInd w:val="0"/>
        <w:spacing w:before="0" w:after="0"/>
        <w:ind w:left="708"/>
        <w:jc w:val="left"/>
        <w:rPr>
          <w:rFonts w:ascii="Times New Roman" w:hAnsi="Times New Roman"/>
          <w:sz w:val="24"/>
          <w:lang w:eastAsia="de-DE"/>
        </w:rPr>
      </w:pPr>
      <w:r w:rsidRPr="72FDE0D4">
        <w:rPr>
          <w:rFonts w:ascii="Times New Roman" w:hAnsi="Times New Roman"/>
          <w:sz w:val="24"/>
          <w:lang w:eastAsia="de-DE"/>
        </w:rPr>
        <w:t>6</w:t>
      </w:r>
      <w:r w:rsidR="001C7AB7" w:rsidRPr="72FDE0D4">
        <w:rPr>
          <w:rFonts w:ascii="Times New Roman" w:hAnsi="Times New Roman"/>
          <w:sz w:val="24"/>
          <w:lang w:eastAsia="de-DE"/>
        </w:rPr>
        <w:t>.</w:t>
      </w:r>
      <w:r w:rsidR="009E64F5" w:rsidRPr="72FDE0D4">
        <w:rPr>
          <w:rFonts w:ascii="Times New Roman" w:hAnsi="Times New Roman"/>
          <w:sz w:val="24"/>
          <w:lang w:eastAsia="de-DE"/>
        </w:rPr>
        <w:t>5</w:t>
      </w:r>
      <w:r w:rsidR="001C7AB7" w:rsidRPr="72FDE0D4">
        <w:rPr>
          <w:rFonts w:ascii="Times New Roman" w:hAnsi="Times New Roman"/>
          <w:sz w:val="24"/>
          <w:lang w:eastAsia="de-DE"/>
        </w:rPr>
        <w:t>)</w:t>
      </w:r>
      <w:r w:rsidR="001C7AB7">
        <w:tab/>
      </w:r>
      <w:r w:rsidR="001C7AB7" w:rsidRPr="72FDE0D4">
        <w:rPr>
          <w:rFonts w:ascii="Times New Roman" w:hAnsi="Times New Roman"/>
          <w:sz w:val="24"/>
          <w:lang w:eastAsia="de-DE"/>
        </w:rPr>
        <w:t xml:space="preserve">Corporate – Other </w:t>
      </w:r>
    </w:p>
    <w:p w14:paraId="2BC0A49B" w14:textId="6CE4D46A" w:rsidR="001C7AB7" w:rsidRPr="002A677E" w:rsidRDefault="001C7AB7" w:rsidP="00ED0DB5">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t xml:space="preserve">(All </w:t>
      </w:r>
      <w:r w:rsidR="6D03AD07" w:rsidRPr="72FDE0D4">
        <w:rPr>
          <w:rFonts w:ascii="Times New Roman" w:hAnsi="Times New Roman"/>
          <w:sz w:val="24"/>
          <w:lang w:eastAsia="de-DE"/>
        </w:rPr>
        <w:t xml:space="preserve">other </w:t>
      </w:r>
      <w:r w:rsidR="00167619" w:rsidRPr="72FDE0D4">
        <w:rPr>
          <w:rFonts w:ascii="Times New Roman" w:hAnsi="Times New Roman"/>
          <w:sz w:val="24"/>
          <w:lang w:eastAsia="de-DE"/>
        </w:rPr>
        <w:t xml:space="preserve">exposures to </w:t>
      </w:r>
      <w:r w:rsidRPr="72FDE0D4">
        <w:rPr>
          <w:rFonts w:ascii="Times New Roman" w:hAnsi="Times New Roman"/>
          <w:sz w:val="24"/>
          <w:lang w:eastAsia="de-DE"/>
        </w:rPr>
        <w:t xml:space="preserve">corporates </w:t>
      </w:r>
      <w:r w:rsidR="00167619" w:rsidRPr="72FDE0D4">
        <w:rPr>
          <w:rFonts w:ascii="Times New Roman" w:hAnsi="Times New Roman"/>
          <w:sz w:val="24"/>
          <w:lang w:eastAsia="de-DE"/>
        </w:rPr>
        <w:t xml:space="preserve">as referred to </w:t>
      </w:r>
      <w:r w:rsidR="00BB22D4" w:rsidRPr="72FDE0D4">
        <w:rPr>
          <w:rFonts w:ascii="Times New Roman" w:hAnsi="Times New Roman"/>
          <w:sz w:val="24"/>
          <w:lang w:eastAsia="de-DE"/>
        </w:rPr>
        <w:t xml:space="preserve">in </w:t>
      </w:r>
      <w:r w:rsidR="00887929" w:rsidRPr="72FDE0D4">
        <w:rPr>
          <w:rFonts w:ascii="Times New Roman" w:hAnsi="Times New Roman"/>
          <w:sz w:val="24"/>
          <w:lang w:eastAsia="de-DE"/>
        </w:rPr>
        <w:t>Article 147(2)</w:t>
      </w:r>
      <w:r w:rsidR="00B83DDE" w:rsidRPr="72FDE0D4">
        <w:rPr>
          <w:rFonts w:ascii="Times New Roman" w:hAnsi="Times New Roman"/>
          <w:sz w:val="24"/>
          <w:lang w:eastAsia="de-DE"/>
        </w:rPr>
        <w:t>, p</w:t>
      </w:r>
      <w:r w:rsidR="00887929" w:rsidRPr="72FDE0D4">
        <w:rPr>
          <w:rFonts w:ascii="Times New Roman" w:hAnsi="Times New Roman"/>
          <w:sz w:val="24"/>
          <w:lang w:eastAsia="de-DE"/>
        </w:rPr>
        <w:t xml:space="preserve">oint </w:t>
      </w:r>
      <w:r w:rsidR="6F0F1356" w:rsidRPr="72FDE0D4">
        <w:rPr>
          <w:rFonts w:ascii="Times New Roman" w:hAnsi="Times New Roman"/>
          <w:sz w:val="24"/>
          <w:lang w:eastAsia="de-DE"/>
        </w:rPr>
        <w:t>(c)(i)</w:t>
      </w:r>
      <w:r w:rsidR="00BE1277" w:rsidRPr="72FDE0D4">
        <w:rPr>
          <w:rFonts w:ascii="Times New Roman" w:hAnsi="Times New Roman"/>
          <w:sz w:val="24"/>
          <w:lang w:eastAsia="de-DE"/>
        </w:rPr>
        <w:t>,</w:t>
      </w:r>
      <w:r w:rsidR="00887929" w:rsidRPr="72FDE0D4">
        <w:rPr>
          <w:rFonts w:ascii="Times New Roman" w:hAnsi="Times New Roman"/>
          <w:sz w:val="24"/>
          <w:lang w:eastAsia="de-DE"/>
        </w:rPr>
        <w:t xml:space="preserve"> </w:t>
      </w:r>
      <w:r w:rsidR="00F34382" w:rsidRPr="72FDE0D4">
        <w:rPr>
          <w:rFonts w:ascii="Times New Roman" w:hAnsi="Times New Roman"/>
          <w:sz w:val="24"/>
          <w:lang w:val="en-US"/>
        </w:rPr>
        <w:t>of Regulation (EU) No 575/2013</w:t>
      </w:r>
      <w:r w:rsidRPr="72FDE0D4">
        <w:rPr>
          <w:rFonts w:ascii="Times New Roman" w:hAnsi="Times New Roman"/>
          <w:sz w:val="24"/>
          <w:lang w:eastAsia="de-DE"/>
        </w:rPr>
        <w:t xml:space="preserve">, not reported under </w:t>
      </w:r>
      <w:r w:rsidR="00970366" w:rsidRPr="72FDE0D4">
        <w:rPr>
          <w:rFonts w:ascii="Times New Roman" w:hAnsi="Times New Roman"/>
          <w:sz w:val="24"/>
          <w:lang w:eastAsia="de-DE"/>
        </w:rPr>
        <w:t>6</w:t>
      </w:r>
      <w:r w:rsidRPr="72FDE0D4">
        <w:rPr>
          <w:rFonts w:ascii="Times New Roman" w:hAnsi="Times New Roman"/>
          <w:sz w:val="24"/>
          <w:lang w:eastAsia="de-DE"/>
        </w:rPr>
        <w:t xml:space="preserve">.1 </w:t>
      </w:r>
      <w:r w:rsidR="00970366" w:rsidRPr="72FDE0D4">
        <w:rPr>
          <w:rFonts w:ascii="Times New Roman" w:hAnsi="Times New Roman"/>
          <w:sz w:val="24"/>
          <w:lang w:eastAsia="de-DE"/>
        </w:rPr>
        <w:t>to 6</w:t>
      </w:r>
      <w:r w:rsidRPr="72FDE0D4">
        <w:rPr>
          <w:rFonts w:ascii="Times New Roman" w:hAnsi="Times New Roman"/>
          <w:sz w:val="24"/>
          <w:lang w:eastAsia="de-DE"/>
        </w:rPr>
        <w:t>.</w:t>
      </w:r>
      <w:r w:rsidR="00970366" w:rsidRPr="72FDE0D4">
        <w:rPr>
          <w:rFonts w:ascii="Times New Roman" w:hAnsi="Times New Roman"/>
          <w:sz w:val="24"/>
          <w:lang w:eastAsia="de-DE"/>
        </w:rPr>
        <w:t>4</w:t>
      </w:r>
      <w:r w:rsidRPr="72FDE0D4">
        <w:rPr>
          <w:rFonts w:ascii="Times New Roman" w:hAnsi="Times New Roman"/>
          <w:sz w:val="24"/>
          <w:lang w:eastAsia="de-DE"/>
        </w:rPr>
        <w:t>).</w:t>
      </w:r>
    </w:p>
    <w:p w14:paraId="1877AA53" w14:textId="56A650CD"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001C7AB7" w:rsidRPr="002A677E">
        <w:rPr>
          <w:rFonts w:ascii="Times New Roman" w:hAnsi="Times New Roman"/>
          <w:sz w:val="24"/>
          <w:lang w:eastAsia="de-DE"/>
        </w:rPr>
        <w:t>.1)</w:t>
      </w:r>
      <w:r w:rsidR="001C7AB7" w:rsidRPr="002A677E">
        <w:rPr>
          <w:rFonts w:ascii="Times New Roman" w:hAnsi="Times New Roman"/>
          <w:sz w:val="24"/>
          <w:lang w:eastAsia="de-DE"/>
        </w:rPr>
        <w:tab/>
        <w:t xml:space="preserve">Retail – Secured by </w:t>
      </w:r>
      <w:r w:rsidR="00606830">
        <w:rPr>
          <w:rFonts w:ascii="Times New Roman" w:hAnsi="Times New Roman"/>
          <w:sz w:val="24"/>
          <w:lang w:eastAsia="de-DE"/>
        </w:rPr>
        <w:t>residential real estate</w:t>
      </w:r>
      <w:r w:rsidR="005E03B8" w:rsidRPr="002A677E">
        <w:rPr>
          <w:rFonts w:ascii="Times New Roman" w:hAnsi="Times New Roman"/>
          <w:sz w:val="24"/>
          <w:lang w:eastAsia="de-DE"/>
        </w:rPr>
        <w:t xml:space="preserve"> </w:t>
      </w:r>
      <w:r w:rsidR="001C7AB7" w:rsidRPr="002A677E">
        <w:rPr>
          <w:rFonts w:ascii="Times New Roman" w:hAnsi="Times New Roman"/>
          <w:sz w:val="24"/>
          <w:lang w:eastAsia="de-DE"/>
        </w:rPr>
        <w:t>SME</w:t>
      </w:r>
    </w:p>
    <w:p w14:paraId="41CDE7BA" w14:textId="11688D3B" w:rsidR="001C7AB7" w:rsidRPr="002A677E" w:rsidRDefault="001C7AB7" w:rsidP="00ED0DB5">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167619" w:rsidRPr="002A677E">
        <w:rPr>
          <w:rFonts w:ascii="Times New Roman" w:hAnsi="Times New Roman"/>
          <w:sz w:val="24"/>
          <w:lang w:eastAsia="de-DE"/>
        </w:rPr>
        <w:t>as 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147(2)</w:t>
      </w:r>
      <w:r w:rsidR="00B83DDE">
        <w:rPr>
          <w:rFonts w:ascii="Times New Roman" w:hAnsi="Times New Roman"/>
          <w:sz w:val="24"/>
          <w:lang w:eastAsia="de-DE"/>
        </w:rPr>
        <w:t>, p</w:t>
      </w:r>
      <w:r w:rsidR="00F34382" w:rsidRPr="002A677E">
        <w:rPr>
          <w:rFonts w:ascii="Times New Roman" w:hAnsi="Times New Roman"/>
          <w:sz w:val="24"/>
          <w:lang w:eastAsia="de-DE"/>
        </w:rPr>
        <w:t>oint (d)</w:t>
      </w:r>
      <w:r w:rsidR="0042449F">
        <w:rPr>
          <w:rFonts w:ascii="Times New Roman" w:hAnsi="Times New Roman"/>
          <w:sz w:val="24"/>
          <w:lang w:eastAsia="de-DE"/>
        </w:rPr>
        <w:t xml:space="preserve"> (ii)</w:t>
      </w:r>
      <w:r w:rsidR="00BE1277">
        <w:rPr>
          <w:rFonts w:ascii="Times New Roman" w:hAnsi="Times New Roman"/>
          <w:sz w:val="24"/>
          <w:lang w:eastAsia="de-DE"/>
        </w:rPr>
        <w:t>,</w:t>
      </w:r>
      <w:r w:rsidR="00F34382"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in conjunction with Article 154(3)</w:t>
      </w:r>
      <w:r w:rsidR="00260AA2" w:rsidRPr="002A677E">
        <w:rPr>
          <w:rFonts w:ascii="Times New Roman" w:hAnsi="Times New Roman"/>
          <w:sz w:val="24"/>
          <w:lang w:eastAsia="de-DE"/>
        </w:rPr>
        <w:t xml:space="preserve"> </w:t>
      </w:r>
      <w:r w:rsidR="00F34382" w:rsidRPr="001235ED">
        <w:rPr>
          <w:rFonts w:ascii="Times New Roman" w:hAnsi="Times New Roman"/>
          <w:sz w:val="24"/>
          <w:lang w:val="en-US"/>
        </w:rPr>
        <w:t>of that</w:t>
      </w:r>
      <w:r w:rsidR="001210C3">
        <w:rPr>
          <w:rFonts w:ascii="Times New Roman" w:hAnsi="Times New Roman"/>
          <w:sz w:val="24"/>
          <w:lang w:eastAsia="de-DE"/>
        </w:rPr>
        <w:t xml:space="preserve"> regulation</w:t>
      </w:r>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w:t>
      </w:r>
      <w:r w:rsidR="0042449F">
        <w:rPr>
          <w:rFonts w:ascii="Times New Roman" w:hAnsi="Times New Roman"/>
          <w:sz w:val="24"/>
          <w:lang w:eastAsia="de-DE"/>
        </w:rPr>
        <w:t xml:space="preserve">the definition </w:t>
      </w:r>
      <w:r w:rsidR="0042449F" w:rsidRPr="002A677E">
        <w:rPr>
          <w:rFonts w:ascii="Times New Roman" w:hAnsi="Times New Roman"/>
          <w:sz w:val="24"/>
          <w:lang w:eastAsia="de-DE"/>
        </w:rPr>
        <w:t xml:space="preserve">of SME </w:t>
      </w:r>
      <w:r w:rsidR="0042449F">
        <w:rPr>
          <w:rFonts w:ascii="Times New Roman" w:hAnsi="Times New Roman"/>
          <w:sz w:val="24"/>
          <w:lang w:eastAsia="de-DE"/>
        </w:rPr>
        <w:t xml:space="preserve">in Article 5 (8) </w:t>
      </w:r>
      <w:r w:rsidR="0042449F" w:rsidRPr="001235ED">
        <w:rPr>
          <w:rFonts w:ascii="Times New Roman" w:hAnsi="Times New Roman"/>
          <w:sz w:val="24"/>
          <w:lang w:val="en-US"/>
        </w:rPr>
        <w:t>of Regulation (EU) No 575/2013</w:t>
      </w:r>
      <w:r w:rsidR="0042449F" w:rsidRPr="002A677E">
        <w:rPr>
          <w:rFonts w:ascii="Times New Roman" w:hAnsi="Times New Roman"/>
          <w:sz w:val="24"/>
          <w:lang w:eastAsia="de-DE"/>
        </w:rPr>
        <w:t xml:space="preserve">. </w:t>
      </w:r>
    </w:p>
    <w:p w14:paraId="133F9F8B" w14:textId="32163A2C"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001C7AB7" w:rsidRPr="002A677E">
        <w:rPr>
          <w:rFonts w:ascii="Times New Roman" w:hAnsi="Times New Roman"/>
          <w:sz w:val="24"/>
          <w:lang w:eastAsia="de-DE"/>
        </w:rPr>
        <w:t>.2)</w:t>
      </w:r>
      <w:r w:rsidR="001C7AB7" w:rsidRPr="002A677E">
        <w:rPr>
          <w:rFonts w:ascii="Times New Roman" w:hAnsi="Times New Roman"/>
          <w:sz w:val="24"/>
          <w:lang w:eastAsia="de-DE"/>
        </w:rPr>
        <w:tab/>
        <w:t xml:space="preserve">Retail – Secured by </w:t>
      </w:r>
      <w:r w:rsidR="00606830">
        <w:rPr>
          <w:rFonts w:ascii="Times New Roman" w:hAnsi="Times New Roman"/>
          <w:sz w:val="24"/>
          <w:lang w:eastAsia="de-DE"/>
        </w:rPr>
        <w:t>residential real estate</w:t>
      </w:r>
      <w:r w:rsidR="005E03B8" w:rsidRPr="002A677E">
        <w:rPr>
          <w:rFonts w:ascii="Times New Roman" w:hAnsi="Times New Roman"/>
          <w:sz w:val="24"/>
          <w:lang w:eastAsia="de-DE"/>
        </w:rPr>
        <w:t xml:space="preserve"> </w:t>
      </w:r>
      <w:r w:rsidR="001C7AB7" w:rsidRPr="002A677E">
        <w:rPr>
          <w:rFonts w:ascii="Times New Roman" w:hAnsi="Times New Roman"/>
          <w:sz w:val="24"/>
          <w:lang w:eastAsia="de-DE"/>
        </w:rPr>
        <w:t>non-SME</w:t>
      </w:r>
    </w:p>
    <w:p w14:paraId="0AD84A3A" w14:textId="6543892E" w:rsidR="001C7AB7" w:rsidRPr="002A677E" w:rsidRDefault="001C7AB7"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BD6DB9" w:rsidRPr="002A677E">
        <w:rPr>
          <w:rFonts w:ascii="Times New Roman" w:hAnsi="Times New Roman"/>
          <w:sz w:val="24"/>
          <w:lang w:eastAsia="de-DE"/>
        </w:rPr>
        <w:t>as referred to in</w:t>
      </w:r>
      <w:r w:rsidRPr="002A677E">
        <w:rPr>
          <w:rFonts w:ascii="Times New Roman" w:hAnsi="Times New Roman"/>
          <w:sz w:val="24"/>
          <w:lang w:eastAsia="de-DE"/>
        </w:rPr>
        <w:t xml:space="preserve">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42449F">
        <w:rPr>
          <w:rFonts w:ascii="Times New Roman" w:hAnsi="Times New Roman"/>
          <w:sz w:val="24"/>
          <w:lang w:eastAsia="de-DE"/>
        </w:rPr>
        <w:t xml:space="preserve"> (ii)</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not reported under </w:t>
      </w:r>
      <w:r w:rsidR="0042449F">
        <w:rPr>
          <w:rFonts w:ascii="Times New Roman" w:hAnsi="Times New Roman"/>
          <w:sz w:val="24"/>
          <w:lang w:eastAsia="de-DE"/>
        </w:rPr>
        <w:t>7</w:t>
      </w:r>
      <w:r w:rsidRPr="002A677E">
        <w:rPr>
          <w:rFonts w:ascii="Times New Roman" w:hAnsi="Times New Roman"/>
          <w:sz w:val="24"/>
          <w:lang w:eastAsia="de-DE"/>
        </w:rPr>
        <w:t>.1).</w:t>
      </w:r>
    </w:p>
    <w:p w14:paraId="26A4456D" w14:textId="372E28D2" w:rsidR="008304E8" w:rsidRPr="002A677E" w:rsidRDefault="008304E8" w:rsidP="00ED0DB5">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t xml:space="preserve">Under </w:t>
      </w:r>
      <w:r w:rsidR="0042449F">
        <w:rPr>
          <w:rFonts w:ascii="Times New Roman" w:hAnsi="Times New Roman"/>
          <w:sz w:val="24"/>
          <w:lang w:eastAsia="de-DE"/>
        </w:rPr>
        <w:t>7</w:t>
      </w:r>
      <w:r w:rsidRPr="002A677E">
        <w:rPr>
          <w:rFonts w:ascii="Times New Roman" w:hAnsi="Times New Roman"/>
          <w:sz w:val="24"/>
          <w:lang w:eastAsia="de-DE"/>
        </w:rPr>
        <w:t xml:space="preserve">.1 and </w:t>
      </w:r>
      <w:r w:rsidR="0042449F">
        <w:rPr>
          <w:rFonts w:ascii="Times New Roman" w:hAnsi="Times New Roman"/>
          <w:sz w:val="24"/>
          <w:lang w:eastAsia="de-DE"/>
        </w:rPr>
        <w:t>7</w:t>
      </w:r>
      <w:r w:rsidRPr="002A677E">
        <w:rPr>
          <w:rFonts w:ascii="Times New Roman" w:hAnsi="Times New Roman"/>
          <w:sz w:val="24"/>
          <w:lang w:eastAsia="de-DE"/>
        </w:rPr>
        <w:t xml:space="preserve">.2, retail exposures secured by </w:t>
      </w:r>
      <w:r w:rsidR="0042449F">
        <w:rPr>
          <w:rFonts w:ascii="Times New Roman" w:hAnsi="Times New Roman"/>
          <w:sz w:val="24"/>
          <w:lang w:eastAsia="de-DE"/>
        </w:rPr>
        <w:t>residential real estate</w:t>
      </w:r>
      <w:r w:rsidRPr="002A677E">
        <w:rPr>
          <w:rFonts w:ascii="Times New Roman" w:hAnsi="Times New Roman"/>
          <w:sz w:val="24"/>
          <w:lang w:eastAsia="de-DE"/>
        </w:rPr>
        <w:t xml:space="preserve"> shall be considered any retail exposures secured by </w:t>
      </w:r>
      <w:r w:rsidR="0042449F">
        <w:rPr>
          <w:rFonts w:ascii="Times New Roman" w:hAnsi="Times New Roman"/>
          <w:sz w:val="24"/>
          <w:lang w:eastAsia="de-DE"/>
        </w:rPr>
        <w:t>residential real estate</w:t>
      </w:r>
      <w:r w:rsidRPr="002A677E">
        <w:rPr>
          <w:rFonts w:ascii="Times New Roman" w:hAnsi="Times New Roman"/>
          <w:sz w:val="24"/>
          <w:lang w:eastAsia="de-DE"/>
        </w:rPr>
        <w:t xml:space="preserve"> recognised as collateral, regardless of the ratio of the value of collateral to the exposure or of the purpose of the loan. </w:t>
      </w:r>
    </w:p>
    <w:p w14:paraId="07081C7A" w14:textId="00E0DF74"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001C7AB7" w:rsidRPr="002A677E">
        <w:rPr>
          <w:rFonts w:ascii="Times New Roman" w:hAnsi="Times New Roman"/>
          <w:sz w:val="24"/>
          <w:lang w:eastAsia="de-DE"/>
        </w:rPr>
        <w:t>.3)</w:t>
      </w:r>
      <w:r w:rsidR="001C7AB7" w:rsidRPr="002A677E">
        <w:rPr>
          <w:rFonts w:ascii="Times New Roman" w:hAnsi="Times New Roman"/>
          <w:sz w:val="24"/>
          <w:lang w:eastAsia="de-DE"/>
        </w:rPr>
        <w:tab/>
        <w:t>Retail – Qualifying revolving</w:t>
      </w:r>
    </w:p>
    <w:p w14:paraId="5D39186F" w14:textId="1EE04FA9" w:rsidR="001C7AB7" w:rsidRDefault="001C7AB7"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434F5A">
        <w:rPr>
          <w:rFonts w:ascii="Times New Roman" w:hAnsi="Times New Roman"/>
          <w:sz w:val="24"/>
          <w:lang w:eastAsia="de-DE"/>
        </w:rPr>
        <w:t xml:space="preserve"> (i)</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in conjunction with Article 154(4) </w:t>
      </w:r>
      <w:r w:rsidR="00F34382"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3D699566" w14:textId="5A5F2FE9" w:rsidR="00124235" w:rsidRPr="002A677E" w:rsidRDefault="00124235"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4</w:t>
      </w:r>
      <w:r w:rsidRPr="002A677E">
        <w:rPr>
          <w:rFonts w:ascii="Times New Roman" w:hAnsi="Times New Roman"/>
          <w:sz w:val="24"/>
          <w:lang w:eastAsia="de-DE"/>
        </w:rPr>
        <w:t>)</w:t>
      </w:r>
      <w:r w:rsidRPr="002A677E">
        <w:rPr>
          <w:rFonts w:ascii="Times New Roman" w:hAnsi="Times New Roman"/>
          <w:sz w:val="24"/>
          <w:lang w:eastAsia="de-DE"/>
        </w:rPr>
        <w:tab/>
        <w:t xml:space="preserve">Retail – </w:t>
      </w:r>
      <w:r>
        <w:rPr>
          <w:rFonts w:ascii="Times New Roman" w:hAnsi="Times New Roman"/>
          <w:sz w:val="24"/>
          <w:lang w:eastAsia="de-DE"/>
        </w:rPr>
        <w:t>Purchased receivables</w:t>
      </w:r>
    </w:p>
    <w:p w14:paraId="16952F71" w14:textId="5CE6A4E7" w:rsidR="00124235" w:rsidRPr="002A677E" w:rsidRDefault="00124235"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726B494A" w14:textId="149D320E"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001C7AB7" w:rsidRPr="002A677E">
        <w:rPr>
          <w:rFonts w:ascii="Times New Roman" w:hAnsi="Times New Roman"/>
          <w:sz w:val="24"/>
          <w:lang w:eastAsia="de-DE"/>
        </w:rPr>
        <w:t>.</w:t>
      </w:r>
      <w:r w:rsidR="00124235">
        <w:rPr>
          <w:rFonts w:ascii="Times New Roman" w:hAnsi="Times New Roman"/>
          <w:sz w:val="24"/>
          <w:lang w:eastAsia="de-DE"/>
        </w:rPr>
        <w:t>5</w:t>
      </w:r>
      <w:r w:rsidR="001C7AB7" w:rsidRPr="002A677E">
        <w:rPr>
          <w:rFonts w:ascii="Times New Roman" w:hAnsi="Times New Roman"/>
          <w:sz w:val="24"/>
          <w:lang w:eastAsia="de-DE"/>
        </w:rPr>
        <w:t>)</w:t>
      </w:r>
      <w:r w:rsidR="001C7AB7" w:rsidRPr="002A677E">
        <w:rPr>
          <w:rFonts w:ascii="Times New Roman" w:hAnsi="Times New Roman"/>
          <w:sz w:val="24"/>
          <w:lang w:eastAsia="de-DE"/>
        </w:rPr>
        <w:tab/>
        <w:t>Retail – Other SME</w:t>
      </w:r>
    </w:p>
    <w:p w14:paraId="18E79C76" w14:textId="49D4BB22" w:rsidR="001C7AB7" w:rsidRDefault="001C7AB7" w:rsidP="00ED0DB5">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r w:rsidR="00AC0D56">
        <w:rPr>
          <w:rFonts w:ascii="Times New Roman" w:hAnsi="Times New Roman"/>
          <w:sz w:val="24"/>
          <w:lang w:eastAsia="de-DE"/>
        </w:rPr>
        <w:t xml:space="preserve"> (iv</w:t>
      </w:r>
      <w:r w:rsidR="00887929" w:rsidRPr="002A677E">
        <w:rPr>
          <w:rFonts w:ascii="Times New Roman" w:hAnsi="Times New Roman"/>
          <w:sz w:val="24"/>
          <w:lang w:eastAsia="de-DE"/>
        </w:rPr>
        <w:t>)</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not reported under </w:t>
      </w:r>
      <w:r w:rsidR="00124235">
        <w:rPr>
          <w:rFonts w:ascii="Times New Roman" w:hAnsi="Times New Roman"/>
          <w:sz w:val="24"/>
          <w:lang w:eastAsia="de-DE"/>
        </w:rPr>
        <w:t>7</w:t>
      </w:r>
      <w:r w:rsidRPr="002A677E">
        <w:rPr>
          <w:rFonts w:ascii="Times New Roman" w:hAnsi="Times New Roman"/>
          <w:sz w:val="24"/>
          <w:lang w:eastAsia="de-DE"/>
        </w:rPr>
        <w:t xml:space="preserve">.1 </w:t>
      </w:r>
      <w:r w:rsidR="00406D8F">
        <w:rPr>
          <w:rFonts w:ascii="Times New Roman" w:hAnsi="Times New Roman"/>
          <w:sz w:val="24"/>
          <w:lang w:eastAsia="de-DE"/>
        </w:rPr>
        <w:t>to</w:t>
      </w:r>
      <w:r w:rsidRPr="002A677E">
        <w:rPr>
          <w:rFonts w:ascii="Times New Roman" w:hAnsi="Times New Roman"/>
          <w:sz w:val="24"/>
          <w:lang w:eastAsia="de-DE"/>
        </w:rPr>
        <w:t xml:space="preserve"> </w:t>
      </w:r>
      <w:r w:rsidR="00406D8F">
        <w:rPr>
          <w:rFonts w:ascii="Times New Roman" w:hAnsi="Times New Roman"/>
          <w:sz w:val="24"/>
          <w:lang w:eastAsia="de-DE"/>
        </w:rPr>
        <w:t>7.4</w:t>
      </w:r>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w:t>
      </w:r>
      <w:r w:rsidR="00124235">
        <w:rPr>
          <w:rFonts w:ascii="Times New Roman" w:hAnsi="Times New Roman"/>
          <w:sz w:val="24"/>
          <w:lang w:eastAsia="de-DE"/>
        </w:rPr>
        <w:t xml:space="preserve">the definition </w:t>
      </w:r>
      <w:r w:rsidR="00124235" w:rsidRPr="002A677E">
        <w:rPr>
          <w:rFonts w:ascii="Times New Roman" w:hAnsi="Times New Roman"/>
          <w:sz w:val="24"/>
          <w:lang w:eastAsia="de-DE"/>
        </w:rPr>
        <w:t xml:space="preserve">of SME </w:t>
      </w:r>
      <w:r w:rsidR="00124235">
        <w:rPr>
          <w:rFonts w:ascii="Times New Roman" w:hAnsi="Times New Roman"/>
          <w:sz w:val="24"/>
          <w:lang w:eastAsia="de-DE"/>
        </w:rPr>
        <w:t xml:space="preserve">in Article 5 (8) </w:t>
      </w:r>
      <w:r w:rsidR="00124235" w:rsidRPr="001235ED">
        <w:rPr>
          <w:rFonts w:ascii="Times New Roman" w:hAnsi="Times New Roman"/>
          <w:sz w:val="24"/>
          <w:lang w:val="en-US"/>
        </w:rPr>
        <w:t>of Regulation (EU) No 575/2013</w:t>
      </w:r>
      <w:r w:rsidR="00124235" w:rsidRPr="002A677E">
        <w:rPr>
          <w:rFonts w:ascii="Times New Roman" w:hAnsi="Times New Roman"/>
          <w:sz w:val="24"/>
          <w:lang w:eastAsia="de-DE"/>
        </w:rPr>
        <w:t xml:space="preserve">. </w:t>
      </w:r>
    </w:p>
    <w:p w14:paraId="089D2E1F" w14:textId="6CD1D3D2" w:rsidR="00065941" w:rsidRPr="002A677E" w:rsidRDefault="00065941"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5.1</w:t>
      </w:r>
      <w:r w:rsidRPr="002A677E">
        <w:rPr>
          <w:rFonts w:ascii="Times New Roman" w:hAnsi="Times New Roman"/>
          <w:sz w:val="24"/>
          <w:lang w:eastAsia="de-DE"/>
        </w:rPr>
        <w:t>)</w:t>
      </w:r>
      <w:r w:rsidRPr="002A677E">
        <w:rPr>
          <w:rFonts w:ascii="Times New Roman" w:hAnsi="Times New Roman"/>
          <w:sz w:val="24"/>
          <w:lang w:eastAsia="de-DE"/>
        </w:rPr>
        <w:tab/>
        <w:t>Retail – Other SME</w:t>
      </w:r>
      <w:r w:rsidR="00C95DD7">
        <w:rPr>
          <w:rFonts w:ascii="Times New Roman" w:hAnsi="Times New Roman"/>
          <w:sz w:val="24"/>
          <w:lang w:eastAsia="de-DE"/>
        </w:rPr>
        <w:t xml:space="preserve">: </w:t>
      </w:r>
      <w:r w:rsidR="005026CD">
        <w:rPr>
          <w:rFonts w:ascii="Times New Roman" w:hAnsi="Times New Roman"/>
          <w:sz w:val="24"/>
          <w:lang w:eastAsia="de-DE"/>
        </w:rPr>
        <w:t xml:space="preserve">of which: </w:t>
      </w:r>
      <w:r w:rsidR="00C95DD7" w:rsidRPr="00C95DD7">
        <w:rPr>
          <w:rFonts w:ascii="Times New Roman" w:hAnsi="Times New Roman"/>
          <w:sz w:val="24"/>
          <w:lang w:eastAsia="de-DE"/>
        </w:rPr>
        <w:t>secured by commercial real estate</w:t>
      </w:r>
    </w:p>
    <w:p w14:paraId="24FC0DCA" w14:textId="67AEF795" w:rsidR="00065941" w:rsidRPr="002A677E" w:rsidRDefault="00065941" w:rsidP="00ED0DB5">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 xml:space="preserve">(Retail exposures </w:t>
      </w:r>
      <w:r w:rsidR="00C95DD7">
        <w:rPr>
          <w:rFonts w:ascii="Times New Roman" w:hAnsi="Times New Roman"/>
          <w:sz w:val="24"/>
          <w:lang w:eastAsia="de-DE"/>
        </w:rPr>
        <w:t xml:space="preserve">reported </w:t>
      </w:r>
      <w:r w:rsidR="00694312">
        <w:rPr>
          <w:rFonts w:ascii="Times New Roman" w:hAnsi="Times New Roman"/>
          <w:sz w:val="24"/>
          <w:lang w:eastAsia="de-DE"/>
        </w:rPr>
        <w:t>under</w:t>
      </w:r>
      <w:r w:rsidR="00C95DD7">
        <w:rPr>
          <w:rFonts w:ascii="Times New Roman" w:hAnsi="Times New Roman"/>
          <w:sz w:val="24"/>
          <w:lang w:eastAsia="de-DE"/>
        </w:rPr>
        <w:t xml:space="preserve"> 7.5</w:t>
      </w:r>
      <w:r w:rsidR="00F577A5">
        <w:rPr>
          <w:rFonts w:ascii="Times New Roman" w:hAnsi="Times New Roman"/>
          <w:sz w:val="24"/>
          <w:lang w:eastAsia="de-DE"/>
        </w:rPr>
        <w:t xml:space="preserve"> </w:t>
      </w:r>
      <w:r w:rsidR="00A7787F">
        <w:rPr>
          <w:rFonts w:ascii="Times New Roman" w:hAnsi="Times New Roman"/>
          <w:sz w:val="24"/>
          <w:lang w:eastAsia="de-DE"/>
        </w:rPr>
        <w:t xml:space="preserve">which are secured </w:t>
      </w:r>
      <w:r w:rsidR="00D14B6D">
        <w:rPr>
          <w:rFonts w:ascii="Times New Roman" w:hAnsi="Times New Roman"/>
          <w:sz w:val="24"/>
          <w:lang w:eastAsia="de-DE"/>
        </w:rPr>
        <w:t>by commercial real estate as defined in</w:t>
      </w:r>
      <w:r w:rsidRPr="002A677E">
        <w:rPr>
          <w:rFonts w:ascii="Times New Roman" w:hAnsi="Times New Roman"/>
          <w:sz w:val="24"/>
          <w:lang w:eastAsia="de-DE"/>
        </w:rPr>
        <w:t xml:space="preserve"> Article </w:t>
      </w:r>
      <w:r w:rsidR="00045125">
        <w:rPr>
          <w:rFonts w:ascii="Times New Roman" w:hAnsi="Times New Roman"/>
          <w:sz w:val="24"/>
          <w:lang w:eastAsia="de-DE"/>
        </w:rPr>
        <w:t xml:space="preserve">4 (1), point </w:t>
      </w:r>
      <w:r w:rsidRPr="002A677E">
        <w:rPr>
          <w:rFonts w:ascii="Times New Roman" w:hAnsi="Times New Roman"/>
          <w:sz w:val="24"/>
          <w:lang w:eastAsia="de-DE"/>
        </w:rPr>
        <w:t>(</w:t>
      </w:r>
      <w:r w:rsidR="00D14B6D">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086A2905" w14:textId="3A76C7B7" w:rsidR="001C7AB7" w:rsidRPr="002A677E" w:rsidRDefault="00406D8F" w:rsidP="00ED0DB5">
      <w:pPr>
        <w:pStyle w:val="ListParagraph1"/>
        <w:autoSpaceDE w:val="0"/>
        <w:autoSpaceDN w:val="0"/>
        <w:adjustRightInd w:val="0"/>
        <w:spacing w:before="0" w:after="0"/>
        <w:jc w:val="left"/>
        <w:rPr>
          <w:rFonts w:ascii="Times New Roman" w:hAnsi="Times New Roman"/>
          <w:sz w:val="24"/>
          <w:lang w:eastAsia="de-DE"/>
        </w:rPr>
      </w:pPr>
      <w:r>
        <w:rPr>
          <w:rFonts w:ascii="Times New Roman" w:hAnsi="Times New Roman"/>
          <w:sz w:val="24"/>
          <w:lang w:eastAsia="de-DE"/>
        </w:rPr>
        <w:t>7</w:t>
      </w:r>
      <w:r w:rsidR="00125707" w:rsidRPr="002A677E">
        <w:rPr>
          <w:rFonts w:ascii="Times New Roman" w:hAnsi="Times New Roman"/>
          <w:sz w:val="24"/>
          <w:lang w:eastAsia="de-DE"/>
        </w:rPr>
        <w:t>.</w:t>
      </w:r>
      <w:r w:rsidR="00124235">
        <w:rPr>
          <w:rFonts w:ascii="Times New Roman" w:hAnsi="Times New Roman"/>
          <w:sz w:val="24"/>
          <w:lang w:eastAsia="de-DE"/>
        </w:rPr>
        <w:t>6</w:t>
      </w:r>
      <w:r w:rsidR="00125707" w:rsidRPr="002A677E">
        <w:rPr>
          <w:rFonts w:ascii="Times New Roman" w:hAnsi="Times New Roman"/>
          <w:sz w:val="24"/>
          <w:lang w:eastAsia="de-DE"/>
        </w:rPr>
        <w:t>)</w:t>
      </w:r>
      <w:r w:rsidR="00125707" w:rsidRPr="002A677E">
        <w:rPr>
          <w:rFonts w:ascii="Times New Roman" w:hAnsi="Times New Roman"/>
          <w:sz w:val="24"/>
          <w:lang w:eastAsia="de-DE"/>
        </w:rPr>
        <w:tab/>
      </w:r>
      <w:r w:rsidR="001C7AB7" w:rsidRPr="002A677E">
        <w:rPr>
          <w:rFonts w:ascii="Times New Roman" w:hAnsi="Times New Roman"/>
          <w:sz w:val="24"/>
          <w:lang w:eastAsia="de-DE"/>
        </w:rPr>
        <w:t>Retail – Other non – SME</w:t>
      </w:r>
    </w:p>
    <w:p w14:paraId="6BB46999" w14:textId="2EA7C544" w:rsidR="001C7AB7" w:rsidRPr="002A677E" w:rsidRDefault="001C7AB7" w:rsidP="00ED0DB5">
      <w:pPr>
        <w:autoSpaceDE w:val="0"/>
        <w:autoSpaceDN w:val="0"/>
        <w:adjustRightInd w:val="0"/>
        <w:spacing w:before="0" w:after="0"/>
        <w:ind w:left="1428"/>
        <w:jc w:val="left"/>
        <w:rPr>
          <w:rFonts w:ascii="Times New Roman" w:hAnsi="Times New Roman"/>
          <w:sz w:val="24"/>
          <w:lang w:eastAsia="de-DE"/>
        </w:rPr>
      </w:pPr>
      <w:r w:rsidRPr="2BEE1747">
        <w:rPr>
          <w:rFonts w:ascii="Times New Roman" w:hAnsi="Times New Roman"/>
          <w:sz w:val="24"/>
          <w:lang w:eastAsia="de-DE"/>
        </w:rPr>
        <w:t>(</w:t>
      </w:r>
      <w:r w:rsidR="00BD6DB9" w:rsidRPr="2BEE1747">
        <w:rPr>
          <w:rFonts w:ascii="Times New Roman" w:hAnsi="Times New Roman"/>
          <w:sz w:val="24"/>
          <w:lang w:eastAsia="de-DE"/>
        </w:rPr>
        <w:t xml:space="preserve">Retail exposures as referred to in </w:t>
      </w:r>
      <w:r w:rsidR="00887929" w:rsidRPr="2BEE1747">
        <w:rPr>
          <w:rFonts w:ascii="Times New Roman" w:hAnsi="Times New Roman"/>
          <w:sz w:val="24"/>
          <w:lang w:eastAsia="de-DE"/>
        </w:rPr>
        <w:t>Article 147(2)</w:t>
      </w:r>
      <w:r w:rsidR="00B83DDE" w:rsidRPr="2BEE1747">
        <w:rPr>
          <w:rFonts w:ascii="Times New Roman" w:hAnsi="Times New Roman"/>
          <w:sz w:val="24"/>
          <w:lang w:eastAsia="de-DE"/>
        </w:rPr>
        <w:t>, p</w:t>
      </w:r>
      <w:r w:rsidR="00887929" w:rsidRPr="2BEE1747">
        <w:rPr>
          <w:rFonts w:ascii="Times New Roman" w:hAnsi="Times New Roman"/>
          <w:sz w:val="24"/>
          <w:lang w:eastAsia="de-DE"/>
        </w:rPr>
        <w:t>oint (d)</w:t>
      </w:r>
      <w:r w:rsidR="0084685B">
        <w:rPr>
          <w:rFonts w:ascii="Times New Roman" w:hAnsi="Times New Roman"/>
          <w:sz w:val="24"/>
          <w:lang w:eastAsia="de-DE"/>
        </w:rPr>
        <w:t xml:space="preserve"> (iv</w:t>
      </w:r>
      <w:r w:rsidR="00887929" w:rsidRPr="2BEE1747">
        <w:rPr>
          <w:rFonts w:ascii="Times New Roman" w:hAnsi="Times New Roman"/>
          <w:sz w:val="24"/>
          <w:lang w:eastAsia="de-DE"/>
        </w:rPr>
        <w:t>)</w:t>
      </w:r>
      <w:r w:rsidR="00BE1277" w:rsidRPr="2BEE1747">
        <w:rPr>
          <w:rFonts w:ascii="Times New Roman" w:hAnsi="Times New Roman"/>
          <w:sz w:val="24"/>
          <w:lang w:eastAsia="de-DE"/>
        </w:rPr>
        <w:t>,</w:t>
      </w:r>
      <w:r w:rsidR="00887929" w:rsidRPr="2BEE1747">
        <w:rPr>
          <w:rFonts w:ascii="Times New Roman" w:hAnsi="Times New Roman"/>
          <w:sz w:val="24"/>
          <w:lang w:eastAsia="de-DE"/>
        </w:rPr>
        <w:t xml:space="preserve"> </w:t>
      </w:r>
      <w:r w:rsidR="00F34382" w:rsidRPr="2BEE1747">
        <w:rPr>
          <w:rFonts w:ascii="Times New Roman" w:hAnsi="Times New Roman"/>
          <w:sz w:val="24"/>
          <w:lang w:val="en-US"/>
        </w:rPr>
        <w:t>of Regulation (EU) No 575/2013</w:t>
      </w:r>
      <w:r w:rsidRPr="2BEE1747">
        <w:rPr>
          <w:rFonts w:ascii="Times New Roman" w:hAnsi="Times New Roman"/>
          <w:sz w:val="24"/>
          <w:lang w:eastAsia="de-DE"/>
        </w:rPr>
        <w:t xml:space="preserve"> which were not reported under </w:t>
      </w:r>
      <w:r w:rsidR="00406D8F">
        <w:rPr>
          <w:rFonts w:ascii="Times New Roman" w:hAnsi="Times New Roman"/>
          <w:sz w:val="24"/>
          <w:lang w:eastAsia="de-DE"/>
        </w:rPr>
        <w:t>7.</w:t>
      </w:r>
      <w:r w:rsidR="007477E5">
        <w:rPr>
          <w:rFonts w:ascii="Times New Roman" w:hAnsi="Times New Roman"/>
          <w:sz w:val="24"/>
          <w:lang w:eastAsia="de-DE"/>
        </w:rPr>
        <w:t>1</w:t>
      </w:r>
      <w:r w:rsidRPr="2BEE1747">
        <w:rPr>
          <w:rFonts w:ascii="Times New Roman" w:hAnsi="Times New Roman"/>
          <w:sz w:val="24"/>
          <w:lang w:eastAsia="de-DE"/>
        </w:rPr>
        <w:t xml:space="preserve"> </w:t>
      </w:r>
      <w:r w:rsidR="00406D8F">
        <w:rPr>
          <w:rFonts w:ascii="Times New Roman" w:hAnsi="Times New Roman"/>
          <w:sz w:val="24"/>
          <w:lang w:eastAsia="de-DE"/>
        </w:rPr>
        <w:t>to</w:t>
      </w:r>
      <w:r w:rsidRPr="2BEE1747">
        <w:rPr>
          <w:rFonts w:ascii="Times New Roman" w:hAnsi="Times New Roman"/>
          <w:sz w:val="24"/>
          <w:lang w:eastAsia="de-DE"/>
        </w:rPr>
        <w:t xml:space="preserve"> </w:t>
      </w:r>
      <w:r w:rsidR="00406D8F">
        <w:rPr>
          <w:rFonts w:ascii="Times New Roman" w:hAnsi="Times New Roman"/>
          <w:sz w:val="24"/>
          <w:lang w:eastAsia="de-DE"/>
        </w:rPr>
        <w:t>7</w:t>
      </w:r>
      <w:r w:rsidRPr="2BEE1747">
        <w:rPr>
          <w:rFonts w:ascii="Times New Roman" w:hAnsi="Times New Roman"/>
          <w:sz w:val="24"/>
          <w:lang w:eastAsia="de-DE"/>
        </w:rPr>
        <w:t>.</w:t>
      </w:r>
      <w:r w:rsidR="007477E5">
        <w:rPr>
          <w:rFonts w:ascii="Times New Roman" w:hAnsi="Times New Roman"/>
          <w:sz w:val="24"/>
          <w:lang w:eastAsia="de-DE"/>
        </w:rPr>
        <w:t>5</w:t>
      </w:r>
      <w:r w:rsidRPr="2BEE1747">
        <w:rPr>
          <w:rFonts w:ascii="Times New Roman" w:hAnsi="Times New Roman"/>
          <w:sz w:val="24"/>
          <w:lang w:eastAsia="de-DE"/>
        </w:rPr>
        <w:t>).</w:t>
      </w:r>
    </w:p>
    <w:p w14:paraId="1CA3175B" w14:textId="3E13FF7D" w:rsidR="00F577A5" w:rsidRPr="002A677E" w:rsidRDefault="00F577A5" w:rsidP="00ED0DB5">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6.1</w:t>
      </w:r>
      <w:r w:rsidRPr="002A677E">
        <w:rPr>
          <w:rFonts w:ascii="Times New Roman" w:hAnsi="Times New Roman"/>
          <w:sz w:val="24"/>
          <w:lang w:eastAsia="de-DE"/>
        </w:rPr>
        <w:t>)</w:t>
      </w:r>
      <w:r w:rsidRPr="002A677E">
        <w:rPr>
          <w:rFonts w:ascii="Times New Roman" w:hAnsi="Times New Roman"/>
          <w:sz w:val="24"/>
          <w:lang w:eastAsia="de-DE"/>
        </w:rPr>
        <w:tab/>
        <w:t xml:space="preserve">Retail – Other </w:t>
      </w:r>
      <w:r>
        <w:rPr>
          <w:rFonts w:ascii="Times New Roman" w:hAnsi="Times New Roman"/>
          <w:sz w:val="24"/>
          <w:lang w:eastAsia="de-DE"/>
        </w:rPr>
        <w:t>non-</w:t>
      </w:r>
      <w:r w:rsidRPr="002A677E">
        <w:rPr>
          <w:rFonts w:ascii="Times New Roman" w:hAnsi="Times New Roman"/>
          <w:sz w:val="24"/>
          <w:lang w:eastAsia="de-DE"/>
        </w:rPr>
        <w:t>SME</w:t>
      </w:r>
      <w:r>
        <w:rPr>
          <w:rFonts w:ascii="Times New Roman" w:hAnsi="Times New Roman"/>
          <w:sz w:val="24"/>
          <w:lang w:eastAsia="de-DE"/>
        </w:rPr>
        <w:t xml:space="preserve">: </w:t>
      </w:r>
      <w:r w:rsidR="005026CD">
        <w:rPr>
          <w:rFonts w:ascii="Times New Roman" w:hAnsi="Times New Roman"/>
          <w:sz w:val="24"/>
          <w:lang w:eastAsia="de-DE"/>
        </w:rPr>
        <w:t xml:space="preserve">of which: </w:t>
      </w:r>
      <w:r w:rsidRPr="00C95DD7">
        <w:rPr>
          <w:rFonts w:ascii="Times New Roman" w:hAnsi="Times New Roman"/>
          <w:sz w:val="24"/>
          <w:lang w:eastAsia="de-DE"/>
        </w:rPr>
        <w:t>secured by commercial real estate</w:t>
      </w:r>
    </w:p>
    <w:p w14:paraId="3209A68D" w14:textId="15DAEB0F" w:rsidR="2BEE1747" w:rsidRDefault="00F577A5"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(Retail exposures </w:t>
      </w:r>
      <w:r>
        <w:rPr>
          <w:rFonts w:ascii="Times New Roman" w:hAnsi="Times New Roman"/>
          <w:sz w:val="24"/>
          <w:lang w:eastAsia="de-DE"/>
        </w:rPr>
        <w:t>reported under 7.6 which are 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4E1D86DB" w14:textId="5AECA921" w:rsidR="00F577A5" w:rsidRDefault="00F577A5" w:rsidP="00ED0DB5">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lastRenderedPageBreak/>
        <w:t xml:space="preserve">Under </w:t>
      </w:r>
      <w:r>
        <w:rPr>
          <w:rFonts w:ascii="Times New Roman" w:hAnsi="Times New Roman"/>
          <w:sz w:val="24"/>
          <w:lang w:eastAsia="de-DE"/>
        </w:rPr>
        <w:t>7</w:t>
      </w:r>
      <w:r w:rsidR="00890856">
        <w:rPr>
          <w:rFonts w:ascii="Times New Roman" w:hAnsi="Times New Roman"/>
          <w:sz w:val="24"/>
          <w:lang w:eastAsia="de-DE"/>
        </w:rPr>
        <w:t>.5</w:t>
      </w:r>
      <w:r w:rsidRPr="002A677E">
        <w:rPr>
          <w:rFonts w:ascii="Times New Roman" w:hAnsi="Times New Roman"/>
          <w:sz w:val="24"/>
          <w:lang w:eastAsia="de-DE"/>
        </w:rPr>
        <w:t xml:space="preserve">.1 and </w:t>
      </w:r>
      <w:r>
        <w:rPr>
          <w:rFonts w:ascii="Times New Roman" w:hAnsi="Times New Roman"/>
          <w:sz w:val="24"/>
          <w:lang w:eastAsia="de-DE"/>
        </w:rPr>
        <w:t>7</w:t>
      </w:r>
      <w:r w:rsidRPr="002A677E">
        <w:rPr>
          <w:rFonts w:ascii="Times New Roman" w:hAnsi="Times New Roman"/>
          <w:sz w:val="24"/>
          <w:lang w:eastAsia="de-DE"/>
        </w:rPr>
        <w:t>.</w:t>
      </w:r>
      <w:r w:rsidR="00890856">
        <w:rPr>
          <w:rFonts w:ascii="Times New Roman" w:hAnsi="Times New Roman"/>
          <w:sz w:val="24"/>
          <w:lang w:eastAsia="de-DE"/>
        </w:rPr>
        <w:t>6.1</w:t>
      </w:r>
      <w:r w:rsidRPr="002A677E">
        <w:rPr>
          <w:rFonts w:ascii="Times New Roman" w:hAnsi="Times New Roman"/>
          <w:sz w:val="24"/>
          <w:lang w:eastAsia="de-DE"/>
        </w:rPr>
        <w:t xml:space="preserve">, retail exposures secured by </w:t>
      </w:r>
      <w:r w:rsidR="00890856">
        <w:rPr>
          <w:rFonts w:ascii="Times New Roman" w:hAnsi="Times New Roman"/>
          <w:sz w:val="24"/>
          <w:lang w:eastAsia="de-DE"/>
        </w:rPr>
        <w:t>commercia</w:t>
      </w:r>
      <w:r>
        <w:rPr>
          <w:rFonts w:ascii="Times New Roman" w:hAnsi="Times New Roman"/>
          <w:sz w:val="24"/>
          <w:lang w:eastAsia="de-DE"/>
        </w:rPr>
        <w:t>l real estate</w:t>
      </w:r>
      <w:r w:rsidRPr="002A677E">
        <w:rPr>
          <w:rFonts w:ascii="Times New Roman" w:hAnsi="Times New Roman"/>
          <w:sz w:val="24"/>
          <w:lang w:eastAsia="de-DE"/>
        </w:rPr>
        <w:t xml:space="preserve"> shall be considered any retail exposures secured by </w:t>
      </w:r>
      <w:r w:rsidR="00890856">
        <w:rPr>
          <w:rFonts w:ascii="Times New Roman" w:hAnsi="Times New Roman"/>
          <w:sz w:val="24"/>
          <w:lang w:eastAsia="de-DE"/>
        </w:rPr>
        <w:t>commercia</w:t>
      </w:r>
      <w:r>
        <w:rPr>
          <w:rFonts w:ascii="Times New Roman" w:hAnsi="Times New Roman"/>
          <w:sz w:val="24"/>
          <w:lang w:eastAsia="de-DE"/>
        </w:rPr>
        <w:t>l real estate</w:t>
      </w:r>
      <w:r w:rsidRPr="002A677E">
        <w:rPr>
          <w:rFonts w:ascii="Times New Roman" w:hAnsi="Times New Roman"/>
          <w:sz w:val="24"/>
          <w:lang w:eastAsia="de-DE"/>
        </w:rPr>
        <w:t xml:space="preserve"> recognised as collateral, regardless of the ratio of the value of collateral to the exposure or of the purpose of the loan. </w:t>
      </w:r>
    </w:p>
    <w:p w14:paraId="5E23A588" w14:textId="68D77A49" w:rsidR="00C72B5D" w:rsidRPr="002A677E" w:rsidRDefault="00C72B5D" w:rsidP="00ED0DB5">
      <w:pPr>
        <w:pStyle w:val="ListParagraph1"/>
        <w:autoSpaceDE w:val="0"/>
        <w:autoSpaceDN w:val="0"/>
        <w:adjustRightInd w:val="0"/>
        <w:spacing w:before="0" w:after="0"/>
        <w:jc w:val="left"/>
        <w:rPr>
          <w:rFonts w:ascii="Times New Roman" w:hAnsi="Times New Roman"/>
          <w:sz w:val="24"/>
          <w:lang w:eastAsia="de-DE"/>
        </w:rPr>
      </w:pPr>
      <w:r>
        <w:rPr>
          <w:rFonts w:ascii="Times New Roman" w:hAnsi="Times New Roman"/>
          <w:sz w:val="24"/>
          <w:lang w:eastAsia="de-DE"/>
        </w:rPr>
        <w:t>8</w:t>
      </w:r>
      <w:r w:rsidRPr="002A677E">
        <w:rPr>
          <w:rFonts w:ascii="Times New Roman" w:hAnsi="Times New Roman"/>
          <w:sz w:val="24"/>
          <w:lang w:eastAsia="de-DE"/>
        </w:rPr>
        <w:t>)</w:t>
      </w:r>
      <w:r w:rsidRPr="002A677E">
        <w:rPr>
          <w:rFonts w:ascii="Times New Roman" w:hAnsi="Times New Roman"/>
          <w:sz w:val="24"/>
          <w:lang w:eastAsia="de-DE"/>
        </w:rPr>
        <w:tab/>
      </w:r>
      <w:r>
        <w:rPr>
          <w:rFonts w:ascii="Times New Roman" w:hAnsi="Times New Roman"/>
          <w:sz w:val="24"/>
          <w:lang w:eastAsia="de-DE"/>
        </w:rPr>
        <w:t>C</w:t>
      </w:r>
      <w:r w:rsidRPr="2BEE1747">
        <w:rPr>
          <w:rFonts w:ascii="Times New Roman" w:hAnsi="Times New Roman"/>
          <w:sz w:val="24"/>
          <w:lang w:eastAsia="de-DE"/>
        </w:rPr>
        <w:t>ollective investment undertakings (‘CIU’)</w:t>
      </w:r>
    </w:p>
    <w:p w14:paraId="7D3240A2" w14:textId="149C77C7" w:rsidR="00C72B5D" w:rsidRDefault="00C72B5D" w:rsidP="00ED0DB5">
      <w:pPr>
        <w:autoSpaceDE w:val="0"/>
        <w:autoSpaceDN w:val="0"/>
        <w:adjustRightInd w:val="0"/>
        <w:spacing w:before="0" w:after="0"/>
        <w:ind w:left="1416"/>
        <w:jc w:val="left"/>
        <w:rPr>
          <w:rFonts w:ascii="Times New Roman" w:hAnsi="Times New Roman"/>
          <w:sz w:val="24"/>
          <w:lang w:eastAsia="de-DE"/>
        </w:rPr>
      </w:pPr>
      <w:r w:rsidRPr="2BEE1747">
        <w:rPr>
          <w:rFonts w:ascii="Times New Roman" w:hAnsi="Times New Roman"/>
          <w:sz w:val="24"/>
          <w:lang w:eastAsia="de-DE"/>
        </w:rPr>
        <w:t xml:space="preserve">Exposures in the form of units or shares in collective investment undertakings (‘CIU’) as referred to in Article 147(2), point (e1), </w:t>
      </w:r>
      <w:r w:rsidRPr="00FE2F64">
        <w:rPr>
          <w:rFonts w:ascii="Times New Roman" w:hAnsi="Times New Roman"/>
          <w:sz w:val="24"/>
          <w:lang w:eastAsia="de-DE"/>
        </w:rPr>
        <w:t>of Regulation (EU) No 575/2013</w:t>
      </w:r>
    </w:p>
    <w:p w14:paraId="7C188ABC" w14:textId="29822A6B" w:rsidR="6C6184AC" w:rsidDel="00C72B5D" w:rsidRDefault="6C6184AC" w:rsidP="000059B8">
      <w:pPr>
        <w:spacing w:before="0" w:after="0"/>
        <w:jc w:val="left"/>
        <w:rPr>
          <w:rFonts w:ascii="Times New Roman" w:hAnsi="Times New Roman"/>
          <w:sz w:val="24"/>
          <w:lang w:eastAsia="de-DE"/>
        </w:rPr>
      </w:pPr>
    </w:p>
    <w:p w14:paraId="0E2F0384" w14:textId="29388550" w:rsidR="72FDE0D4" w:rsidRDefault="72FDE0D4" w:rsidP="72FDE0D4">
      <w:pPr>
        <w:spacing w:before="0" w:after="0"/>
        <w:ind w:left="709"/>
        <w:jc w:val="left"/>
        <w:rPr>
          <w:rFonts w:ascii="Times New Roman" w:hAnsi="Times New Roman"/>
          <w:sz w:val="24"/>
          <w:lang w:eastAsia="de-DE"/>
        </w:rPr>
      </w:pPr>
    </w:p>
    <w:p w14:paraId="1ED97E58" w14:textId="3A3F58A7" w:rsidR="06CF6B0A" w:rsidRPr="00095D0B" w:rsidRDefault="06CF6B0A" w:rsidP="00B055FF">
      <w:pPr>
        <w:pStyle w:val="InstructionsText"/>
      </w:pPr>
      <w:r w:rsidRPr="007A7FE8">
        <w:t xml:space="preserve">DECISION TREE ON HOW TO ASSIGN THE ORIGINAL EXPOSURE PRE-CONVERSION FACTORS </w:t>
      </w:r>
      <w:r w:rsidR="784ED688" w:rsidRPr="2B211264">
        <w:t xml:space="preserve">OF EXPOSURES TO CORPORATES </w:t>
      </w:r>
      <w:r w:rsidRPr="007A7FE8">
        <w:t xml:space="preserve">TO THE EXPOSURE CLASSES OF THE </w:t>
      </w:r>
      <w:r w:rsidR="00F70C26">
        <w:t xml:space="preserve">FOUNDATION </w:t>
      </w:r>
      <w:r w:rsidR="3760EA66" w:rsidRPr="72FDE0D4">
        <w:t>INTERNAL RATINGS-BASED (</w:t>
      </w:r>
      <w:r w:rsidR="00F70C26">
        <w:t>F-</w:t>
      </w:r>
      <w:r w:rsidR="3760EA66" w:rsidRPr="72FDE0D4">
        <w:t>IRB)</w:t>
      </w:r>
      <w:r w:rsidRPr="007A7FE8">
        <w:t xml:space="preserve"> APPROACH IN ACCORDANCE WITH REGULATION (EU) NO 575/2013</w:t>
      </w:r>
    </w:p>
    <w:p w14:paraId="118B20D3" w14:textId="5BDCB21E" w:rsidR="72FDE0D4" w:rsidRDefault="72FDE0D4" w:rsidP="72FDE0D4">
      <w:pPr>
        <w:spacing w:before="0" w:after="0"/>
        <w:ind w:left="709"/>
        <w:jc w:val="lef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72FDE0D4" w14:paraId="2C539D4C" w14:textId="77777777" w:rsidTr="72FDE0D4">
        <w:trPr>
          <w:trHeight w:val="300"/>
        </w:trPr>
        <w:tc>
          <w:tcPr>
            <w:tcW w:w="3672" w:type="dxa"/>
            <w:shd w:val="clear" w:color="auto" w:fill="auto"/>
          </w:tcPr>
          <w:p w14:paraId="7B2BB51D" w14:textId="77777777" w:rsidR="72FDE0D4" w:rsidRDefault="72FDE0D4" w:rsidP="72FDE0D4">
            <w:pPr>
              <w:spacing w:before="0" w:after="0"/>
              <w:jc w:val="left"/>
              <w:rPr>
                <w:sz w:val="24"/>
              </w:rPr>
            </w:pPr>
            <w:r w:rsidRPr="72FDE0D4">
              <w:rPr>
                <w:rFonts w:ascii="Times New Roman" w:hAnsi="Times New Roman"/>
                <w:sz w:val="24"/>
              </w:rPr>
              <w:t>Original exposure pre-conversion factors</w:t>
            </w:r>
          </w:p>
        </w:tc>
        <w:tc>
          <w:tcPr>
            <w:tcW w:w="1393" w:type="dxa"/>
            <w:shd w:val="clear" w:color="auto" w:fill="auto"/>
          </w:tcPr>
          <w:p w14:paraId="4A3EBB5A" w14:textId="77777777" w:rsidR="72FDE0D4" w:rsidRDefault="72FDE0D4" w:rsidP="00B055FF">
            <w:pPr>
              <w:pStyle w:val="InstructionsText"/>
            </w:pPr>
          </w:p>
        </w:tc>
        <w:tc>
          <w:tcPr>
            <w:tcW w:w="3964" w:type="dxa"/>
            <w:shd w:val="clear" w:color="auto" w:fill="auto"/>
          </w:tcPr>
          <w:p w14:paraId="0A93EADC" w14:textId="77777777" w:rsidR="72FDE0D4" w:rsidRDefault="72FDE0D4" w:rsidP="00DA09CD">
            <w:pPr>
              <w:pStyle w:val="InstructionsText"/>
            </w:pPr>
          </w:p>
        </w:tc>
      </w:tr>
      <w:tr w:rsidR="72FDE0D4" w14:paraId="1ED74CBD" w14:textId="77777777" w:rsidTr="72FDE0D4">
        <w:trPr>
          <w:trHeight w:val="300"/>
        </w:trPr>
        <w:tc>
          <w:tcPr>
            <w:tcW w:w="3672" w:type="dxa"/>
            <w:shd w:val="clear" w:color="auto" w:fill="auto"/>
          </w:tcPr>
          <w:p w14:paraId="0EE36564" w14:textId="7C3E4090" w:rsidR="72FDE0D4" w:rsidRDefault="72FDE0D4" w:rsidP="00B055FF">
            <w:pPr>
              <w:pStyle w:val="InstructionsText"/>
            </w:pPr>
            <w:r>
              <w:t xml:space="preserve">Does it fit for being assigned to the exposure class of </w:t>
            </w:r>
            <w:r w:rsidR="2CBEDA69" w:rsidRPr="72FDE0D4">
              <w:t xml:space="preserve">Article 147(2), point (c) (ii) </w:t>
            </w:r>
            <w:r w:rsidR="2CBEDA69" w:rsidRPr="72FDE0D4">
              <w:rPr>
                <w:lang w:val="en-US"/>
              </w:rPr>
              <w:t>of Regulation (EU) No 575/2013</w:t>
            </w:r>
            <w:r>
              <w:t>?</w:t>
            </w:r>
          </w:p>
        </w:tc>
        <w:tc>
          <w:tcPr>
            <w:tcW w:w="1393" w:type="dxa"/>
            <w:shd w:val="clear" w:color="auto" w:fill="auto"/>
          </w:tcPr>
          <w:p w14:paraId="6779047E" w14:textId="77777777" w:rsidR="72FDE0D4" w:rsidRDefault="72FDE0D4" w:rsidP="00DA09CD">
            <w:pPr>
              <w:pStyle w:val="InstructionsText"/>
            </w:pPr>
            <w:r>
              <w:t xml:space="preserve">YES </w:t>
            </w:r>
            <w:r>
              <w:rPr>
                <w:noProof/>
              </w:rPr>
              <w:drawing>
                <wp:inline distT="0" distB="0" distL="0" distR="0" wp14:anchorId="6C6DDCD1" wp14:editId="71727690">
                  <wp:extent cx="371475" cy="276225"/>
                  <wp:effectExtent l="0" t="0" r="9525" b="9525"/>
                  <wp:docPr id="337586039" name="Picture 337586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6B689185" w14:textId="77777777" w:rsidR="72FDE0D4" w:rsidRDefault="72FDE0D4" w:rsidP="00DA09CD">
            <w:pPr>
              <w:pStyle w:val="InstructionsText"/>
            </w:pPr>
          </w:p>
        </w:tc>
        <w:tc>
          <w:tcPr>
            <w:tcW w:w="3964" w:type="dxa"/>
            <w:shd w:val="clear" w:color="auto" w:fill="auto"/>
          </w:tcPr>
          <w:p w14:paraId="6FDB608D" w14:textId="4EECBB46" w:rsidR="72FDE0D4" w:rsidRDefault="72FDE0D4" w:rsidP="00DA09CD">
            <w:pPr>
              <w:pStyle w:val="InstructionsText"/>
            </w:pPr>
            <w:r>
              <w:t>S</w:t>
            </w:r>
            <w:r w:rsidR="76E57FC5">
              <w:t>pecialised lending</w:t>
            </w:r>
          </w:p>
        </w:tc>
      </w:tr>
      <w:tr w:rsidR="72FDE0D4" w14:paraId="3D7778B7" w14:textId="77777777" w:rsidTr="72FDE0D4">
        <w:trPr>
          <w:trHeight w:val="300"/>
        </w:trPr>
        <w:tc>
          <w:tcPr>
            <w:tcW w:w="3672" w:type="dxa"/>
            <w:shd w:val="clear" w:color="auto" w:fill="auto"/>
          </w:tcPr>
          <w:p w14:paraId="605F8C42" w14:textId="77777777" w:rsidR="72FDE0D4" w:rsidRDefault="72FDE0D4" w:rsidP="00B055FF">
            <w:pPr>
              <w:pStyle w:val="InstructionsText"/>
            </w:pPr>
            <w:r>
              <w:t xml:space="preserve">NO </w:t>
            </w:r>
            <w:r>
              <w:rPr>
                <w:noProof/>
              </w:rPr>
              <w:drawing>
                <wp:inline distT="0" distB="0" distL="0" distR="0" wp14:anchorId="620F1486" wp14:editId="7C3CE813">
                  <wp:extent cx="819150" cy="352425"/>
                  <wp:effectExtent l="0" t="0" r="0" b="9525"/>
                  <wp:docPr id="120515935" name="Picture 120515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31506F5D" w14:textId="77777777" w:rsidR="72FDE0D4" w:rsidRDefault="72FDE0D4" w:rsidP="00DA09CD">
            <w:pPr>
              <w:pStyle w:val="InstructionsText"/>
            </w:pPr>
          </w:p>
        </w:tc>
        <w:tc>
          <w:tcPr>
            <w:tcW w:w="1393" w:type="dxa"/>
            <w:shd w:val="clear" w:color="auto" w:fill="auto"/>
          </w:tcPr>
          <w:p w14:paraId="3F87BECA" w14:textId="77777777" w:rsidR="72FDE0D4" w:rsidRDefault="72FDE0D4" w:rsidP="00DA09CD">
            <w:pPr>
              <w:pStyle w:val="InstructionsText"/>
            </w:pPr>
          </w:p>
        </w:tc>
        <w:tc>
          <w:tcPr>
            <w:tcW w:w="3964" w:type="dxa"/>
            <w:shd w:val="clear" w:color="auto" w:fill="auto"/>
          </w:tcPr>
          <w:p w14:paraId="55818A3B" w14:textId="77777777" w:rsidR="72FDE0D4" w:rsidRDefault="72FDE0D4" w:rsidP="00DA09CD">
            <w:pPr>
              <w:pStyle w:val="InstructionsText"/>
            </w:pPr>
          </w:p>
        </w:tc>
      </w:tr>
      <w:tr w:rsidR="72FDE0D4" w14:paraId="0AD57B02" w14:textId="77777777" w:rsidTr="72FDE0D4">
        <w:trPr>
          <w:trHeight w:val="300"/>
        </w:trPr>
        <w:tc>
          <w:tcPr>
            <w:tcW w:w="3672" w:type="dxa"/>
            <w:shd w:val="clear" w:color="auto" w:fill="auto"/>
          </w:tcPr>
          <w:p w14:paraId="5AF1D279" w14:textId="10412D69" w:rsidR="007B1268" w:rsidRDefault="007B1268" w:rsidP="00B055FF">
            <w:pPr>
              <w:pStyle w:val="InstructionsText"/>
            </w:pPr>
            <w:r>
              <w:t xml:space="preserve">Does it fit for being assigned to the exposure class of </w:t>
            </w:r>
            <w:r w:rsidRPr="72FDE0D4">
              <w:t xml:space="preserve">Article 147(2), point (c) (iii) </w:t>
            </w:r>
            <w:r w:rsidRPr="72FDE0D4">
              <w:rPr>
                <w:lang w:val="en-US"/>
              </w:rPr>
              <w:t>of Regulation (EU) No 575/2013</w:t>
            </w:r>
            <w:r>
              <w:t>?</w:t>
            </w:r>
          </w:p>
        </w:tc>
        <w:tc>
          <w:tcPr>
            <w:tcW w:w="1393" w:type="dxa"/>
            <w:shd w:val="clear" w:color="auto" w:fill="auto"/>
          </w:tcPr>
          <w:p w14:paraId="6B43DC5E" w14:textId="77777777" w:rsidR="72FDE0D4" w:rsidRDefault="72FDE0D4" w:rsidP="00DA09CD">
            <w:pPr>
              <w:pStyle w:val="InstructionsText"/>
            </w:pPr>
            <w:r>
              <w:t xml:space="preserve">YES </w:t>
            </w:r>
            <w:r>
              <w:rPr>
                <w:noProof/>
              </w:rPr>
              <w:drawing>
                <wp:inline distT="0" distB="0" distL="0" distR="0" wp14:anchorId="729E2A31" wp14:editId="576DBA4E">
                  <wp:extent cx="371475" cy="276225"/>
                  <wp:effectExtent l="0" t="0" r="9525" b="9525"/>
                  <wp:docPr id="58067539" name="Picture 58067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2AAE71C4" w14:textId="77777777" w:rsidR="72FDE0D4" w:rsidRDefault="72FDE0D4" w:rsidP="00DA09CD">
            <w:pPr>
              <w:pStyle w:val="InstructionsText"/>
            </w:pPr>
          </w:p>
          <w:p w14:paraId="3BAE7DB4" w14:textId="77777777" w:rsidR="72FDE0D4" w:rsidRDefault="72FDE0D4" w:rsidP="00DA09CD">
            <w:pPr>
              <w:pStyle w:val="InstructionsText"/>
            </w:pPr>
          </w:p>
        </w:tc>
        <w:tc>
          <w:tcPr>
            <w:tcW w:w="3964" w:type="dxa"/>
            <w:shd w:val="clear" w:color="auto" w:fill="auto"/>
          </w:tcPr>
          <w:p w14:paraId="7B7BAC03" w14:textId="7FF7F3DC" w:rsidR="1A2FFEDD" w:rsidRDefault="00E92D51" w:rsidP="007A7FE8">
            <w:r>
              <w:t>Purchased receivables</w:t>
            </w:r>
          </w:p>
        </w:tc>
      </w:tr>
      <w:tr w:rsidR="72FDE0D4" w14:paraId="748577DD" w14:textId="77777777" w:rsidTr="72FDE0D4">
        <w:trPr>
          <w:trHeight w:val="300"/>
        </w:trPr>
        <w:tc>
          <w:tcPr>
            <w:tcW w:w="3672" w:type="dxa"/>
            <w:shd w:val="clear" w:color="auto" w:fill="auto"/>
          </w:tcPr>
          <w:p w14:paraId="3574997E" w14:textId="77777777" w:rsidR="72FDE0D4" w:rsidRDefault="72FDE0D4" w:rsidP="00B055FF">
            <w:pPr>
              <w:pStyle w:val="InstructionsText"/>
            </w:pPr>
            <w:r>
              <w:t xml:space="preserve">NO </w:t>
            </w:r>
            <w:r>
              <w:rPr>
                <w:noProof/>
              </w:rPr>
              <w:drawing>
                <wp:inline distT="0" distB="0" distL="0" distR="0" wp14:anchorId="12C536C3" wp14:editId="3C444ADC">
                  <wp:extent cx="819150" cy="352425"/>
                  <wp:effectExtent l="0" t="0" r="0" b="9525"/>
                  <wp:docPr id="76329766" name="Picture 76329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34111DBD" w14:textId="77777777" w:rsidR="72FDE0D4" w:rsidRDefault="72FDE0D4" w:rsidP="00DA09CD">
            <w:pPr>
              <w:pStyle w:val="InstructionsText"/>
            </w:pPr>
          </w:p>
        </w:tc>
        <w:tc>
          <w:tcPr>
            <w:tcW w:w="1393" w:type="dxa"/>
            <w:shd w:val="clear" w:color="auto" w:fill="auto"/>
          </w:tcPr>
          <w:p w14:paraId="38B41EFD" w14:textId="77777777" w:rsidR="72FDE0D4" w:rsidRDefault="72FDE0D4" w:rsidP="00DA09CD">
            <w:pPr>
              <w:pStyle w:val="InstructionsText"/>
            </w:pPr>
          </w:p>
        </w:tc>
        <w:tc>
          <w:tcPr>
            <w:tcW w:w="3964" w:type="dxa"/>
            <w:shd w:val="clear" w:color="auto" w:fill="auto"/>
          </w:tcPr>
          <w:p w14:paraId="7326646F" w14:textId="77777777" w:rsidR="72FDE0D4" w:rsidRDefault="72FDE0D4" w:rsidP="00DA09CD">
            <w:pPr>
              <w:pStyle w:val="InstructionsText"/>
            </w:pPr>
          </w:p>
        </w:tc>
      </w:tr>
      <w:tr w:rsidR="72FDE0D4" w14:paraId="443F382F" w14:textId="77777777" w:rsidTr="72FDE0D4">
        <w:trPr>
          <w:trHeight w:val="300"/>
        </w:trPr>
        <w:tc>
          <w:tcPr>
            <w:tcW w:w="3672" w:type="dxa"/>
            <w:shd w:val="clear" w:color="auto" w:fill="auto"/>
          </w:tcPr>
          <w:p w14:paraId="3DD6EC22" w14:textId="3DCB5174" w:rsidR="0078612F" w:rsidRDefault="0078612F" w:rsidP="00B055FF">
            <w:pPr>
              <w:pStyle w:val="InstructionsText"/>
            </w:pPr>
            <w:r>
              <w:t xml:space="preserve">Does it fit for being assigned to the exposure class of </w:t>
            </w:r>
            <w:r w:rsidRPr="72FDE0D4">
              <w:t xml:space="preserve">Article 147(2), point (c) (i) </w:t>
            </w:r>
            <w:r w:rsidRPr="72FDE0D4">
              <w:rPr>
                <w:lang w:val="en-US"/>
              </w:rPr>
              <w:t>of Regulation (EU) No 575/2013</w:t>
            </w:r>
            <w:r>
              <w:rPr>
                <w:lang w:val="en-US"/>
              </w:rPr>
              <w:t xml:space="preserve"> </w:t>
            </w:r>
            <w:r w:rsidR="00672AB9">
              <w:rPr>
                <w:lang w:val="en-US"/>
              </w:rPr>
              <w:t>that meet the definition</w:t>
            </w:r>
            <w:r w:rsidRPr="2277E8EF">
              <w:t xml:space="preserve"> in Article 142 (1), point (5a) </w:t>
            </w:r>
            <w:r w:rsidRPr="2277E8EF">
              <w:rPr>
                <w:lang w:val="en-US"/>
              </w:rPr>
              <w:t xml:space="preserve">of </w:t>
            </w:r>
            <w:r>
              <w:rPr>
                <w:lang w:val="en-US"/>
              </w:rPr>
              <w:t>the same regulation</w:t>
            </w:r>
            <w:r w:rsidRPr="72FDE0D4">
              <w:rPr>
                <w:lang w:val="en-US"/>
              </w:rPr>
              <w:t>?</w:t>
            </w:r>
          </w:p>
        </w:tc>
        <w:tc>
          <w:tcPr>
            <w:tcW w:w="1393" w:type="dxa"/>
            <w:shd w:val="clear" w:color="auto" w:fill="auto"/>
          </w:tcPr>
          <w:p w14:paraId="6D926C12" w14:textId="77777777" w:rsidR="72FDE0D4" w:rsidRDefault="72FDE0D4" w:rsidP="00DA09CD">
            <w:pPr>
              <w:pStyle w:val="InstructionsText"/>
            </w:pPr>
            <w:r>
              <w:t xml:space="preserve">YES </w:t>
            </w:r>
            <w:r>
              <w:rPr>
                <w:noProof/>
              </w:rPr>
              <w:drawing>
                <wp:inline distT="0" distB="0" distL="0" distR="0" wp14:anchorId="778F6584" wp14:editId="7A322D32">
                  <wp:extent cx="371475" cy="276225"/>
                  <wp:effectExtent l="0" t="0" r="9525" b="9525"/>
                  <wp:docPr id="259053586" name="Picture 25905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5C2AFD39" w14:textId="77777777" w:rsidR="72FDE0D4" w:rsidRDefault="72FDE0D4" w:rsidP="00DA09CD">
            <w:pPr>
              <w:pStyle w:val="InstructionsText"/>
            </w:pPr>
          </w:p>
        </w:tc>
        <w:tc>
          <w:tcPr>
            <w:tcW w:w="3964" w:type="dxa"/>
            <w:shd w:val="clear" w:color="auto" w:fill="auto"/>
          </w:tcPr>
          <w:p w14:paraId="3B2F4F7B" w14:textId="681D40E5" w:rsidR="371EB2D4" w:rsidRDefault="008A5A9B" w:rsidP="00DA09CD">
            <w:pPr>
              <w:pStyle w:val="InstructionsText"/>
            </w:pPr>
            <w:r>
              <w:t>Large corporates</w:t>
            </w:r>
          </w:p>
        </w:tc>
      </w:tr>
      <w:tr w:rsidR="72FDE0D4" w14:paraId="37CE4D05" w14:textId="77777777" w:rsidTr="72FDE0D4">
        <w:trPr>
          <w:trHeight w:val="300"/>
        </w:trPr>
        <w:tc>
          <w:tcPr>
            <w:tcW w:w="3672" w:type="dxa"/>
            <w:shd w:val="clear" w:color="auto" w:fill="auto"/>
          </w:tcPr>
          <w:p w14:paraId="4AF6B6C7" w14:textId="77777777" w:rsidR="72FDE0D4" w:rsidRDefault="72FDE0D4" w:rsidP="00B055FF">
            <w:pPr>
              <w:pStyle w:val="InstructionsText"/>
            </w:pPr>
            <w:r>
              <w:t xml:space="preserve">NO </w:t>
            </w:r>
            <w:r>
              <w:rPr>
                <w:noProof/>
              </w:rPr>
              <w:drawing>
                <wp:inline distT="0" distB="0" distL="0" distR="0" wp14:anchorId="0DB4BC64" wp14:editId="1D9A45D2">
                  <wp:extent cx="819150" cy="352425"/>
                  <wp:effectExtent l="0" t="0" r="0" b="9525"/>
                  <wp:docPr id="384263726" name="Picture 384263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6EB8A691" w14:textId="77777777" w:rsidR="72FDE0D4" w:rsidRDefault="72FDE0D4" w:rsidP="00DA09CD">
            <w:pPr>
              <w:pStyle w:val="InstructionsText"/>
            </w:pPr>
          </w:p>
        </w:tc>
        <w:tc>
          <w:tcPr>
            <w:tcW w:w="1393" w:type="dxa"/>
            <w:shd w:val="clear" w:color="auto" w:fill="auto"/>
          </w:tcPr>
          <w:p w14:paraId="11D92013" w14:textId="77777777" w:rsidR="72FDE0D4" w:rsidRDefault="72FDE0D4" w:rsidP="00DA09CD">
            <w:pPr>
              <w:pStyle w:val="InstructionsText"/>
            </w:pPr>
          </w:p>
        </w:tc>
        <w:tc>
          <w:tcPr>
            <w:tcW w:w="3964" w:type="dxa"/>
            <w:shd w:val="clear" w:color="auto" w:fill="auto"/>
          </w:tcPr>
          <w:p w14:paraId="6645ACF8" w14:textId="77777777" w:rsidR="72FDE0D4" w:rsidRDefault="72FDE0D4" w:rsidP="00DA09CD">
            <w:pPr>
              <w:pStyle w:val="InstructionsText"/>
            </w:pPr>
          </w:p>
        </w:tc>
      </w:tr>
      <w:tr w:rsidR="72FDE0D4" w14:paraId="52D0B95E" w14:textId="77777777" w:rsidTr="72FDE0D4">
        <w:trPr>
          <w:trHeight w:val="300"/>
        </w:trPr>
        <w:tc>
          <w:tcPr>
            <w:tcW w:w="3672" w:type="dxa"/>
            <w:shd w:val="clear" w:color="auto" w:fill="auto"/>
          </w:tcPr>
          <w:p w14:paraId="173BA9BD" w14:textId="4D9D6568" w:rsidR="72FDE0D4" w:rsidRDefault="72FDE0D4" w:rsidP="00B055FF">
            <w:pPr>
              <w:pStyle w:val="InstructionsText"/>
            </w:pPr>
            <w:r>
              <w:lastRenderedPageBreak/>
              <w:t xml:space="preserve">Does it fit for being assigned to the exposure class of </w:t>
            </w:r>
            <w:r w:rsidR="4BD79EC7" w:rsidRPr="72FDE0D4">
              <w:t>Article 147(2), point (c)</w:t>
            </w:r>
            <w:r w:rsidR="007408E2">
              <w:t xml:space="preserve"> (i</w:t>
            </w:r>
            <w:r w:rsidR="4BD79EC7" w:rsidRPr="72FDE0D4">
              <w:t xml:space="preserve">), </w:t>
            </w:r>
            <w:r w:rsidR="4BD79EC7" w:rsidRPr="72FDE0D4">
              <w:rPr>
                <w:lang w:val="en-US"/>
              </w:rPr>
              <w:t>of Regulation (EU) No 575/2013</w:t>
            </w:r>
            <w:r w:rsidR="007408E2">
              <w:rPr>
                <w:lang w:val="en-US"/>
              </w:rPr>
              <w:t xml:space="preserve">, </w:t>
            </w:r>
            <w:r w:rsidR="00E6576C">
              <w:rPr>
                <w:lang w:val="en-US"/>
              </w:rPr>
              <w:t>that meets the definition</w:t>
            </w:r>
            <w:r w:rsidR="007408E2">
              <w:rPr>
                <w:lang w:val="en-US"/>
              </w:rPr>
              <w:t xml:space="preserve"> </w:t>
            </w:r>
            <w:r w:rsidR="007408E2" w:rsidRPr="2277E8EF">
              <w:t xml:space="preserve">in Article 5 (8) </w:t>
            </w:r>
            <w:r w:rsidR="007408E2" w:rsidRPr="007A7FE8">
              <w:rPr>
                <w:lang w:val="en-US"/>
              </w:rPr>
              <w:t xml:space="preserve">of </w:t>
            </w:r>
            <w:r w:rsidR="004E2F7C">
              <w:rPr>
                <w:lang w:val="en-US"/>
              </w:rPr>
              <w:t>the same regulation</w:t>
            </w:r>
            <w:r>
              <w:t>?</w:t>
            </w:r>
          </w:p>
        </w:tc>
        <w:tc>
          <w:tcPr>
            <w:tcW w:w="1393" w:type="dxa"/>
            <w:shd w:val="clear" w:color="auto" w:fill="auto"/>
          </w:tcPr>
          <w:p w14:paraId="6FCCC736" w14:textId="77777777" w:rsidR="72FDE0D4" w:rsidRDefault="72FDE0D4" w:rsidP="00DA09CD">
            <w:pPr>
              <w:pStyle w:val="InstructionsText"/>
            </w:pPr>
            <w:r>
              <w:t xml:space="preserve">YES </w:t>
            </w:r>
            <w:r>
              <w:rPr>
                <w:noProof/>
              </w:rPr>
              <w:drawing>
                <wp:inline distT="0" distB="0" distL="0" distR="0" wp14:anchorId="41905CB3" wp14:editId="57AF42AD">
                  <wp:extent cx="371475" cy="276225"/>
                  <wp:effectExtent l="0" t="0" r="9525" b="9525"/>
                  <wp:docPr id="1678133247" name="Picture 1678133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0194012E" w14:textId="77777777" w:rsidR="72FDE0D4" w:rsidRDefault="72FDE0D4" w:rsidP="00DA09CD">
            <w:pPr>
              <w:pStyle w:val="InstructionsText"/>
            </w:pPr>
          </w:p>
        </w:tc>
        <w:tc>
          <w:tcPr>
            <w:tcW w:w="3964" w:type="dxa"/>
            <w:shd w:val="clear" w:color="auto" w:fill="auto"/>
          </w:tcPr>
          <w:p w14:paraId="0B861A6B" w14:textId="4CA44250" w:rsidR="162D6F42" w:rsidRDefault="162D6F42" w:rsidP="007A7FE8">
            <w:r>
              <w:t>SMEs</w:t>
            </w:r>
          </w:p>
        </w:tc>
      </w:tr>
      <w:tr w:rsidR="72FDE0D4" w14:paraId="3394133E" w14:textId="77777777" w:rsidTr="72FDE0D4">
        <w:trPr>
          <w:trHeight w:val="300"/>
        </w:trPr>
        <w:tc>
          <w:tcPr>
            <w:tcW w:w="3672" w:type="dxa"/>
            <w:shd w:val="clear" w:color="auto" w:fill="auto"/>
          </w:tcPr>
          <w:p w14:paraId="2377F90A" w14:textId="77777777" w:rsidR="72FDE0D4" w:rsidRDefault="72FDE0D4" w:rsidP="00B055FF">
            <w:pPr>
              <w:pStyle w:val="InstructionsText"/>
            </w:pPr>
            <w:r>
              <w:t xml:space="preserve">NO </w:t>
            </w:r>
            <w:r>
              <w:rPr>
                <w:noProof/>
              </w:rPr>
              <w:drawing>
                <wp:inline distT="0" distB="0" distL="0" distR="0" wp14:anchorId="4ECC1048" wp14:editId="6DC9F9D6">
                  <wp:extent cx="819150" cy="352425"/>
                  <wp:effectExtent l="0" t="0" r="0" b="9525"/>
                  <wp:docPr id="1023942240" name="Picture 102394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14640EF8" w14:textId="77777777" w:rsidR="72FDE0D4" w:rsidRDefault="72FDE0D4" w:rsidP="00DA09CD">
            <w:pPr>
              <w:pStyle w:val="InstructionsText"/>
            </w:pPr>
          </w:p>
        </w:tc>
        <w:tc>
          <w:tcPr>
            <w:tcW w:w="1393" w:type="dxa"/>
            <w:shd w:val="clear" w:color="auto" w:fill="auto"/>
          </w:tcPr>
          <w:p w14:paraId="2BBB7B7A" w14:textId="77777777" w:rsidR="72FDE0D4" w:rsidRDefault="72FDE0D4" w:rsidP="00DA09CD">
            <w:pPr>
              <w:pStyle w:val="InstructionsText"/>
            </w:pPr>
          </w:p>
        </w:tc>
        <w:tc>
          <w:tcPr>
            <w:tcW w:w="3964" w:type="dxa"/>
            <w:shd w:val="clear" w:color="auto" w:fill="auto"/>
          </w:tcPr>
          <w:p w14:paraId="083E8B8F" w14:textId="77777777" w:rsidR="72FDE0D4" w:rsidRDefault="72FDE0D4" w:rsidP="00DA09CD">
            <w:pPr>
              <w:pStyle w:val="InstructionsText"/>
            </w:pPr>
          </w:p>
        </w:tc>
      </w:tr>
      <w:tr w:rsidR="72FDE0D4" w14:paraId="7DC98AA9" w14:textId="77777777" w:rsidTr="72FDE0D4">
        <w:trPr>
          <w:trHeight w:val="300"/>
        </w:trPr>
        <w:tc>
          <w:tcPr>
            <w:tcW w:w="3672" w:type="dxa"/>
            <w:shd w:val="clear" w:color="auto" w:fill="auto"/>
          </w:tcPr>
          <w:p w14:paraId="6243D1AB" w14:textId="10E8327C" w:rsidR="72FDE0D4" w:rsidRDefault="00475F76" w:rsidP="00B055FF">
            <w:pPr>
              <w:pStyle w:val="InstructionsText"/>
            </w:pPr>
            <w:r>
              <w:t>Other</w:t>
            </w:r>
          </w:p>
        </w:tc>
        <w:tc>
          <w:tcPr>
            <w:tcW w:w="1393" w:type="dxa"/>
            <w:shd w:val="clear" w:color="auto" w:fill="auto"/>
          </w:tcPr>
          <w:p w14:paraId="3746A2CC" w14:textId="77777777" w:rsidR="72FDE0D4" w:rsidRDefault="72FDE0D4" w:rsidP="00DA09CD">
            <w:pPr>
              <w:pStyle w:val="InstructionsText"/>
            </w:pPr>
          </w:p>
        </w:tc>
        <w:tc>
          <w:tcPr>
            <w:tcW w:w="3964" w:type="dxa"/>
            <w:shd w:val="clear" w:color="auto" w:fill="auto"/>
          </w:tcPr>
          <w:p w14:paraId="07E1E6FA" w14:textId="6DFD2644" w:rsidR="5B898051" w:rsidRDefault="5B898051" w:rsidP="007A7FE8"/>
        </w:tc>
      </w:tr>
    </w:tbl>
    <w:p w14:paraId="734D9438" w14:textId="50194BF4" w:rsidR="00163FFF" w:rsidRPr="00095D0B" w:rsidRDefault="00163FFF" w:rsidP="00B055FF">
      <w:pPr>
        <w:pStyle w:val="InstructionsText"/>
      </w:pPr>
      <w:r w:rsidRPr="007A7FE8">
        <w:t xml:space="preserve">DECISION TREE ON HOW TO ASSIGN THE ORIGINAL EXPOSURE PRE-CONVERSION FACTORS </w:t>
      </w:r>
      <w:r w:rsidRPr="2B211264">
        <w:t xml:space="preserve">OF EXPOSURES TO CORPORATES </w:t>
      </w:r>
      <w:r w:rsidRPr="007A7FE8">
        <w:t xml:space="preserve">TO THE EXPOSURE CLASSES OF THE </w:t>
      </w:r>
      <w:r>
        <w:t xml:space="preserve">ADVANCED </w:t>
      </w:r>
      <w:r w:rsidRPr="72FDE0D4">
        <w:t>INTERNAL RATINGS-BASED (</w:t>
      </w:r>
      <w:r>
        <w:t>A-</w:t>
      </w:r>
      <w:r w:rsidRPr="72FDE0D4">
        <w:t>IRB)</w:t>
      </w:r>
      <w:r w:rsidRPr="007A7FE8">
        <w:t xml:space="preserve"> APPROACH IN ACCORDANCE WITH REGULATION (EU) NO 575/2013</w:t>
      </w:r>
    </w:p>
    <w:p w14:paraId="7603AAB5" w14:textId="77777777" w:rsidR="00163FFF" w:rsidRDefault="00163FFF" w:rsidP="000059B8">
      <w:pPr>
        <w:spacing w:before="0" w:after="0"/>
        <w:jc w:val="left"/>
        <w:rPr>
          <w:rFonts w:ascii="Times New Roman" w:hAnsi="Times New Roman"/>
          <w:sz w:val="24"/>
          <w:lang w:eastAsia="de-DE"/>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F002F1" w14:paraId="6A74826D" w14:textId="77777777">
        <w:trPr>
          <w:trHeight w:val="300"/>
        </w:trPr>
        <w:tc>
          <w:tcPr>
            <w:tcW w:w="3672" w:type="dxa"/>
            <w:shd w:val="clear" w:color="auto" w:fill="auto"/>
          </w:tcPr>
          <w:p w14:paraId="1C3FF99E" w14:textId="77777777" w:rsidR="00F002F1" w:rsidRDefault="00F002F1">
            <w:pPr>
              <w:spacing w:before="0" w:after="0"/>
              <w:jc w:val="left"/>
              <w:rPr>
                <w:sz w:val="24"/>
              </w:rPr>
            </w:pPr>
            <w:r w:rsidRPr="72FDE0D4">
              <w:rPr>
                <w:rFonts w:ascii="Times New Roman" w:hAnsi="Times New Roman"/>
                <w:sz w:val="24"/>
              </w:rPr>
              <w:t>Original exposure pre-conversion factors</w:t>
            </w:r>
          </w:p>
        </w:tc>
        <w:tc>
          <w:tcPr>
            <w:tcW w:w="1393" w:type="dxa"/>
            <w:shd w:val="clear" w:color="auto" w:fill="auto"/>
          </w:tcPr>
          <w:p w14:paraId="5D57E47C" w14:textId="77777777" w:rsidR="00F002F1" w:rsidRDefault="00F002F1" w:rsidP="00B055FF">
            <w:pPr>
              <w:pStyle w:val="InstructionsText"/>
            </w:pPr>
          </w:p>
        </w:tc>
        <w:tc>
          <w:tcPr>
            <w:tcW w:w="3964" w:type="dxa"/>
            <w:shd w:val="clear" w:color="auto" w:fill="auto"/>
          </w:tcPr>
          <w:p w14:paraId="0FE54AD5" w14:textId="77777777" w:rsidR="00F002F1" w:rsidRDefault="00F002F1" w:rsidP="00DA09CD">
            <w:pPr>
              <w:pStyle w:val="InstructionsText"/>
            </w:pPr>
          </w:p>
        </w:tc>
      </w:tr>
      <w:tr w:rsidR="00F002F1" w14:paraId="1A1590CA" w14:textId="77777777">
        <w:trPr>
          <w:trHeight w:val="300"/>
        </w:trPr>
        <w:tc>
          <w:tcPr>
            <w:tcW w:w="3672" w:type="dxa"/>
            <w:shd w:val="clear" w:color="auto" w:fill="auto"/>
          </w:tcPr>
          <w:p w14:paraId="12BC8085" w14:textId="77777777" w:rsidR="00F002F1" w:rsidRDefault="00F002F1" w:rsidP="00B055FF">
            <w:pPr>
              <w:pStyle w:val="InstructionsText"/>
            </w:pPr>
            <w:r>
              <w:t xml:space="preserve">Does it fit for being assigned to the exposure class of </w:t>
            </w:r>
            <w:r w:rsidRPr="72FDE0D4">
              <w:t xml:space="preserve">Article 147(2), point (c) (ii) </w:t>
            </w:r>
            <w:r w:rsidRPr="72FDE0D4">
              <w:rPr>
                <w:lang w:val="en-US"/>
              </w:rPr>
              <w:t>of Regulation (EU) No 575/2013</w:t>
            </w:r>
            <w:r>
              <w:t>?</w:t>
            </w:r>
          </w:p>
        </w:tc>
        <w:tc>
          <w:tcPr>
            <w:tcW w:w="1393" w:type="dxa"/>
            <w:shd w:val="clear" w:color="auto" w:fill="auto"/>
          </w:tcPr>
          <w:p w14:paraId="649B1786" w14:textId="77777777" w:rsidR="00F002F1" w:rsidRDefault="00F002F1" w:rsidP="00DA09CD">
            <w:pPr>
              <w:pStyle w:val="InstructionsText"/>
            </w:pPr>
            <w:r>
              <w:t xml:space="preserve">YES </w:t>
            </w:r>
            <w:r>
              <w:rPr>
                <w:noProof/>
              </w:rPr>
              <w:drawing>
                <wp:inline distT="0" distB="0" distL="0" distR="0" wp14:anchorId="559FDF6F" wp14:editId="714B9916">
                  <wp:extent cx="371475" cy="276225"/>
                  <wp:effectExtent l="0" t="0" r="9525" b="9525"/>
                  <wp:docPr id="113009435" name="Picture 11300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2CE26C23" w14:textId="77777777" w:rsidR="00F002F1" w:rsidRDefault="00F002F1" w:rsidP="00DA09CD">
            <w:pPr>
              <w:pStyle w:val="InstructionsText"/>
            </w:pPr>
          </w:p>
        </w:tc>
        <w:tc>
          <w:tcPr>
            <w:tcW w:w="3964" w:type="dxa"/>
            <w:shd w:val="clear" w:color="auto" w:fill="auto"/>
          </w:tcPr>
          <w:p w14:paraId="055B493E" w14:textId="77777777" w:rsidR="00F002F1" w:rsidRDefault="00F002F1" w:rsidP="00DA09CD">
            <w:pPr>
              <w:pStyle w:val="InstructionsText"/>
            </w:pPr>
            <w:r>
              <w:t>Specialised lending</w:t>
            </w:r>
          </w:p>
        </w:tc>
      </w:tr>
      <w:tr w:rsidR="00F002F1" w14:paraId="62FA52DD" w14:textId="77777777">
        <w:trPr>
          <w:trHeight w:val="300"/>
        </w:trPr>
        <w:tc>
          <w:tcPr>
            <w:tcW w:w="3672" w:type="dxa"/>
            <w:shd w:val="clear" w:color="auto" w:fill="auto"/>
          </w:tcPr>
          <w:p w14:paraId="486050E0" w14:textId="77777777" w:rsidR="00F002F1" w:rsidRDefault="00F002F1" w:rsidP="00B055FF">
            <w:pPr>
              <w:pStyle w:val="InstructionsText"/>
            </w:pPr>
            <w:r>
              <w:t xml:space="preserve">NO </w:t>
            </w:r>
            <w:r>
              <w:rPr>
                <w:noProof/>
              </w:rPr>
              <w:drawing>
                <wp:inline distT="0" distB="0" distL="0" distR="0" wp14:anchorId="7C3CD32E" wp14:editId="447E8505">
                  <wp:extent cx="819150" cy="352425"/>
                  <wp:effectExtent l="0" t="0" r="0" b="9525"/>
                  <wp:docPr id="2108065973" name="Picture 2108065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320B83C2" w14:textId="77777777" w:rsidR="00F002F1" w:rsidRDefault="00F002F1" w:rsidP="00DA09CD">
            <w:pPr>
              <w:pStyle w:val="InstructionsText"/>
            </w:pPr>
          </w:p>
        </w:tc>
        <w:tc>
          <w:tcPr>
            <w:tcW w:w="1393" w:type="dxa"/>
            <w:shd w:val="clear" w:color="auto" w:fill="auto"/>
          </w:tcPr>
          <w:p w14:paraId="7ECA6FE8" w14:textId="77777777" w:rsidR="00F002F1" w:rsidRDefault="00F002F1" w:rsidP="00DA09CD">
            <w:pPr>
              <w:pStyle w:val="InstructionsText"/>
            </w:pPr>
          </w:p>
        </w:tc>
        <w:tc>
          <w:tcPr>
            <w:tcW w:w="3964" w:type="dxa"/>
            <w:shd w:val="clear" w:color="auto" w:fill="auto"/>
          </w:tcPr>
          <w:p w14:paraId="37340D98" w14:textId="77777777" w:rsidR="00F002F1" w:rsidRDefault="00F002F1" w:rsidP="00DA09CD">
            <w:pPr>
              <w:pStyle w:val="InstructionsText"/>
            </w:pPr>
          </w:p>
        </w:tc>
      </w:tr>
      <w:tr w:rsidR="00F002F1" w14:paraId="58E7112B" w14:textId="77777777">
        <w:trPr>
          <w:trHeight w:val="300"/>
        </w:trPr>
        <w:tc>
          <w:tcPr>
            <w:tcW w:w="3672" w:type="dxa"/>
            <w:shd w:val="clear" w:color="auto" w:fill="auto"/>
          </w:tcPr>
          <w:p w14:paraId="3849CF8A" w14:textId="77777777" w:rsidR="00F002F1" w:rsidRDefault="00F002F1" w:rsidP="00B055FF">
            <w:pPr>
              <w:pStyle w:val="InstructionsText"/>
            </w:pPr>
            <w:r>
              <w:t xml:space="preserve">Does it fit for being assigned to the exposure class of </w:t>
            </w:r>
            <w:r w:rsidRPr="72FDE0D4">
              <w:t xml:space="preserve">Article 147(2), point (c) (iii) </w:t>
            </w:r>
            <w:r w:rsidRPr="72FDE0D4">
              <w:rPr>
                <w:lang w:val="en-US"/>
              </w:rPr>
              <w:t>of Regulation (EU) No 575/2013</w:t>
            </w:r>
            <w:r>
              <w:t>?</w:t>
            </w:r>
          </w:p>
        </w:tc>
        <w:tc>
          <w:tcPr>
            <w:tcW w:w="1393" w:type="dxa"/>
            <w:shd w:val="clear" w:color="auto" w:fill="auto"/>
          </w:tcPr>
          <w:p w14:paraId="02ABA027" w14:textId="77777777" w:rsidR="00F002F1" w:rsidRDefault="00F002F1" w:rsidP="00DA09CD">
            <w:pPr>
              <w:pStyle w:val="InstructionsText"/>
            </w:pPr>
            <w:r>
              <w:t xml:space="preserve">YES </w:t>
            </w:r>
            <w:r>
              <w:rPr>
                <w:noProof/>
              </w:rPr>
              <w:drawing>
                <wp:inline distT="0" distB="0" distL="0" distR="0" wp14:anchorId="44C1EDA7" wp14:editId="5EC6FB87">
                  <wp:extent cx="371475" cy="276225"/>
                  <wp:effectExtent l="0" t="0" r="9525" b="9525"/>
                  <wp:docPr id="2137618858" name="Picture 2137618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0D2BA26E" w14:textId="77777777" w:rsidR="00F002F1" w:rsidRDefault="00F002F1" w:rsidP="00DA09CD">
            <w:pPr>
              <w:pStyle w:val="InstructionsText"/>
            </w:pPr>
          </w:p>
          <w:p w14:paraId="5E031A85" w14:textId="77777777" w:rsidR="00F002F1" w:rsidRDefault="00F002F1" w:rsidP="00DA09CD">
            <w:pPr>
              <w:pStyle w:val="InstructionsText"/>
            </w:pPr>
          </w:p>
        </w:tc>
        <w:tc>
          <w:tcPr>
            <w:tcW w:w="3964" w:type="dxa"/>
            <w:shd w:val="clear" w:color="auto" w:fill="auto"/>
          </w:tcPr>
          <w:p w14:paraId="381D58DE" w14:textId="77777777" w:rsidR="00F002F1" w:rsidRDefault="00F002F1">
            <w:r>
              <w:t>Purchased receivables</w:t>
            </w:r>
          </w:p>
        </w:tc>
      </w:tr>
      <w:tr w:rsidR="00F002F1" w14:paraId="665B81AF" w14:textId="77777777">
        <w:trPr>
          <w:trHeight w:val="300"/>
        </w:trPr>
        <w:tc>
          <w:tcPr>
            <w:tcW w:w="3672" w:type="dxa"/>
            <w:shd w:val="clear" w:color="auto" w:fill="auto"/>
          </w:tcPr>
          <w:p w14:paraId="3D9B3CE4" w14:textId="77777777" w:rsidR="00F002F1" w:rsidRDefault="00F002F1" w:rsidP="00B055FF">
            <w:pPr>
              <w:pStyle w:val="InstructionsText"/>
            </w:pPr>
            <w:r>
              <w:t xml:space="preserve">NO </w:t>
            </w:r>
            <w:r>
              <w:rPr>
                <w:noProof/>
              </w:rPr>
              <w:drawing>
                <wp:inline distT="0" distB="0" distL="0" distR="0" wp14:anchorId="75F458B3" wp14:editId="39FBB401">
                  <wp:extent cx="819150" cy="352425"/>
                  <wp:effectExtent l="0" t="0" r="0" b="9525"/>
                  <wp:docPr id="550340783" name="Picture 550340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077BD4A4" w14:textId="77777777" w:rsidR="00F002F1" w:rsidRDefault="00F002F1" w:rsidP="00DA09CD">
            <w:pPr>
              <w:pStyle w:val="InstructionsText"/>
            </w:pPr>
          </w:p>
        </w:tc>
        <w:tc>
          <w:tcPr>
            <w:tcW w:w="1393" w:type="dxa"/>
            <w:shd w:val="clear" w:color="auto" w:fill="auto"/>
          </w:tcPr>
          <w:p w14:paraId="34995AF1" w14:textId="77777777" w:rsidR="00F002F1" w:rsidRDefault="00F002F1" w:rsidP="00DA09CD">
            <w:pPr>
              <w:pStyle w:val="InstructionsText"/>
            </w:pPr>
          </w:p>
        </w:tc>
        <w:tc>
          <w:tcPr>
            <w:tcW w:w="3964" w:type="dxa"/>
            <w:shd w:val="clear" w:color="auto" w:fill="auto"/>
          </w:tcPr>
          <w:p w14:paraId="7A428E56" w14:textId="77777777" w:rsidR="00F002F1" w:rsidRDefault="00F002F1" w:rsidP="00DA09CD">
            <w:pPr>
              <w:pStyle w:val="InstructionsText"/>
            </w:pPr>
          </w:p>
        </w:tc>
      </w:tr>
      <w:tr w:rsidR="00F002F1" w14:paraId="6D4B927D" w14:textId="77777777">
        <w:trPr>
          <w:trHeight w:val="300"/>
        </w:trPr>
        <w:tc>
          <w:tcPr>
            <w:tcW w:w="3672" w:type="dxa"/>
            <w:shd w:val="clear" w:color="auto" w:fill="auto"/>
          </w:tcPr>
          <w:p w14:paraId="5F8B0DEF" w14:textId="162A25A0" w:rsidR="00F002F1" w:rsidRDefault="00F002F1" w:rsidP="00B055FF">
            <w:pPr>
              <w:pStyle w:val="InstructionsText"/>
            </w:pPr>
            <w:r>
              <w:t xml:space="preserve">Does it fit for being assigned to the exposure class of </w:t>
            </w:r>
            <w:r w:rsidRPr="72FDE0D4">
              <w:t>Article 147(2), point (c)</w:t>
            </w:r>
            <w:r w:rsidR="00FF6E0E">
              <w:t xml:space="preserve"> (i</w:t>
            </w:r>
            <w:r w:rsidRPr="72FDE0D4">
              <w:t xml:space="preserve">), </w:t>
            </w:r>
            <w:r w:rsidRPr="72FDE0D4">
              <w:rPr>
                <w:lang w:val="en-US"/>
              </w:rPr>
              <w:t>of Regulation (EU) No 575/2013</w:t>
            </w:r>
            <w:r w:rsidR="00FF6E0E">
              <w:rPr>
                <w:lang w:val="en-US"/>
              </w:rPr>
              <w:t xml:space="preserve">, </w:t>
            </w:r>
            <w:r w:rsidR="00E6576C">
              <w:rPr>
                <w:lang w:val="en-US"/>
              </w:rPr>
              <w:t>that meets the definition</w:t>
            </w:r>
            <w:r w:rsidR="00FF6E0E">
              <w:rPr>
                <w:lang w:val="en-US"/>
              </w:rPr>
              <w:t xml:space="preserve"> </w:t>
            </w:r>
            <w:r w:rsidR="00FF6E0E" w:rsidRPr="2277E8EF">
              <w:t xml:space="preserve">in Article 5 (8) </w:t>
            </w:r>
            <w:r w:rsidR="00FF6E0E" w:rsidRPr="007A7FE8">
              <w:rPr>
                <w:lang w:val="en-US"/>
              </w:rPr>
              <w:t xml:space="preserve">of </w:t>
            </w:r>
            <w:r w:rsidR="00FF6E0E">
              <w:rPr>
                <w:lang w:val="en-US"/>
              </w:rPr>
              <w:t>the same regulation</w:t>
            </w:r>
            <w:r>
              <w:t>?</w:t>
            </w:r>
          </w:p>
        </w:tc>
        <w:tc>
          <w:tcPr>
            <w:tcW w:w="1393" w:type="dxa"/>
            <w:shd w:val="clear" w:color="auto" w:fill="auto"/>
          </w:tcPr>
          <w:p w14:paraId="74A27139" w14:textId="77777777" w:rsidR="00F002F1" w:rsidRDefault="00F002F1" w:rsidP="00DA09CD">
            <w:pPr>
              <w:pStyle w:val="InstructionsText"/>
            </w:pPr>
            <w:r>
              <w:t xml:space="preserve">YES </w:t>
            </w:r>
            <w:r>
              <w:rPr>
                <w:noProof/>
              </w:rPr>
              <w:drawing>
                <wp:inline distT="0" distB="0" distL="0" distR="0" wp14:anchorId="08355046" wp14:editId="005552F8">
                  <wp:extent cx="371475" cy="276225"/>
                  <wp:effectExtent l="0" t="0" r="9525" b="9525"/>
                  <wp:docPr id="706491352" name="Picture 70649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p>
          <w:p w14:paraId="16DE8B06" w14:textId="77777777" w:rsidR="00F002F1" w:rsidRDefault="00F002F1" w:rsidP="00DA09CD">
            <w:pPr>
              <w:pStyle w:val="InstructionsText"/>
            </w:pPr>
          </w:p>
        </w:tc>
        <w:tc>
          <w:tcPr>
            <w:tcW w:w="3964" w:type="dxa"/>
            <w:shd w:val="clear" w:color="auto" w:fill="auto"/>
          </w:tcPr>
          <w:p w14:paraId="72882DA2" w14:textId="77777777" w:rsidR="00F002F1" w:rsidRDefault="00F002F1">
            <w:r>
              <w:t>SMEs</w:t>
            </w:r>
          </w:p>
        </w:tc>
      </w:tr>
      <w:tr w:rsidR="00F002F1" w14:paraId="4DAE1AD7" w14:textId="77777777">
        <w:trPr>
          <w:trHeight w:val="300"/>
        </w:trPr>
        <w:tc>
          <w:tcPr>
            <w:tcW w:w="3672" w:type="dxa"/>
            <w:shd w:val="clear" w:color="auto" w:fill="auto"/>
          </w:tcPr>
          <w:p w14:paraId="073FC252" w14:textId="77777777" w:rsidR="00F002F1" w:rsidRDefault="00F002F1" w:rsidP="00B055FF">
            <w:pPr>
              <w:pStyle w:val="InstructionsText"/>
            </w:pPr>
            <w:r>
              <w:t xml:space="preserve">NO </w:t>
            </w:r>
            <w:r>
              <w:rPr>
                <w:noProof/>
              </w:rPr>
              <w:drawing>
                <wp:inline distT="0" distB="0" distL="0" distR="0" wp14:anchorId="645C96C9" wp14:editId="4F117AAE">
                  <wp:extent cx="819150" cy="352425"/>
                  <wp:effectExtent l="0" t="0" r="0" b="9525"/>
                  <wp:docPr id="328535160" name="Picture 32853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p>
          <w:p w14:paraId="340E6F79" w14:textId="77777777" w:rsidR="00F002F1" w:rsidRDefault="00F002F1" w:rsidP="00DA09CD">
            <w:pPr>
              <w:pStyle w:val="InstructionsText"/>
            </w:pPr>
          </w:p>
        </w:tc>
        <w:tc>
          <w:tcPr>
            <w:tcW w:w="1393" w:type="dxa"/>
            <w:shd w:val="clear" w:color="auto" w:fill="auto"/>
          </w:tcPr>
          <w:p w14:paraId="28D74AD4" w14:textId="77777777" w:rsidR="00F002F1" w:rsidRDefault="00F002F1" w:rsidP="00DA09CD">
            <w:pPr>
              <w:pStyle w:val="InstructionsText"/>
            </w:pPr>
          </w:p>
        </w:tc>
        <w:tc>
          <w:tcPr>
            <w:tcW w:w="3964" w:type="dxa"/>
            <w:shd w:val="clear" w:color="auto" w:fill="auto"/>
          </w:tcPr>
          <w:p w14:paraId="665E60A2" w14:textId="77777777" w:rsidR="00F002F1" w:rsidRDefault="00F002F1" w:rsidP="00DA09CD">
            <w:pPr>
              <w:pStyle w:val="InstructionsText"/>
            </w:pPr>
          </w:p>
        </w:tc>
      </w:tr>
      <w:tr w:rsidR="00F002F1" w14:paraId="2CABCB38" w14:textId="77777777">
        <w:trPr>
          <w:trHeight w:val="300"/>
        </w:trPr>
        <w:tc>
          <w:tcPr>
            <w:tcW w:w="3672" w:type="dxa"/>
            <w:shd w:val="clear" w:color="auto" w:fill="auto"/>
          </w:tcPr>
          <w:p w14:paraId="2B488AD7" w14:textId="43A9CEAB" w:rsidR="00F002F1" w:rsidRDefault="001928DD" w:rsidP="00B055FF">
            <w:pPr>
              <w:pStyle w:val="InstructionsText"/>
            </w:pPr>
            <w:r>
              <w:lastRenderedPageBreak/>
              <w:t>Other</w:t>
            </w:r>
          </w:p>
        </w:tc>
        <w:tc>
          <w:tcPr>
            <w:tcW w:w="1393" w:type="dxa"/>
            <w:shd w:val="clear" w:color="auto" w:fill="auto"/>
          </w:tcPr>
          <w:p w14:paraId="2809DDD3" w14:textId="77777777" w:rsidR="00F002F1" w:rsidRDefault="00F002F1" w:rsidP="00DA09CD">
            <w:pPr>
              <w:pStyle w:val="InstructionsText"/>
            </w:pPr>
          </w:p>
        </w:tc>
        <w:tc>
          <w:tcPr>
            <w:tcW w:w="3964" w:type="dxa"/>
            <w:shd w:val="clear" w:color="auto" w:fill="auto"/>
          </w:tcPr>
          <w:p w14:paraId="1D8FB1FC" w14:textId="747A0DAC" w:rsidR="00F002F1" w:rsidRDefault="00F002F1"/>
        </w:tc>
      </w:tr>
    </w:tbl>
    <w:p w14:paraId="6B5A6331" w14:textId="77777777" w:rsidR="00163FFF" w:rsidRDefault="00163FFF" w:rsidP="006D78C4">
      <w:pPr>
        <w:spacing w:before="0" w:after="240"/>
        <w:jc w:val="left"/>
        <w:rPr>
          <w:rFonts w:ascii="Times New Roman" w:hAnsi="Times New Roman"/>
          <w:sz w:val="24"/>
          <w:lang w:eastAsia="de-DE"/>
        </w:rPr>
      </w:pPr>
    </w:p>
    <w:p w14:paraId="7FF43538" w14:textId="57E9E262" w:rsidR="00AB667E" w:rsidRDefault="00AB667E" w:rsidP="006D78C4">
      <w:pPr>
        <w:spacing w:before="0" w:after="240"/>
        <w:jc w:val="left"/>
        <w:rPr>
          <w:rFonts w:ascii="Times New Roman" w:hAnsi="Times New Roman"/>
          <w:sz w:val="24"/>
          <w:lang w:eastAsia="de-DE"/>
        </w:rPr>
      </w:pPr>
      <w:r>
        <w:rPr>
          <w:rFonts w:ascii="Times New Roman" w:hAnsi="Times New Roman"/>
          <w:sz w:val="24"/>
          <w:lang w:eastAsia="de-DE"/>
        </w:rPr>
        <w:t>For the purposes of this decision tree and in</w:t>
      </w:r>
      <w:r w:rsidR="00D10A47">
        <w:rPr>
          <w:rFonts w:ascii="Times New Roman" w:hAnsi="Times New Roman"/>
          <w:sz w:val="24"/>
          <w:lang w:eastAsia="de-DE"/>
        </w:rPr>
        <w:t xml:space="preserve"> </w:t>
      </w:r>
      <w:r>
        <w:rPr>
          <w:rFonts w:ascii="Times New Roman" w:hAnsi="Times New Roman"/>
          <w:sz w:val="24"/>
          <w:lang w:eastAsia="de-DE"/>
        </w:rPr>
        <w:t xml:space="preserve">accordance with Article 151(8) </w:t>
      </w:r>
      <w:r w:rsidRPr="00AB667E">
        <w:rPr>
          <w:rFonts w:ascii="Times New Roman" w:hAnsi="Times New Roman"/>
          <w:sz w:val="24"/>
          <w:lang w:eastAsia="de-DE"/>
        </w:rPr>
        <w:t>of Regulation (EU) No 575/2013</w:t>
      </w:r>
      <w:r>
        <w:rPr>
          <w:rFonts w:ascii="Times New Roman" w:hAnsi="Times New Roman"/>
          <w:sz w:val="24"/>
          <w:lang w:eastAsia="de-DE"/>
        </w:rPr>
        <w:t xml:space="preserve">, Large Corporates </w:t>
      </w:r>
      <w:r w:rsidR="00D10A47" w:rsidRPr="00D10A47">
        <w:rPr>
          <w:rFonts w:ascii="Times New Roman" w:hAnsi="Times New Roman"/>
          <w:sz w:val="24"/>
          <w:lang w:eastAsia="de-DE"/>
        </w:rPr>
        <w:t>as defined in Article 142 (1), point (5a) of the same regulation</w:t>
      </w:r>
      <w:r w:rsidR="00D10A47">
        <w:rPr>
          <w:rFonts w:ascii="Times New Roman" w:hAnsi="Times New Roman"/>
          <w:sz w:val="24"/>
          <w:lang w:eastAsia="de-DE"/>
        </w:rPr>
        <w:t xml:space="preserve"> shall not be treated under the A-IRB approach.</w:t>
      </w:r>
      <w:r w:rsidR="005E6B37" w:rsidRPr="005E6B37">
        <w:rPr>
          <w:rFonts w:ascii="Times New Roman" w:hAnsi="Times New Roman"/>
          <w:sz w:val="24"/>
          <w:lang w:eastAsia="de-DE"/>
        </w:rPr>
        <w:t xml:space="preserve"> </w:t>
      </w:r>
      <w:r w:rsidR="005E6B37">
        <w:rPr>
          <w:rFonts w:ascii="Times New Roman" w:hAnsi="Times New Roman"/>
          <w:sz w:val="24"/>
          <w:lang w:eastAsia="de-DE"/>
        </w:rPr>
        <w:t xml:space="preserve">More precisely, unless Large Corporate exposures are assigned to the Specialised lending exposure class, they are not eligible for the A-IRB treatment. This in particular holds for Large corporate exposures that are assigned to the Purchased receivables exposure class.  </w:t>
      </w:r>
    </w:p>
    <w:p w14:paraId="62516FFE" w14:textId="096B7E7E" w:rsidR="02309EBD" w:rsidRDefault="02309EBD" w:rsidP="006D78C4">
      <w:pPr>
        <w:spacing w:before="0" w:after="240"/>
        <w:jc w:val="left"/>
        <w:rPr>
          <w:rFonts w:ascii="Times New Roman" w:hAnsi="Times New Roman"/>
          <w:sz w:val="24"/>
          <w:lang w:eastAsia="de-DE"/>
        </w:rPr>
      </w:pPr>
      <w:r w:rsidRPr="2BEE1747">
        <w:rPr>
          <w:rFonts w:ascii="Times New Roman" w:hAnsi="Times New Roman"/>
          <w:sz w:val="24"/>
          <w:lang w:eastAsia="de-DE"/>
        </w:rPr>
        <w:t>3.3.</w:t>
      </w:r>
      <w:r w:rsidR="00D23578">
        <w:rPr>
          <w:rFonts w:ascii="Times New Roman" w:hAnsi="Times New Roman"/>
          <w:sz w:val="24"/>
          <w:lang w:eastAsia="de-DE"/>
        </w:rPr>
        <w:t>2a</w:t>
      </w:r>
      <w:r w:rsidRPr="2BEE1747">
        <w:rPr>
          <w:rFonts w:ascii="Times New Roman" w:hAnsi="Times New Roman"/>
          <w:sz w:val="24"/>
          <w:lang w:eastAsia="de-DE"/>
        </w:rPr>
        <w:t xml:space="preserve">. </w:t>
      </w:r>
      <w:r w:rsidR="6EEBC4DD" w:rsidRPr="2BEE1747">
        <w:rPr>
          <w:rFonts w:ascii="Times New Roman" w:hAnsi="Times New Roman"/>
          <w:sz w:val="24"/>
        </w:rPr>
        <w:t xml:space="preserve">Clarifications on the scope of some specific exposure </w:t>
      </w:r>
      <w:r w:rsidR="6EEBC4DD" w:rsidRPr="000059B8">
        <w:rPr>
          <w:rFonts w:ascii="Times New Roman" w:hAnsi="Times New Roman"/>
          <w:sz w:val="24"/>
        </w:rPr>
        <w:t>classes</w:t>
      </w:r>
      <w:r w:rsidR="6EEBC4DD" w:rsidRPr="2BEE1747">
        <w:rPr>
          <w:rFonts w:ascii="Times New Roman" w:hAnsi="Times New Roman"/>
          <w:sz w:val="24"/>
        </w:rPr>
        <w:t xml:space="preserve"> referred to in Article 147 of Regulation (EU) No 575/2013 </w:t>
      </w:r>
    </w:p>
    <w:p w14:paraId="7B9CD2E9" w14:textId="7BE056C0" w:rsidR="6EEBC4DD" w:rsidRDefault="6EEBC4DD" w:rsidP="5C9647B4">
      <w:pPr>
        <w:spacing w:before="0" w:after="240"/>
        <w:jc w:val="left"/>
        <w:rPr>
          <w:rFonts w:ascii="Times New Roman" w:hAnsi="Times New Roman"/>
          <w:sz w:val="24"/>
          <w:lang w:eastAsia="de-DE"/>
        </w:rPr>
      </w:pPr>
      <w:r w:rsidRPr="5C9647B4">
        <w:rPr>
          <w:rFonts w:ascii="Times New Roman" w:hAnsi="Times New Roman"/>
          <w:sz w:val="24"/>
          <w:lang w:eastAsia="de-DE"/>
        </w:rPr>
        <w:t>3.3.</w:t>
      </w:r>
      <w:r w:rsidR="00290362" w:rsidRPr="5C9647B4">
        <w:rPr>
          <w:rFonts w:ascii="Times New Roman" w:hAnsi="Times New Roman"/>
          <w:sz w:val="24"/>
          <w:lang w:eastAsia="de-DE"/>
        </w:rPr>
        <w:t>2a</w:t>
      </w:r>
      <w:r w:rsidRPr="5C9647B4">
        <w:rPr>
          <w:rFonts w:ascii="Times New Roman" w:hAnsi="Times New Roman"/>
          <w:sz w:val="24"/>
          <w:lang w:eastAsia="de-DE"/>
        </w:rPr>
        <w:t xml:space="preserve">.1 </w:t>
      </w:r>
      <w:r w:rsidR="02309EBD" w:rsidRPr="5C9647B4">
        <w:rPr>
          <w:rFonts w:ascii="Times New Roman" w:hAnsi="Times New Roman"/>
          <w:sz w:val="24"/>
          <w:lang w:eastAsia="de-DE"/>
        </w:rPr>
        <w:t xml:space="preserve">Exposure class </w:t>
      </w:r>
      <w:r w:rsidR="5C7075C4" w:rsidRPr="5C9647B4">
        <w:rPr>
          <w:rFonts w:ascii="Times New Roman" w:hAnsi="Times New Roman"/>
          <w:sz w:val="24"/>
          <w:lang w:eastAsia="de-DE"/>
        </w:rPr>
        <w:t>‘</w:t>
      </w:r>
      <w:r w:rsidR="02309EBD" w:rsidRPr="5C9647B4">
        <w:rPr>
          <w:rFonts w:ascii="Times New Roman" w:hAnsi="Times New Roman"/>
          <w:sz w:val="24"/>
          <w:lang w:eastAsia="de-DE"/>
        </w:rPr>
        <w:t>Collective Investment Undertakings</w:t>
      </w:r>
      <w:r w:rsidR="379F4A15" w:rsidRPr="5C9647B4">
        <w:rPr>
          <w:rFonts w:ascii="Times New Roman" w:hAnsi="Times New Roman"/>
          <w:sz w:val="24"/>
          <w:lang w:eastAsia="de-DE"/>
        </w:rPr>
        <w:t>’</w:t>
      </w:r>
    </w:p>
    <w:p w14:paraId="15358993" w14:textId="686CFFAE" w:rsidR="00A26B18" w:rsidRDefault="5A18D454" w:rsidP="00A26B18">
      <w:pPr>
        <w:spacing w:before="0" w:after="240"/>
        <w:jc w:val="left"/>
        <w:rPr>
          <w:rFonts w:ascii="Times New Roman" w:hAnsi="Times New Roman"/>
          <w:sz w:val="24"/>
          <w:lang w:eastAsia="de-DE"/>
        </w:rPr>
      </w:pPr>
      <w:r w:rsidRPr="5C9647B4">
        <w:rPr>
          <w:rFonts w:ascii="Times New Roman" w:hAnsi="Times New Roman"/>
          <w:sz w:val="24"/>
          <w:lang w:eastAsia="de-DE"/>
        </w:rPr>
        <w:t>7</w:t>
      </w:r>
      <w:r w:rsidR="00ED0DB5">
        <w:rPr>
          <w:rFonts w:ascii="Times New Roman" w:hAnsi="Times New Roman"/>
          <w:sz w:val="24"/>
          <w:lang w:eastAsia="de-DE"/>
        </w:rPr>
        <w:t>6a</w:t>
      </w:r>
      <w:r w:rsidRPr="5C9647B4">
        <w:rPr>
          <w:rFonts w:ascii="Times New Roman" w:hAnsi="Times New Roman"/>
          <w:sz w:val="24"/>
          <w:lang w:eastAsia="de-DE"/>
        </w:rPr>
        <w:t xml:space="preserve">. </w:t>
      </w:r>
      <w:r w:rsidR="5DAECDED" w:rsidRPr="5C9647B4">
        <w:rPr>
          <w:rFonts w:ascii="Times New Roman" w:hAnsi="Times New Roman"/>
          <w:sz w:val="24"/>
          <w:lang w:eastAsia="de-DE"/>
        </w:rPr>
        <w:t xml:space="preserve"> </w:t>
      </w:r>
      <w:r w:rsidR="00A26B18">
        <w:rPr>
          <w:rFonts w:ascii="Times New Roman" w:hAnsi="Times New Roman"/>
          <w:sz w:val="24"/>
          <w:lang w:eastAsia="de-DE"/>
        </w:rPr>
        <w:t>All</w:t>
      </w:r>
      <w:r w:rsidR="00A26B18" w:rsidRPr="2279B24F">
        <w:rPr>
          <w:rFonts w:ascii="Times New Roman" w:hAnsi="Times New Roman"/>
          <w:sz w:val="24"/>
          <w:lang w:eastAsia="de-DE"/>
        </w:rPr>
        <w:t xml:space="preserve"> the individual exposures </w:t>
      </w:r>
      <w:r w:rsidR="00A26B18" w:rsidRPr="00057809">
        <w:rPr>
          <w:rFonts w:ascii="Times New Roman" w:hAnsi="Times New Roman"/>
          <w:sz w:val="24"/>
          <w:lang w:eastAsia="de-DE"/>
        </w:rPr>
        <w:t xml:space="preserve">covered by </w:t>
      </w:r>
      <w:r w:rsidR="00A26B18">
        <w:rPr>
          <w:rFonts w:ascii="Times New Roman" w:hAnsi="Times New Roman"/>
          <w:sz w:val="24"/>
          <w:lang w:eastAsia="de-DE"/>
        </w:rPr>
        <w:t>next</w:t>
      </w:r>
      <w:r w:rsidR="00A26B18" w:rsidRPr="00057809">
        <w:rPr>
          <w:rFonts w:ascii="Times New Roman" w:hAnsi="Times New Roman"/>
          <w:sz w:val="24"/>
          <w:lang w:eastAsia="de-DE"/>
        </w:rPr>
        <w:t xml:space="preserve"> paragraph and exposures under the fall back approach </w:t>
      </w:r>
      <w:r w:rsidR="00A26B18" w:rsidRPr="2279B24F">
        <w:rPr>
          <w:rFonts w:ascii="Times New Roman" w:hAnsi="Times New Roman"/>
          <w:sz w:val="24"/>
          <w:lang w:eastAsia="de-DE"/>
        </w:rPr>
        <w:t>shall be classified within the exposure class of Exposures in the form of units or shares in collective investment undertakings (“CIU”).</w:t>
      </w:r>
    </w:p>
    <w:p w14:paraId="41EB9502" w14:textId="5E0FE797" w:rsidR="00A26B18" w:rsidRDefault="5DAECDED" w:rsidP="00A26B18">
      <w:pPr>
        <w:spacing w:before="0" w:after="240"/>
        <w:jc w:val="left"/>
        <w:rPr>
          <w:rFonts w:ascii="Times New Roman" w:hAnsi="Times New Roman"/>
          <w:sz w:val="24"/>
          <w:lang w:eastAsia="de-DE"/>
        </w:rPr>
      </w:pPr>
      <w:r w:rsidRPr="5C9647B4">
        <w:rPr>
          <w:rFonts w:ascii="Times New Roman" w:hAnsi="Times New Roman"/>
          <w:sz w:val="24"/>
          <w:lang w:eastAsia="de-DE"/>
        </w:rPr>
        <w:t xml:space="preserve"> I</w:t>
      </w:r>
      <w:r w:rsidR="04F60053" w:rsidRPr="5C9647B4">
        <w:rPr>
          <w:rFonts w:ascii="Times New Roman" w:hAnsi="Times New Roman"/>
          <w:sz w:val="24"/>
          <w:lang w:eastAsia="de-DE"/>
        </w:rPr>
        <w:t>n the case of exposures in the form of units or shares in collective investment undertakings and where the look through approach or the mandate-based approach (Article 1</w:t>
      </w:r>
      <w:r w:rsidR="1F88AA73" w:rsidRPr="5C9647B4">
        <w:rPr>
          <w:rFonts w:ascii="Times New Roman" w:hAnsi="Times New Roman"/>
          <w:sz w:val="24"/>
          <w:lang w:eastAsia="de-DE"/>
        </w:rPr>
        <w:t>52</w:t>
      </w:r>
      <w:r w:rsidR="04F60053" w:rsidRPr="5C9647B4">
        <w:rPr>
          <w:rFonts w:ascii="Times New Roman" w:hAnsi="Times New Roman"/>
          <w:sz w:val="24"/>
          <w:lang w:eastAsia="de-DE"/>
        </w:rPr>
        <w:t>, points (1) and (</w:t>
      </w:r>
      <w:r w:rsidR="10CB6F53" w:rsidRPr="5C9647B4">
        <w:rPr>
          <w:rFonts w:ascii="Times New Roman" w:hAnsi="Times New Roman"/>
          <w:sz w:val="24"/>
          <w:lang w:eastAsia="de-DE"/>
        </w:rPr>
        <w:t>5</w:t>
      </w:r>
      <w:r w:rsidR="04F60053" w:rsidRPr="5C9647B4">
        <w:rPr>
          <w:rFonts w:ascii="Times New Roman" w:hAnsi="Times New Roman"/>
          <w:sz w:val="24"/>
          <w:lang w:eastAsia="de-DE"/>
        </w:rPr>
        <w:t xml:space="preserve">), of Regulation (EU) No 575/2013) is used, the underlying individual (in the case of the look through approach) and individual group of (in the case of the mandate-based approach) exposures shall </w:t>
      </w:r>
      <w:r w:rsidR="00A26B18">
        <w:rPr>
          <w:rFonts w:ascii="Times New Roman" w:hAnsi="Times New Roman"/>
          <w:sz w:val="24"/>
          <w:lang w:eastAsia="de-DE"/>
        </w:rPr>
        <w:t>(in addition to the aforementioned classification as “CIU”)</w:t>
      </w:r>
      <w:r w:rsidR="00A26B18" w:rsidRPr="5C9647B4">
        <w:rPr>
          <w:rFonts w:ascii="Times New Roman" w:hAnsi="Times New Roman"/>
          <w:sz w:val="24"/>
          <w:lang w:eastAsia="de-DE"/>
        </w:rPr>
        <w:t xml:space="preserve"> </w:t>
      </w:r>
      <w:r w:rsidR="04F60053" w:rsidRPr="5C9647B4">
        <w:rPr>
          <w:rFonts w:ascii="Times New Roman" w:hAnsi="Times New Roman"/>
          <w:sz w:val="24"/>
          <w:lang w:eastAsia="de-DE"/>
        </w:rPr>
        <w:t>be considered and classified into the</w:t>
      </w:r>
      <w:r w:rsidR="5157F2B5" w:rsidRPr="5C9647B4">
        <w:rPr>
          <w:rFonts w:ascii="Times New Roman" w:hAnsi="Times New Roman"/>
          <w:sz w:val="24"/>
          <w:lang w:eastAsia="de-DE"/>
        </w:rPr>
        <w:t xml:space="preserve"> corresponding exposure class in the section MEMORANDUM ITEMS - BREAKDOWN OF TOTAL EXPOSURES BY APPROACH (CIU)</w:t>
      </w:r>
      <w:r w:rsidR="04F60053" w:rsidRPr="5C9647B4">
        <w:rPr>
          <w:rFonts w:ascii="Times New Roman" w:hAnsi="Times New Roman"/>
          <w:sz w:val="24"/>
          <w:lang w:eastAsia="de-DE"/>
        </w:rPr>
        <w:t>.</w:t>
      </w:r>
      <w:r w:rsidR="252521C3" w:rsidRPr="5C9647B4">
        <w:rPr>
          <w:rFonts w:ascii="Times New Roman" w:hAnsi="Times New Roman"/>
          <w:sz w:val="24"/>
          <w:lang w:eastAsia="de-DE"/>
        </w:rPr>
        <w:t xml:space="preserve"> </w:t>
      </w:r>
      <w:r w:rsidR="006834AB" w:rsidRPr="006834AB">
        <w:rPr>
          <w:rFonts w:ascii="Times New Roman" w:hAnsi="Times New Roman"/>
          <w:sz w:val="24"/>
          <w:lang w:eastAsia="de-DE"/>
        </w:rPr>
        <w:t>Where, ultimately, the SA is applied to some of the underlying exposures, those exposures should be reported in the CR SA template. Only underlying exposures for which an IRB method was used to calculate own funds requirements shall be reported in this template</w:t>
      </w:r>
      <w:r w:rsidR="006E6811">
        <w:rPr>
          <w:rFonts w:ascii="Times New Roman" w:hAnsi="Times New Roman"/>
          <w:sz w:val="24"/>
        </w:rPr>
        <w:t>.</w:t>
      </w:r>
      <w:r w:rsidR="252521C3" w:rsidRPr="5C9647B4">
        <w:rPr>
          <w:rFonts w:ascii="Times New Roman" w:hAnsi="Times New Roman"/>
          <w:sz w:val="24"/>
          <w:lang w:eastAsia="de-DE"/>
        </w:rPr>
        <w:t xml:space="preserve"> </w:t>
      </w:r>
      <w:r w:rsidR="00A26B18" w:rsidRPr="5C9647B4">
        <w:rPr>
          <w:rFonts w:ascii="Times New Roman" w:hAnsi="Times New Roman"/>
          <w:sz w:val="24"/>
          <w:lang w:eastAsia="de-DE"/>
        </w:rPr>
        <w:t>Nevertheless, the following underlying exposures shall not be reported in CR IRB templates:</w:t>
      </w:r>
    </w:p>
    <w:p w14:paraId="05C047F2" w14:textId="77777777" w:rsidR="00A26B18" w:rsidRDefault="00A26B18" w:rsidP="0047337A">
      <w:pPr>
        <w:pStyle w:val="InstructionsText2"/>
        <w:numPr>
          <w:ilvl w:val="0"/>
          <w:numId w:val="0"/>
        </w:numPr>
        <w:ind w:left="993"/>
      </w:pPr>
      <w:r>
        <w:t>i.</w:t>
      </w:r>
      <w:r>
        <w:tab/>
        <w:t xml:space="preserve">Equity exposures, which are reported in the CR EQU IRB template; </w:t>
      </w:r>
    </w:p>
    <w:p w14:paraId="3C94B6B4" w14:textId="77777777" w:rsidR="00A26B18" w:rsidRDefault="00A26B18" w:rsidP="0047337A">
      <w:pPr>
        <w:pStyle w:val="InstructionsText2"/>
        <w:numPr>
          <w:ilvl w:val="0"/>
          <w:numId w:val="0"/>
        </w:numPr>
        <w:ind w:left="993"/>
      </w:pPr>
      <w:r>
        <w:t>ii.</w:t>
      </w:r>
      <w:r>
        <w:tab/>
        <w:t>Securitisation positions, which are reported in the CR SEC and/or CR SEC Details templates;</w:t>
      </w:r>
    </w:p>
    <w:p w14:paraId="641BCB94" w14:textId="77777777" w:rsidR="00206687" w:rsidRPr="002A677E" w:rsidRDefault="00125707" w:rsidP="00A26B18">
      <w:pPr>
        <w:spacing w:before="0" w:after="240"/>
        <w:jc w:val="left"/>
        <w:rPr>
          <w:rFonts w:ascii="Times New Roman" w:hAnsi="Times New Roman"/>
          <w:sz w:val="24"/>
        </w:rPr>
      </w:pPr>
      <w:bookmarkStart w:id="229" w:name="_Toc473560909"/>
      <w:bookmarkStart w:id="230" w:name="_Toc239157380"/>
      <w:bookmarkStart w:id="231" w:name="_Toc262568038"/>
      <w:bookmarkStart w:id="232" w:name="_Toc264038436"/>
      <w:bookmarkStart w:id="233" w:name="_Toc295829866"/>
      <w:bookmarkStart w:id="234" w:name="_Toc308155143"/>
      <w:bookmarkStart w:id="235" w:name="_Toc310415030"/>
      <w:bookmarkStart w:id="236" w:name="_Toc360188360"/>
      <w:r w:rsidRPr="002A677E">
        <w:rPr>
          <w:rFonts w:ascii="Times New Roman" w:hAnsi="Times New Roman"/>
          <w:sz w:val="24"/>
        </w:rPr>
        <w:t>3.3.3.</w:t>
      </w:r>
      <w:r w:rsidRPr="002A677E">
        <w:rPr>
          <w:rFonts w:ascii="Times New Roman" w:hAnsi="Times New Roman"/>
          <w:sz w:val="24"/>
        </w:rPr>
        <w:tab/>
      </w:r>
      <w:r w:rsidR="00FC20DD" w:rsidRPr="002A677E">
        <w:rPr>
          <w:rFonts w:ascii="Times New Roman" w:hAnsi="Times New Roman"/>
          <w:sz w:val="24"/>
        </w:rPr>
        <w:t xml:space="preserve">C 08.01 - </w:t>
      </w:r>
      <w:r w:rsidR="00EC53E0" w:rsidRPr="002A677E">
        <w:rPr>
          <w:rFonts w:ascii="Times New Roman" w:hAnsi="Times New Roman"/>
          <w:sz w:val="24"/>
        </w:rPr>
        <w:t xml:space="preserve">Credit and counterparty credit risks and free deliveries: </w:t>
      </w:r>
      <w:r w:rsidR="008241B9" w:rsidRPr="002A677E">
        <w:rPr>
          <w:rFonts w:ascii="Times New Roman" w:hAnsi="Times New Roman"/>
          <w:sz w:val="24"/>
        </w:rPr>
        <w:t xml:space="preserve">IRB </w:t>
      </w:r>
      <w:r w:rsidR="00E64990" w:rsidRPr="002A677E">
        <w:rPr>
          <w:rFonts w:ascii="Times New Roman" w:hAnsi="Times New Roman"/>
          <w:sz w:val="24"/>
        </w:rPr>
        <w:t xml:space="preserve">approach </w:t>
      </w:r>
      <w:r w:rsidR="00EC53E0" w:rsidRPr="002A677E">
        <w:rPr>
          <w:rFonts w:ascii="Times New Roman" w:hAnsi="Times New Roman"/>
          <w:sz w:val="24"/>
        </w:rPr>
        <w:t xml:space="preserve">to </w:t>
      </w:r>
      <w:r w:rsidR="00F57838" w:rsidRPr="002A677E">
        <w:rPr>
          <w:rFonts w:ascii="Times New Roman" w:hAnsi="Times New Roman"/>
          <w:sz w:val="24"/>
        </w:rPr>
        <w:t>Capital</w:t>
      </w:r>
      <w:r w:rsidR="00EC53E0" w:rsidRPr="002A677E">
        <w:rPr>
          <w:rFonts w:ascii="Times New Roman" w:hAnsi="Times New Roman"/>
          <w:sz w:val="24"/>
        </w:rPr>
        <w:t xml:space="preserve"> Requirements</w:t>
      </w:r>
      <w:r w:rsidR="00FC20DD" w:rsidRPr="002A677E">
        <w:rPr>
          <w:rFonts w:ascii="Times New Roman" w:hAnsi="Times New Roman"/>
          <w:sz w:val="24"/>
        </w:rPr>
        <w:t xml:space="preserve"> (CR IRB 1)</w:t>
      </w:r>
      <w:bookmarkEnd w:id="229"/>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lang w:val="en-GB"/>
        </w:rPr>
      </w:pPr>
      <w:bookmarkStart w:id="237" w:name="_Toc473560910"/>
      <w:bookmarkStart w:id="238" w:name="_Toc151714397"/>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Instructions concerning specific positions</w:t>
      </w:r>
      <w:bookmarkEnd w:id="230"/>
      <w:bookmarkEnd w:id="231"/>
      <w:bookmarkEnd w:id="232"/>
      <w:bookmarkEnd w:id="233"/>
      <w:bookmarkEnd w:id="234"/>
      <w:bookmarkEnd w:id="235"/>
      <w:bookmarkEnd w:id="236"/>
      <w:bookmarkEnd w:id="237"/>
      <w:bookmarkEnd w:id="23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21F156CF">
        <w:tc>
          <w:tcPr>
            <w:tcW w:w="1188" w:type="dxa"/>
            <w:shd w:val="clear" w:color="auto" w:fill="CCCCCC"/>
          </w:tcPr>
          <w:p w14:paraId="3E5F680F" w14:textId="77777777" w:rsidR="001C7AB7" w:rsidRPr="002A677E" w:rsidRDefault="001C7AB7" w:rsidP="001C7AB7">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0689716F" w14:textId="77777777" w:rsidTr="21F156CF">
        <w:tc>
          <w:tcPr>
            <w:tcW w:w="1188" w:type="dxa"/>
          </w:tcPr>
          <w:p w14:paraId="778A0AF3"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SCALE</w:t>
            </w:r>
            <w:r w:rsidRPr="002A677E">
              <w:rPr>
                <w:rStyle w:val="InstructionsTabelleberschrift"/>
                <w:rFonts w:ascii="Times New Roman" w:hAnsi="Times New Roman"/>
                <w:sz w:val="24"/>
              </w:rPr>
              <w:t>/ PD ASSIGNED TO THE OBLIGOR GRADE OR POOL (%)</w:t>
            </w:r>
          </w:p>
          <w:p w14:paraId="091A6478" w14:textId="05A6154C"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based on the provisions laid down in Article 180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For each individual grade or pool,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For figures corresponding to an aggregation of obligor grades or pools (e.g. total exposures)</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w:t>
            </w:r>
            <w:r w:rsidRPr="002A677E">
              <w:rPr>
                <w:rStyle w:val="InstructionsTabelleText"/>
                <w:rFonts w:ascii="Times New Roman" w:hAnsi="Times New Roman"/>
                <w:sz w:val="24"/>
              </w:rPr>
              <w:lastRenderedPageBreak/>
              <w:t xml:space="preserve">aggregation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provided. </w:t>
            </w:r>
            <w:r w:rsidR="00C93697" w:rsidRPr="002A677E">
              <w:rPr>
                <w:rStyle w:val="InstructionsTabelleText"/>
                <w:rFonts w:ascii="Times New Roman" w:hAnsi="Times New Roman"/>
                <w:sz w:val="24"/>
              </w:rPr>
              <w:t>T</w:t>
            </w:r>
            <w:r w:rsidRPr="002A677E">
              <w:rPr>
                <w:rStyle w:val="InstructionsTabelleText"/>
                <w:rFonts w:ascii="Times New Roman" w:hAnsi="Times New Roman"/>
                <w:sz w:val="24"/>
              </w:rPr>
              <w:t xml:space="preserve">he exposure value (column </w:t>
            </w:r>
            <w:r w:rsidR="00FF15C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used for the calculation of the exposure-weighted average PD</w:t>
            </w:r>
            <w:r w:rsidRPr="002A677E">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All reported risk parameters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43DD972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or is able to report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an internal master scale, th</w:t>
            </w:r>
            <w:r w:rsidR="00BD6DB9"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scale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p>
          <w:p w14:paraId="26FBA78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Otherwise,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merged and ordered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following criteria: Obligor grades of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2A677E">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1F55C387"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contact </w:t>
            </w:r>
            <w:r w:rsidR="00C93697" w:rsidRPr="002A677E">
              <w:rPr>
                <w:rStyle w:val="InstructionsTabelleText"/>
                <w:rFonts w:ascii="Times New Roman" w:hAnsi="Times New Roman"/>
                <w:sz w:val="24"/>
              </w:rPr>
              <w:t>their</w:t>
            </w:r>
            <w:r w:rsidRPr="002A677E">
              <w:rPr>
                <w:rStyle w:val="InstructionsTabelleText"/>
                <w:rFonts w:ascii="Times New Roman" w:hAnsi="Times New Roman"/>
                <w:sz w:val="24"/>
              </w:rPr>
              <w:t xml:space="preserve"> comp</w:t>
            </w:r>
            <w:r w:rsidR="00C93697" w:rsidRPr="002A677E">
              <w:rPr>
                <w:rStyle w:val="InstructionsTabelleText"/>
                <w:rFonts w:ascii="Times New Roman" w:hAnsi="Times New Roman"/>
                <w:sz w:val="24"/>
              </w:rPr>
              <w:t>etent authority in advance if they</w:t>
            </w:r>
            <w:r w:rsidRPr="002A677E">
              <w:rPr>
                <w:rStyle w:val="InstructionsTabelleText"/>
                <w:rFonts w:ascii="Times New Roman" w:hAnsi="Times New Roman"/>
                <w:sz w:val="24"/>
              </w:rPr>
              <w:t xml:space="preserve"> want to report a different number of grades in comparison with the internal number of grades.</w:t>
            </w:r>
          </w:p>
          <w:p w14:paraId="383AC658" w14:textId="74FB53D5" w:rsidR="006C35BA" w:rsidRPr="002A677E" w:rsidRDefault="006C35BA" w:rsidP="001C7AB7">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rsidR="00B856D5">
              <w:t> </w:t>
            </w:r>
            <w:r w:rsidRPr="002A677E">
              <w:rPr>
                <w:rStyle w:val="InstructionsTabelleText"/>
                <w:rFonts w:ascii="Times New Roman" w:hAnsi="Times New Roman"/>
                <w:sz w:val="24"/>
              </w:rPr>
              <w:t>%.</w:t>
            </w:r>
          </w:p>
          <w:p w14:paraId="140E601A" w14:textId="2FE71561"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For the purposes of weighting the average PD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value reported in column 110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r w:rsidR="006C35BA" w:rsidRPr="002A677E">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2A677E">
              <w:rPr>
                <w:rStyle w:val="InstructionsTabelleText"/>
                <w:rFonts w:ascii="Times New Roman" w:hAnsi="Times New Roman"/>
                <w:sz w:val="24"/>
              </w:rPr>
              <w:t xml:space="preserve">PD </w:t>
            </w:r>
            <w:r w:rsidR="006C35BA"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of 100</w:t>
            </w:r>
            <w:r w:rsidR="00BD6DB9" w:rsidRPr="002A677E">
              <w:rPr>
                <w:rStyle w:val="InstructionsTabelleText"/>
                <w:rFonts w:ascii="Times New Roman" w:hAnsi="Times New Roman"/>
                <w:sz w:val="24"/>
              </w:rPr>
              <w:t> </w:t>
            </w:r>
            <w:r w:rsidRPr="002A677E">
              <w:rPr>
                <w:rStyle w:val="InstructionsTabelleText"/>
                <w:rFonts w:ascii="Times New Roman" w:hAnsi="Times New Roman"/>
                <w:sz w:val="24"/>
              </w:rPr>
              <w:t>%.</w:t>
            </w:r>
          </w:p>
        </w:tc>
      </w:tr>
      <w:tr w:rsidR="001C7AB7" w:rsidRPr="002A677E" w14:paraId="3F686075" w14:textId="77777777" w:rsidTr="21F156CF">
        <w:tc>
          <w:tcPr>
            <w:tcW w:w="1188" w:type="dxa"/>
          </w:tcPr>
          <w:p w14:paraId="61D15456"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020</w:t>
            </w:r>
          </w:p>
        </w:tc>
        <w:tc>
          <w:tcPr>
            <w:tcW w:w="8843" w:type="dxa"/>
          </w:tcPr>
          <w:p w14:paraId="369D5D1B"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4E09A3EF" w14:textId="4F8BCA38" w:rsidR="001C7AB7" w:rsidRPr="002A677E" w:rsidRDefault="001C7AB7" w:rsidP="001C7AB7">
            <w:pPr>
              <w:rPr>
                <w:rFonts w:ascii="Times New Roman" w:hAnsi="Times New Roman"/>
                <w:sz w:val="24"/>
              </w:rPr>
            </w:pPr>
            <w:r w:rsidRPr="002A677E">
              <w:rPr>
                <w:rFonts w:ascii="Times New Roman" w:hAnsi="Times New Roman"/>
                <w:sz w:val="24"/>
              </w:rPr>
              <w:t xml:space="preserve">Institutions </w:t>
            </w:r>
            <w:r w:rsidR="00BD6DB9" w:rsidRPr="002A677E">
              <w:rPr>
                <w:rFonts w:ascii="Times New Roman" w:hAnsi="Times New Roman"/>
                <w:sz w:val="24"/>
              </w:rPr>
              <w:t xml:space="preserve">shall </w:t>
            </w:r>
            <w:r w:rsidRPr="002A677E">
              <w:rPr>
                <w:rFonts w:ascii="Times New Roman" w:hAnsi="Times New Roman"/>
                <w:sz w:val="24"/>
              </w:rPr>
              <w:t>report the exposure value before taking into account any value adjustments</w:t>
            </w:r>
            <w:r w:rsidR="00B83DDE">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2E2DA78" w14:textId="1A415447" w:rsidR="001C7AB7" w:rsidRPr="002A677E" w:rsidRDefault="001C7AB7" w:rsidP="001C7AB7">
            <w:pPr>
              <w:rPr>
                <w:rFonts w:ascii="Times New Roman" w:hAnsi="Times New Roman"/>
                <w:sz w:val="24"/>
              </w:rPr>
            </w:pPr>
            <w:r w:rsidRPr="002A677E">
              <w:rPr>
                <w:rFonts w:ascii="Times New Roman" w:hAnsi="Times New Roman"/>
                <w:sz w:val="24"/>
              </w:rPr>
              <w:t xml:space="preserve">The original exposure value </w:t>
            </w:r>
            <w:r w:rsidR="00C93697" w:rsidRPr="002A677E">
              <w:rPr>
                <w:rFonts w:ascii="Times New Roman" w:hAnsi="Times New Roman"/>
                <w:sz w:val="24"/>
              </w:rPr>
              <w:t>shall</w:t>
            </w:r>
            <w:r w:rsidRPr="002A677E">
              <w:rPr>
                <w:rFonts w:ascii="Times New Roman" w:hAnsi="Times New Roman"/>
                <w:sz w:val="24"/>
              </w:rPr>
              <w:t xml:space="preserve"> be reported in accordance with Article 24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sidR="00B83DDE">
              <w:rPr>
                <w:rFonts w:ascii="Times New Roman" w:hAnsi="Times New Roman"/>
                <w:sz w:val="24"/>
              </w:rPr>
              <w:t>, p</w:t>
            </w:r>
            <w:r w:rsidR="007968EE" w:rsidRPr="002A677E">
              <w:rPr>
                <w:rFonts w:ascii="Times New Roman" w:hAnsi="Times New Roman"/>
                <w:sz w:val="24"/>
              </w:rPr>
              <w:t xml:space="preserve">aragraphs 1, 2, 4, 5, 6 and 7 </w:t>
            </w:r>
            <w:r w:rsidR="00F34382" w:rsidRPr="001235ED">
              <w:rPr>
                <w:rFonts w:ascii="Times New Roman" w:hAnsi="Times New Roman"/>
                <w:sz w:val="24"/>
                <w:lang w:val="en-US"/>
              </w:rPr>
              <w:t>of that Regulation</w:t>
            </w:r>
            <w:r w:rsidRPr="002A677E">
              <w:rPr>
                <w:rFonts w:ascii="Times New Roman" w:hAnsi="Times New Roman"/>
                <w:sz w:val="24"/>
              </w:rPr>
              <w:t>.</w:t>
            </w:r>
          </w:p>
          <w:p w14:paraId="33E414D9" w14:textId="574AEFA6" w:rsidR="001C7AB7" w:rsidRPr="002A677E" w:rsidRDefault="001C7AB7" w:rsidP="001C7AB7">
            <w:pPr>
              <w:rPr>
                <w:rFonts w:ascii="Times New Roman" w:hAnsi="Times New Roman"/>
                <w:sz w:val="24"/>
              </w:rPr>
            </w:pPr>
            <w:r w:rsidRPr="002A677E">
              <w:rPr>
                <w:rFonts w:ascii="Times New Roman" w:hAnsi="Times New Roman"/>
                <w:sz w:val="24"/>
              </w:rPr>
              <w:t xml:space="preserve">The effect resulting from Article 166(3) </w:t>
            </w:r>
            <w:r w:rsidR="00F34382"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w:t>
            </w:r>
            <w:r w:rsidR="00BD6DB9" w:rsidRPr="002A677E">
              <w:rPr>
                <w:rFonts w:ascii="Times New Roman" w:hAnsi="Times New Roman"/>
                <w:sz w:val="24"/>
              </w:rPr>
              <w:t>shall be</w:t>
            </w:r>
            <w:r w:rsidRPr="002A677E">
              <w:rPr>
                <w:rFonts w:ascii="Times New Roman" w:hAnsi="Times New Roman"/>
                <w:sz w:val="24"/>
              </w:rPr>
              <w:t xml:space="preserve"> reported separately as Funded Credit Protection and </w:t>
            </w:r>
            <w:r w:rsidR="00C93697" w:rsidRPr="002A677E">
              <w:rPr>
                <w:rFonts w:ascii="Times New Roman" w:hAnsi="Times New Roman"/>
                <w:sz w:val="24"/>
              </w:rPr>
              <w:t>shall</w:t>
            </w:r>
            <w:r w:rsidRPr="002A677E">
              <w:rPr>
                <w:rFonts w:ascii="Times New Roman" w:hAnsi="Times New Roman"/>
                <w:sz w:val="24"/>
              </w:rPr>
              <w:t xml:space="preserve"> </w:t>
            </w:r>
            <w:r w:rsidR="00BD6DB9" w:rsidRPr="002A677E">
              <w:rPr>
                <w:rFonts w:ascii="Times New Roman" w:hAnsi="Times New Roman"/>
                <w:sz w:val="24"/>
              </w:rPr>
              <w:t xml:space="preserve">therefore </w:t>
            </w:r>
            <w:r w:rsidRPr="002A677E">
              <w:rPr>
                <w:rFonts w:ascii="Times New Roman" w:hAnsi="Times New Roman"/>
                <w:sz w:val="24"/>
              </w:rPr>
              <w:t xml:space="preserve">not reduce the Original Exposure. </w:t>
            </w:r>
          </w:p>
          <w:p w14:paraId="500087D9" w14:textId="3FC8294F" w:rsidR="001C7AB7" w:rsidRPr="002A677E" w:rsidRDefault="006C35BA" w:rsidP="00F34382">
            <w:pPr>
              <w:rPr>
                <w:rFonts w:ascii="Times New Roman" w:hAnsi="Times New Roman"/>
                <w:sz w:val="24"/>
              </w:rPr>
            </w:pPr>
            <w:r w:rsidRPr="002A677E">
              <w:rPr>
                <w:rFonts w:ascii="Times New Roman" w:hAnsi="Times New Roman"/>
                <w:sz w:val="24"/>
              </w:rPr>
              <w:t>For derivative instruments, repurchase transactions, securities or commodities lending or borrowing transactions, long settlement transactions and margin lending transactions subject to counterparty credit risk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4 or Chapter 6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original exposure shall correspond to the exposure value arising from counterparty credit risk (see instructions to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634F4DCE" w14:textId="77777777" w:rsidTr="21F156CF">
        <w:tc>
          <w:tcPr>
            <w:tcW w:w="1188" w:type="dxa"/>
          </w:tcPr>
          <w:p w14:paraId="22492D11"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030</w:t>
            </w:r>
          </w:p>
        </w:tc>
        <w:tc>
          <w:tcPr>
            <w:tcW w:w="8843" w:type="dxa"/>
          </w:tcPr>
          <w:p w14:paraId="6C52A05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DF2305" w14:textId="66F8D140" w:rsidR="001C7AB7" w:rsidRPr="002A677E" w:rsidRDefault="001C7AB7" w:rsidP="00F34382">
            <w:pPr>
              <w:rPr>
                <w:rFonts w:ascii="Times New Roman" w:hAnsi="Times New Roman"/>
                <w:b/>
                <w:sz w:val="24"/>
                <w:u w:val="single"/>
              </w:rPr>
            </w:pPr>
            <w:r w:rsidRPr="002A677E">
              <w:rPr>
                <w:rFonts w:ascii="Times New Roman" w:hAnsi="Times New Roman"/>
                <w:sz w:val="24"/>
              </w:rPr>
              <w:t>Breakdown of the original exposure pre</w:t>
            </w:r>
            <w:r w:rsidR="007574C3" w:rsidRPr="002A677E">
              <w:rPr>
                <w:rFonts w:ascii="Times New Roman" w:hAnsi="Times New Roman"/>
                <w:sz w:val="24"/>
              </w:rPr>
              <w:t>-</w:t>
            </w:r>
            <w:r w:rsidRPr="002A677E">
              <w:rPr>
                <w:rFonts w:ascii="Times New Roman" w:hAnsi="Times New Roman"/>
                <w:sz w:val="24"/>
              </w:rPr>
              <w:t xml:space="preserve">conversion factor for all exposures </w:t>
            </w:r>
            <w:r w:rsidR="00110F40" w:rsidRPr="002A677E">
              <w:rPr>
                <w:rFonts w:ascii="Times New Roman" w:hAnsi="Times New Roman"/>
                <w:sz w:val="24"/>
              </w:rPr>
              <w:t>of entities referred to in</w:t>
            </w:r>
            <w:r w:rsidRPr="002A677E">
              <w:rPr>
                <w:rFonts w:ascii="Times New Roman" w:hAnsi="Times New Roman"/>
                <w:sz w:val="24"/>
              </w:rPr>
              <w:t xml:space="preserve"> </w:t>
            </w:r>
            <w:r w:rsidR="002E5096" w:rsidRPr="002A677E">
              <w:rPr>
                <w:rFonts w:ascii="Times New Roman" w:hAnsi="Times New Roman"/>
                <w:sz w:val="24"/>
              </w:rPr>
              <w:t>Article 142(1)</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6C35BA" w:rsidRPr="002A677E">
              <w:rPr>
                <w:rFonts w:ascii="Times New Roman" w:hAnsi="Times New Roman"/>
                <w:sz w:val="24"/>
              </w:rPr>
              <w:t xml:space="preserve">coefficient of </w:t>
            </w:r>
            <w:r w:rsidRPr="002A677E">
              <w:rPr>
                <w:rFonts w:ascii="Times New Roman" w:hAnsi="Times New Roman"/>
                <w:sz w:val="24"/>
              </w:rPr>
              <w:t xml:space="preserve">correlation </w:t>
            </w:r>
            <w:r w:rsidR="00BD6DB9"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36505BDA" w14:textId="77777777" w:rsidTr="21F156CF">
        <w:tc>
          <w:tcPr>
            <w:tcW w:w="1188" w:type="dxa"/>
          </w:tcPr>
          <w:p w14:paraId="7468D39D" w14:textId="77777777" w:rsidR="001C7AB7" w:rsidRPr="002A677E" w:rsidRDefault="001C7AB7" w:rsidP="004F2B30">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748B30E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AE12741" w14:textId="51C899BB" w:rsidR="001C7AB7" w:rsidRPr="002A677E" w:rsidRDefault="001C7AB7" w:rsidP="001C7AB7">
            <w:pPr>
              <w:rPr>
                <w:rFonts w:ascii="Times New Roman" w:hAnsi="Times New Roman"/>
                <w:sz w:val="24"/>
              </w:rPr>
            </w:pPr>
            <w:r w:rsidRPr="002A677E">
              <w:rPr>
                <w:rFonts w:ascii="Times New Roman" w:hAnsi="Times New Roman"/>
                <w:sz w:val="24"/>
              </w:rPr>
              <w:t xml:space="preserve">Credit risk mitigation as defined in </w:t>
            </w:r>
            <w:r w:rsidR="00D21B29" w:rsidRPr="002A677E">
              <w:rPr>
                <w:rFonts w:ascii="Times New Roman" w:hAnsi="Times New Roman"/>
                <w:sz w:val="24"/>
              </w:rPr>
              <w:t>Article</w:t>
            </w:r>
            <w:r w:rsidRPr="002A677E">
              <w:rPr>
                <w:rFonts w:ascii="Times New Roman" w:hAnsi="Times New Roman"/>
                <w:sz w:val="24"/>
              </w:rPr>
              <w:t xml:space="preserve"> 4(</w:t>
            </w:r>
            <w:r w:rsidR="00F811C6"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 (57)</w:t>
            </w:r>
            <w:r w:rsidR="00FF161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21F156CF">
        <w:tc>
          <w:tcPr>
            <w:tcW w:w="1188" w:type="dxa"/>
          </w:tcPr>
          <w:p w14:paraId="43E09CE0"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1AEF1FA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UNFUNDED CREDIT PROTECTION</w:t>
            </w:r>
          </w:p>
          <w:p w14:paraId="629F3C09" w14:textId="17BE8243"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Unfunded credit protection</w:t>
            </w:r>
            <w:r w:rsidR="00BD6DB9" w:rsidRPr="002A677E">
              <w:rPr>
                <w:rStyle w:val="InstructionsTabelleText"/>
                <w:rFonts w:ascii="Times New Roman" w:hAnsi="Times New Roman"/>
                <w:sz w:val="24"/>
              </w:rPr>
              <w:t xml:space="preserve"> as </w:t>
            </w:r>
            <w:r w:rsidRPr="002A677E">
              <w:rPr>
                <w:rStyle w:val="InstructionsTabelleText"/>
                <w:rFonts w:ascii="Times New Roman" w:hAnsi="Times New Roman"/>
                <w:sz w:val="24"/>
              </w:rPr>
              <w:t>defined in</w:t>
            </w:r>
            <w:r w:rsidR="0019394E"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Article 4(</w:t>
            </w:r>
            <w:r w:rsidR="0019394E" w:rsidRPr="002A677E">
              <w:rPr>
                <w:rStyle w:val="InstructionsTabelleText"/>
                <w:rFonts w:ascii="Times New Roman" w:hAnsi="Times New Roman"/>
                <w:sz w:val="24"/>
              </w:rPr>
              <w:t>1</w:t>
            </w:r>
            <w:r w:rsidRPr="002A677E">
              <w:rPr>
                <w:rStyle w:val="InstructionsTabelleText"/>
                <w:rFonts w:ascii="Times New Roman" w:hAnsi="Times New Roman"/>
                <w:sz w:val="24"/>
              </w:rPr>
              <w:t>)</w:t>
            </w:r>
            <w:r w:rsidR="00B83DDE">
              <w:rPr>
                <w:rStyle w:val="InstructionsTabelleText"/>
                <w:rFonts w:ascii="Times New Roman" w:hAnsi="Times New Roman"/>
                <w:sz w:val="24"/>
              </w:rPr>
              <w:t>, p</w:t>
            </w:r>
            <w:r w:rsidR="007968EE" w:rsidRPr="002A677E">
              <w:rPr>
                <w:rStyle w:val="InstructionsTabelleText"/>
                <w:rFonts w:ascii="Times New Roman" w:hAnsi="Times New Roman"/>
                <w:sz w:val="24"/>
              </w:rPr>
              <w:t>oint (59)</w:t>
            </w:r>
            <w:r w:rsidR="00FF1617">
              <w:rPr>
                <w:rStyle w:val="InstructionsTabelleText"/>
                <w:rFonts w:ascii="Times New Roman" w:hAnsi="Times New Roman"/>
                <w:sz w:val="24"/>
              </w:rPr>
              <w:t>,</w:t>
            </w:r>
            <w:r w:rsidR="007968EE" w:rsidRPr="002A677E">
              <w:rPr>
                <w:rStyle w:val="InstructionsTabelleText"/>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sidRPr="002A677E">
              <w:rPr>
                <w:rFonts w:ascii="Times New Roman" w:hAnsi="Times New Roman"/>
                <w:sz w:val="24"/>
              </w:rPr>
              <w:t xml:space="preserve">Unfunded credit protection </w:t>
            </w:r>
            <w:r w:rsidR="00BD6DB9" w:rsidRPr="002A677E">
              <w:rPr>
                <w:rFonts w:ascii="Times New Roman" w:hAnsi="Times New Roman"/>
                <w:sz w:val="24"/>
              </w:rPr>
              <w:t xml:space="preserve">that </w:t>
            </w:r>
            <w:r w:rsidR="001C7AB7" w:rsidRPr="002A677E">
              <w:rPr>
                <w:rFonts w:ascii="Times New Roman" w:hAnsi="Times New Roman"/>
                <w:sz w:val="24"/>
              </w:rPr>
              <w:t>has an effect on the exposure (e.g. used for credit risk mitigation techniques with substitution effects on the exposure) shall be capped at the exposure value.</w:t>
            </w:r>
          </w:p>
        </w:tc>
      </w:tr>
      <w:tr w:rsidR="001C7AB7" w:rsidRPr="002A677E" w14:paraId="3D59F827" w14:textId="77777777" w:rsidTr="21F156CF">
        <w:tc>
          <w:tcPr>
            <w:tcW w:w="1188" w:type="dxa"/>
          </w:tcPr>
          <w:p w14:paraId="673C744B"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47C4CE12" w14:textId="5032C6B7" w:rsidR="001C7AB7" w:rsidRPr="00E01F19" w:rsidRDefault="001C7AB7" w:rsidP="001C7AB7">
            <w:pPr>
              <w:jc w:val="left"/>
              <w:rPr>
                <w:rFonts w:ascii="Times New Roman" w:hAnsi="Times New Roman"/>
                <w:sz w:val="24"/>
              </w:rPr>
            </w:pPr>
            <w:r w:rsidRPr="00E01F19">
              <w:rPr>
                <w:rFonts w:ascii="Times New Roman" w:hAnsi="Times New Roman"/>
                <w:sz w:val="24"/>
              </w:rPr>
              <w:t>Whe</w:t>
            </w:r>
            <w:r w:rsidR="00BD6DB9" w:rsidRPr="00E01F19">
              <w:rPr>
                <w:rFonts w:ascii="Times New Roman" w:hAnsi="Times New Roman"/>
                <w:sz w:val="24"/>
              </w:rPr>
              <w:t>re</w:t>
            </w:r>
            <w:r w:rsidR="67A0A51B" w:rsidRPr="00E01F19">
              <w:rPr>
                <w:rFonts w:ascii="Times New Roman" w:hAnsi="Times New Roman"/>
                <w:sz w:val="24"/>
              </w:rPr>
              <w:t xml:space="preserve"> the risk-weighted exposure amounts are calculated under the substitution approach in accordance with Chapter 4 </w:t>
            </w:r>
            <w:r w:rsidR="67A0A51B" w:rsidRPr="00E01F19">
              <w:rPr>
                <w:rFonts w:ascii="Times New Roman" w:hAnsi="Times New Roman"/>
                <w:sz w:val="24"/>
                <w:lang w:val="en-US"/>
              </w:rPr>
              <w:t>of Regulation (EU) No 575/2013 (Art. 108 (2a), second sentence, Art. 183 (1a) sentence 1, second alternative, Art. 235a, Art. 236, Art. 236a)</w:t>
            </w:r>
            <w:r w:rsidR="51AD1A0E" w:rsidRPr="00E01F19">
              <w:rPr>
                <w:rFonts w:ascii="Times New Roman" w:hAnsi="Times New Roman"/>
                <w:sz w:val="24"/>
              </w:rPr>
              <w:t>,</w:t>
            </w:r>
            <w:r w:rsidRPr="00E01F19">
              <w:rPr>
                <w:rFonts w:ascii="Times New Roman" w:hAnsi="Times New Roman"/>
                <w:sz w:val="24"/>
              </w:rPr>
              <w:t xml:space="preserve"> </w:t>
            </w:r>
            <w:r w:rsidR="00785F3E" w:rsidRPr="00E01F19">
              <w:rPr>
                <w:rFonts w:ascii="Times New Roman" w:hAnsi="Times New Roman"/>
                <w:sz w:val="24"/>
              </w:rPr>
              <w:t>t</w:t>
            </w:r>
            <w:r w:rsidRPr="00E01F19">
              <w:rPr>
                <w:rFonts w:ascii="Times New Roman" w:hAnsi="Times New Roman"/>
                <w:sz w:val="24"/>
              </w:rPr>
              <w:t>he Adjusted Value (G</w:t>
            </w:r>
            <w:r w:rsidR="001E0C80" w:rsidRPr="00E01F19">
              <w:rPr>
                <w:rFonts w:ascii="Times New Roman" w:hAnsi="Times New Roman"/>
                <w:sz w:val="24"/>
                <w:vertAlign w:val="subscript"/>
              </w:rPr>
              <w:t>A</w:t>
            </w:r>
            <w:r w:rsidRPr="00E01F19">
              <w:rPr>
                <w:rFonts w:ascii="Times New Roman" w:hAnsi="Times New Roman"/>
                <w:sz w:val="24"/>
              </w:rPr>
              <w:t xml:space="preserve">) as defined in Article </w:t>
            </w:r>
            <w:r w:rsidR="45B6918F" w:rsidRPr="00E01F19">
              <w:rPr>
                <w:rFonts w:ascii="Times New Roman" w:hAnsi="Times New Roman"/>
                <w:sz w:val="24"/>
              </w:rPr>
              <w:t>235a (1)</w:t>
            </w:r>
            <w:r w:rsidR="00CD71F1" w:rsidRPr="00E01F19" w:rsidDel="00CD71F1">
              <w:rPr>
                <w:rFonts w:ascii="Times New Roman" w:hAnsi="Times New Roman"/>
                <w:color w:val="008080"/>
                <w:sz w:val="24"/>
                <w:u w:val="single"/>
              </w:rPr>
              <w:t xml:space="preserve"> </w:t>
            </w:r>
            <w:r w:rsidRPr="00E01F19">
              <w:rPr>
                <w:rFonts w:ascii="Times New Roman" w:hAnsi="Times New Roman"/>
                <w:sz w:val="24"/>
              </w:rPr>
              <w:t xml:space="preserve"> </w:t>
            </w:r>
            <w:r w:rsidR="00F34382" w:rsidRPr="00E01F19">
              <w:rPr>
                <w:rFonts w:ascii="Times New Roman" w:hAnsi="Times New Roman"/>
                <w:sz w:val="24"/>
                <w:lang w:val="en-US"/>
              </w:rPr>
              <w:t>of Regulation (EU) No 575/2013</w:t>
            </w:r>
            <w:r w:rsidRPr="00E01F19">
              <w:rPr>
                <w:rFonts w:ascii="Times New Roman" w:hAnsi="Times New Roman"/>
                <w:sz w:val="24"/>
              </w:rPr>
              <w:t xml:space="preserve"> </w:t>
            </w:r>
            <w:r w:rsidR="00C93697" w:rsidRPr="00E01F19">
              <w:rPr>
                <w:rFonts w:ascii="Times New Roman" w:hAnsi="Times New Roman"/>
                <w:sz w:val="24"/>
              </w:rPr>
              <w:t>shall</w:t>
            </w:r>
            <w:r w:rsidRPr="00E01F19">
              <w:rPr>
                <w:rFonts w:ascii="Times New Roman" w:hAnsi="Times New Roman"/>
                <w:sz w:val="24"/>
              </w:rPr>
              <w:t xml:space="preserve"> be provided.</w:t>
            </w:r>
          </w:p>
          <w:p w14:paraId="6422623A" w14:textId="4903466E" w:rsidR="001C7AB7" w:rsidRPr="00E01F19" w:rsidRDefault="001C7AB7" w:rsidP="001C7AB7">
            <w:pPr>
              <w:jc w:val="left"/>
              <w:rPr>
                <w:rFonts w:ascii="Times New Roman" w:hAnsi="Times New Roman"/>
                <w:sz w:val="24"/>
              </w:rPr>
            </w:pPr>
            <w:r w:rsidRPr="00E01F19">
              <w:rPr>
                <w:rFonts w:ascii="Times New Roman" w:hAnsi="Times New Roman"/>
                <w:sz w:val="24"/>
              </w:rPr>
              <w:t xml:space="preserve">When </w:t>
            </w:r>
            <w:r w:rsidR="00BD6DB9" w:rsidRPr="00E01F19">
              <w:rPr>
                <w:rFonts w:ascii="Times New Roman" w:hAnsi="Times New Roman"/>
                <w:sz w:val="24"/>
              </w:rPr>
              <w:t>o</w:t>
            </w:r>
            <w:r w:rsidRPr="00E01F19">
              <w:rPr>
                <w:rFonts w:ascii="Times New Roman" w:hAnsi="Times New Roman"/>
                <w:sz w:val="24"/>
              </w:rPr>
              <w:t>wn estimates of LGD are used</w:t>
            </w:r>
            <w:r w:rsidR="00785F3E" w:rsidRPr="00E01F19">
              <w:rPr>
                <w:rFonts w:ascii="Times New Roman" w:hAnsi="Times New Roman"/>
                <w:sz w:val="24"/>
              </w:rPr>
              <w:t xml:space="preserve"> </w:t>
            </w:r>
            <w:r w:rsidR="00F33ABB" w:rsidRPr="00E01F19">
              <w:rPr>
                <w:rFonts w:ascii="Times New Roman" w:hAnsi="Times New Roman"/>
                <w:sz w:val="24"/>
              </w:rPr>
              <w:t xml:space="preserve">in accordance with </w:t>
            </w:r>
            <w:r w:rsidRPr="00E01F19">
              <w:rPr>
                <w:rFonts w:ascii="Times New Roman" w:hAnsi="Times New Roman"/>
                <w:sz w:val="24"/>
              </w:rPr>
              <w:t xml:space="preserve">Article 183 </w:t>
            </w:r>
            <w:r w:rsidR="00F34382" w:rsidRPr="00E01F19">
              <w:rPr>
                <w:rFonts w:ascii="Times New Roman" w:hAnsi="Times New Roman"/>
                <w:sz w:val="24"/>
                <w:lang w:val="en-US"/>
              </w:rPr>
              <w:t>of Regulation (EU) No 575/2013</w:t>
            </w:r>
            <w:r w:rsidR="009F0653" w:rsidRPr="00E01F19">
              <w:rPr>
                <w:rFonts w:ascii="Times New Roman" w:hAnsi="Times New Roman"/>
                <w:sz w:val="24"/>
              </w:rPr>
              <w:t xml:space="preserve"> (except for paragraph 3)</w:t>
            </w:r>
            <w:r w:rsidRPr="00E01F19">
              <w:rPr>
                <w:rFonts w:ascii="Times New Roman" w:hAnsi="Times New Roman"/>
                <w:sz w:val="24"/>
              </w:rPr>
              <w:t xml:space="preserve">, </w:t>
            </w:r>
            <w:r w:rsidR="00785F3E" w:rsidRPr="00E01F19">
              <w:rPr>
                <w:rFonts w:ascii="Times New Roman" w:hAnsi="Times New Roman"/>
                <w:sz w:val="24"/>
              </w:rPr>
              <w:t>t</w:t>
            </w:r>
            <w:r w:rsidRPr="00E01F19">
              <w:rPr>
                <w:rFonts w:ascii="Times New Roman" w:hAnsi="Times New Roman"/>
                <w:sz w:val="24"/>
              </w:rPr>
              <w:t xml:space="preserve">he </w:t>
            </w:r>
            <w:r w:rsidR="003C3168" w:rsidRPr="00E01F19">
              <w:rPr>
                <w:rFonts w:ascii="Times New Roman" w:hAnsi="Times New Roman"/>
                <w:sz w:val="24"/>
              </w:rPr>
              <w:t>relevant value used in the internal model</w:t>
            </w:r>
            <w:r w:rsidRPr="00E01F19">
              <w:rPr>
                <w:rFonts w:ascii="Times New Roman" w:hAnsi="Times New Roman"/>
                <w:sz w:val="24"/>
              </w:rPr>
              <w:t xml:space="preserve"> </w:t>
            </w:r>
            <w:r w:rsidR="00C93697" w:rsidRPr="00E01F19">
              <w:rPr>
                <w:rFonts w:ascii="Times New Roman" w:hAnsi="Times New Roman"/>
                <w:sz w:val="24"/>
              </w:rPr>
              <w:t>shall</w:t>
            </w:r>
            <w:r w:rsidRPr="00E01F19">
              <w:rPr>
                <w:rFonts w:ascii="Times New Roman" w:hAnsi="Times New Roman"/>
                <w:sz w:val="24"/>
              </w:rPr>
              <w:t xml:space="preserve"> be reported. </w:t>
            </w:r>
          </w:p>
          <w:p w14:paraId="430F4F17" w14:textId="3380509B" w:rsidR="001C7AB7" w:rsidRPr="002A677E" w:rsidRDefault="14218E0B" w:rsidP="001C7AB7">
            <w:pPr>
              <w:jc w:val="left"/>
              <w:rPr>
                <w:rFonts w:ascii="Times New Roman" w:hAnsi="Times New Roman"/>
                <w:sz w:val="24"/>
              </w:rPr>
            </w:pPr>
            <w:r w:rsidRPr="00E01F19">
              <w:rPr>
                <w:rFonts w:ascii="Times New Roman" w:hAnsi="Times New Roman"/>
                <w:sz w:val="24"/>
              </w:rPr>
              <w:t xml:space="preserve">Where the </w:t>
            </w:r>
            <w:r w:rsidR="00CB1575" w:rsidRPr="000059B8">
              <w:rPr>
                <w:rFonts w:ascii="Times New Roman" w:hAnsi="Times New Roman"/>
                <w:sz w:val="24"/>
              </w:rPr>
              <w:t>PD</w:t>
            </w:r>
            <w:r w:rsidRPr="000059B8">
              <w:rPr>
                <w:rFonts w:ascii="Times New Roman" w:hAnsi="Times New Roman"/>
                <w:sz w:val="24"/>
              </w:rPr>
              <w:t xml:space="preserve">/LGD modelling adjustment approach in accordance with Article 108 (2a) first sentence and Article 183 (1a) is used and the </w:t>
            </w:r>
            <w:r w:rsidRPr="00E01F19">
              <w:rPr>
                <w:rFonts w:ascii="Times New Roman" w:hAnsi="Times New Roman"/>
                <w:sz w:val="24"/>
              </w:rPr>
              <w:t>adjustment is made in the LGD, the amount of the guarantee shall be reported in column 0150.</w:t>
            </w:r>
          </w:p>
        </w:tc>
      </w:tr>
      <w:tr w:rsidR="001C7AB7" w:rsidRPr="002A677E" w14:paraId="33510BBD" w14:textId="77777777" w:rsidTr="21F156CF">
        <w:tc>
          <w:tcPr>
            <w:tcW w:w="1188" w:type="dxa"/>
          </w:tcPr>
          <w:p w14:paraId="3F91BEFE"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5558F369"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DERIVATIVES:</w:t>
            </w:r>
          </w:p>
          <w:p w14:paraId="507ED484" w14:textId="3F8AF63E" w:rsidR="001C7AB7" w:rsidRPr="002A677E" w:rsidRDefault="66D0BB2D" w:rsidP="000059B8">
            <w:pPr>
              <w:jc w:val="left"/>
              <w:rPr>
                <w:rFonts w:ascii="Times New Roman" w:hAnsi="Times New Roman"/>
                <w:sz w:val="24"/>
              </w:rPr>
            </w:pPr>
            <w:r w:rsidRPr="6541272B">
              <w:rPr>
                <w:rFonts w:ascii="Times New Roman" w:hAnsi="Times New Roman"/>
                <w:sz w:val="24"/>
              </w:rPr>
              <w:t xml:space="preserve">Where </w:t>
            </w:r>
            <w:r w:rsidRPr="000059B8">
              <w:rPr>
                <w:rFonts w:ascii="Times New Roman" w:hAnsi="Times New Roman"/>
                <w:sz w:val="24"/>
              </w:rPr>
              <w:t xml:space="preserve">the risk-weighted exposure amounts are calculated under the substitution approach (Article 108 (2a), second sentence, Article 183 (1a) sentence 1, second alternative, Article 235a, Article 236, Article 236a of Regulation (EU) No 575/2013), </w:t>
            </w:r>
            <w:r w:rsidRPr="6541272B">
              <w:rPr>
                <w:rFonts w:ascii="Times New Roman" w:hAnsi="Times New Roman"/>
                <w:sz w:val="24"/>
              </w:rPr>
              <w:t>, the Adjusted Value (G</w:t>
            </w:r>
            <w:r w:rsidRPr="000059B8">
              <w:rPr>
                <w:rFonts w:ascii="Times New Roman" w:hAnsi="Times New Roman"/>
                <w:sz w:val="24"/>
              </w:rPr>
              <w:t>A</w:t>
            </w:r>
            <w:r w:rsidRPr="6541272B">
              <w:rPr>
                <w:rFonts w:ascii="Times New Roman" w:hAnsi="Times New Roman"/>
                <w:sz w:val="24"/>
              </w:rPr>
              <w:t>) as defined in Article 23</w:t>
            </w:r>
            <w:r w:rsidRPr="000059B8">
              <w:rPr>
                <w:rFonts w:ascii="Times New Roman" w:hAnsi="Times New Roman"/>
                <w:sz w:val="24"/>
              </w:rPr>
              <w:t>5a (1)</w:t>
            </w:r>
            <w:r w:rsidRPr="6541272B">
              <w:rPr>
                <w:rFonts w:ascii="Times New Roman" w:hAnsi="Times New Roman"/>
                <w:sz w:val="24"/>
              </w:rPr>
              <w:t xml:space="preserve"> </w:t>
            </w:r>
            <w:r w:rsidRPr="000059B8">
              <w:rPr>
                <w:rFonts w:ascii="Times New Roman" w:hAnsi="Times New Roman"/>
                <w:sz w:val="24"/>
              </w:rPr>
              <w:t>of Regulation (EU) No 575/2013</w:t>
            </w:r>
            <w:r w:rsidRPr="6541272B">
              <w:rPr>
                <w:rFonts w:ascii="Times New Roman" w:hAnsi="Times New Roman"/>
                <w:sz w:val="24"/>
              </w:rPr>
              <w:t xml:space="preserve"> shall be provided.</w:t>
            </w:r>
          </w:p>
          <w:p w14:paraId="0451059D" w14:textId="1F5FF3D3" w:rsidR="001C7AB7" w:rsidRPr="002A677E" w:rsidRDefault="66D0BB2D" w:rsidP="000059B8">
            <w:pPr>
              <w:rPr>
                <w:rFonts w:ascii="Times New Roman" w:hAnsi="Times New Roman"/>
                <w:sz w:val="24"/>
              </w:rPr>
            </w:pPr>
            <w:r w:rsidRPr="6541272B">
              <w:rPr>
                <w:rFonts w:ascii="Times New Roman" w:hAnsi="Times New Roman"/>
                <w:sz w:val="24"/>
              </w:rPr>
              <w:t>When</w:t>
            </w:r>
            <w:r w:rsidRPr="000059B8">
              <w:rPr>
                <w:rFonts w:ascii="Times New Roman" w:hAnsi="Times New Roman"/>
                <w:sz w:val="24"/>
              </w:rPr>
              <w:t xml:space="preserve">  the PD/LGD modelling adjustment approach </w:t>
            </w:r>
            <w:r w:rsidRPr="6541272B">
              <w:rPr>
                <w:rFonts w:ascii="Times New Roman" w:hAnsi="Times New Roman"/>
                <w:sz w:val="24"/>
              </w:rPr>
              <w:t>in accordance with</w:t>
            </w:r>
            <w:r w:rsidRPr="000059B8">
              <w:rPr>
                <w:rFonts w:ascii="Times New Roman" w:hAnsi="Times New Roman"/>
                <w:sz w:val="24"/>
              </w:rPr>
              <w:t xml:space="preserve"> Article 108 (2a) first sentence</w:t>
            </w:r>
            <w:r w:rsidRPr="6541272B">
              <w:rPr>
                <w:rFonts w:ascii="Times New Roman" w:hAnsi="Times New Roman"/>
                <w:sz w:val="24"/>
              </w:rPr>
              <w:t>, Article 183</w:t>
            </w:r>
            <w:r w:rsidRPr="000059B8">
              <w:rPr>
                <w:rFonts w:ascii="Times New Roman" w:hAnsi="Times New Roman"/>
                <w:sz w:val="24"/>
              </w:rPr>
              <w:t xml:space="preserve"> (1a)</w:t>
            </w:r>
            <w:r w:rsidRPr="6541272B">
              <w:rPr>
                <w:rFonts w:ascii="Times New Roman" w:hAnsi="Times New Roman"/>
                <w:sz w:val="24"/>
              </w:rPr>
              <w:t xml:space="preserve"> </w:t>
            </w:r>
            <w:r w:rsidRPr="000059B8">
              <w:rPr>
                <w:rFonts w:ascii="Times New Roman" w:hAnsi="Times New Roman"/>
                <w:sz w:val="24"/>
              </w:rPr>
              <w:t>sentence 1, first alternative and</w:t>
            </w:r>
            <w:r w:rsidRPr="6541272B">
              <w:rPr>
                <w:rFonts w:ascii="Times New Roman" w:hAnsi="Times New Roman"/>
                <w:sz w:val="24"/>
              </w:rPr>
              <w:t xml:space="preserve"> Article 183</w:t>
            </w:r>
            <w:r w:rsidRPr="000059B8">
              <w:rPr>
                <w:rFonts w:ascii="Times New Roman" w:hAnsi="Times New Roman"/>
                <w:sz w:val="24"/>
              </w:rPr>
              <w:t>(3) Regulation (EU) No 575/2013 is used</w:t>
            </w:r>
            <w:r w:rsidRPr="6541272B">
              <w:rPr>
                <w:rFonts w:ascii="Times New Roman" w:hAnsi="Times New Roman"/>
                <w:sz w:val="24"/>
              </w:rPr>
              <w:t xml:space="preserve">, </w:t>
            </w:r>
            <w:r w:rsidRPr="000059B8">
              <w:rPr>
                <w:rFonts w:ascii="Times New Roman" w:hAnsi="Times New Roman"/>
                <w:sz w:val="24"/>
              </w:rPr>
              <w:t xml:space="preserve">and the </w:t>
            </w:r>
            <w:r w:rsidRPr="6541272B">
              <w:rPr>
                <w:rFonts w:ascii="Times New Roman" w:hAnsi="Times New Roman"/>
                <w:sz w:val="24"/>
              </w:rPr>
              <w:t>adjustment is made in the LGD the amount of the credit derivatives shall be reported in column 0160.</w:t>
            </w:r>
            <w:r w:rsidRPr="6541272B">
              <w:rPr>
                <w:rFonts w:ascii="Times New Roman" w:hAnsi="Times New Roman"/>
                <w:color w:val="008080"/>
                <w:sz w:val="24"/>
                <w:u w:val="single"/>
              </w:rPr>
              <w:t xml:space="preserve"> </w:t>
            </w:r>
            <w:r w:rsidR="006C3702">
              <w:rPr>
                <w:rFonts w:ascii="Times New Roman" w:hAnsi="Times New Roman"/>
                <w:color w:val="008080"/>
                <w:sz w:val="24"/>
                <w:u w:val="single"/>
              </w:rPr>
              <w:t>T</w:t>
            </w:r>
            <w:r w:rsidRPr="6541272B">
              <w:rPr>
                <w:rFonts w:ascii="Times New Roman" w:hAnsi="Times New Roman"/>
                <w:sz w:val="24"/>
              </w:rPr>
              <w:t>he relevant value used in the internal modelling shall be reported.</w:t>
            </w:r>
          </w:p>
        </w:tc>
      </w:tr>
      <w:tr w:rsidR="001C7AB7" w:rsidRPr="002A677E" w14:paraId="2FD292EC" w14:textId="77777777" w:rsidTr="21F156CF">
        <w:tc>
          <w:tcPr>
            <w:tcW w:w="1188" w:type="dxa"/>
          </w:tcPr>
          <w:p w14:paraId="473C11E0"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60</w:t>
            </w:r>
          </w:p>
        </w:tc>
        <w:tc>
          <w:tcPr>
            <w:tcW w:w="8843" w:type="dxa"/>
          </w:tcPr>
          <w:p w14:paraId="66868B6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OTHER FUNDED CREDIT PROTECTION</w:t>
            </w:r>
          </w:p>
          <w:p w14:paraId="17A5B3E9" w14:textId="1C69975D" w:rsidR="001C7AB7" w:rsidRPr="000059B8" w:rsidRDefault="39447F23" w:rsidP="6541272B">
            <w:pPr>
              <w:rPr>
                <w:rFonts w:ascii="Times New Roman" w:hAnsi="Times New Roman"/>
                <w:sz w:val="24"/>
              </w:rPr>
            </w:pPr>
            <w:r w:rsidRPr="000059B8">
              <w:rPr>
                <w:rFonts w:ascii="Times New Roman" w:hAnsi="Times New Roman"/>
                <w:sz w:val="24"/>
              </w:rPr>
              <w:t>Where own estimates of LGD are not used, Article 232(1) of Regulation (EU) No 575/2013 applies.</w:t>
            </w:r>
          </w:p>
          <w:p w14:paraId="52895ABE" w14:textId="3C86EF3F" w:rsidR="001C7AB7" w:rsidRPr="000059B8" w:rsidRDefault="39447F23" w:rsidP="6541272B">
            <w:pPr>
              <w:jc w:val="left"/>
              <w:rPr>
                <w:rFonts w:ascii="Times New Roman" w:hAnsi="Times New Roman"/>
                <w:sz w:val="24"/>
              </w:rPr>
            </w:pPr>
            <w:r w:rsidRPr="000059B8">
              <w:rPr>
                <w:rFonts w:ascii="Times New Roman" w:hAnsi="Times New Roman"/>
                <w:sz w:val="24"/>
              </w:rPr>
              <w:lastRenderedPageBreak/>
              <w:t>Where the risk-weighted exposure amounts are calculated under the substitution approach (Article 108 (2a), second sentence, Article 183 (1a) sentence 1, second alternative, Article 235a, Article 236 of Regulation (EU) No 575/2013), , the Adjusted Value (GA) as defined in Article 235a (1) of Regulation (EU) No 575/2013 shall be provided.</w:t>
            </w:r>
          </w:p>
          <w:p w14:paraId="6D11E9FA" w14:textId="1DD962A7" w:rsidR="00785F3E" w:rsidRPr="000059B8" w:rsidRDefault="39447F23" w:rsidP="001C7AB7">
            <w:pPr>
              <w:rPr>
                <w:rFonts w:ascii="Times New Roman" w:hAnsi="Times New Roman"/>
                <w:sz w:val="24"/>
              </w:rPr>
            </w:pPr>
            <w:r w:rsidRPr="000059B8">
              <w:rPr>
                <w:rFonts w:ascii="Times New Roman" w:hAnsi="Times New Roman"/>
                <w:sz w:val="24"/>
              </w:rPr>
              <w:t>T</w:t>
            </w:r>
            <w:r w:rsidRPr="6541272B">
              <w:rPr>
                <w:rFonts w:ascii="Times New Roman" w:hAnsi="Times New Roman"/>
                <w:sz w:val="24"/>
              </w:rPr>
              <w:t>he</w:t>
            </w:r>
            <w:r w:rsidR="006C35BA" w:rsidRPr="6541272B">
              <w:rPr>
                <w:rFonts w:ascii="Times New Roman" w:hAnsi="Times New Roman"/>
                <w:sz w:val="24"/>
              </w:rPr>
              <w:t xml:space="preserve"> </w:t>
            </w:r>
            <w:r w:rsidR="00785F3E" w:rsidRPr="6541272B">
              <w:rPr>
                <w:rFonts w:ascii="Times New Roman" w:hAnsi="Times New Roman"/>
                <w:sz w:val="24"/>
              </w:rPr>
              <w:t xml:space="preserve">exposure shall be capped at the </w:t>
            </w:r>
            <w:r w:rsidR="006C35BA" w:rsidRPr="6541272B">
              <w:rPr>
                <w:rFonts w:ascii="Times New Roman" w:hAnsi="Times New Roman"/>
                <w:sz w:val="24"/>
              </w:rPr>
              <w:t xml:space="preserve">value of the </w:t>
            </w:r>
            <w:r w:rsidR="006C35BA" w:rsidRPr="002A677E">
              <w:rPr>
                <w:rFonts w:ascii="Times New Roman" w:hAnsi="Times New Roman"/>
                <w:sz w:val="24"/>
              </w:rPr>
              <w:t>original exposure pre conversion factors</w:t>
            </w:r>
            <w:r w:rsidR="00785F3E" w:rsidRPr="6541272B">
              <w:rPr>
                <w:rFonts w:ascii="Times New Roman" w:hAnsi="Times New Roman"/>
                <w:sz w:val="24"/>
              </w:rPr>
              <w:t>.</w:t>
            </w:r>
          </w:p>
          <w:p w14:paraId="5864D880" w14:textId="52476283" w:rsidR="001C7AB7" w:rsidRPr="002A677E" w:rsidRDefault="001C7AB7" w:rsidP="00A94F5F">
            <w:pPr>
              <w:rPr>
                <w:rStyle w:val="InstructionsTabelleText"/>
                <w:rFonts w:ascii="Times New Roman" w:hAnsi="Times New Roman"/>
                <w:sz w:val="24"/>
              </w:rPr>
            </w:pPr>
            <w:r w:rsidRPr="6541272B">
              <w:rPr>
                <w:rFonts w:ascii="Times New Roman" w:hAnsi="Times New Roman"/>
                <w:sz w:val="24"/>
              </w:rPr>
              <w:t>Whe</w:t>
            </w:r>
            <w:r w:rsidR="00BD6DB9" w:rsidRPr="6541272B">
              <w:rPr>
                <w:rFonts w:ascii="Times New Roman" w:hAnsi="Times New Roman"/>
                <w:sz w:val="24"/>
              </w:rPr>
              <w:t>re</w:t>
            </w:r>
            <w:r w:rsidRPr="6541272B">
              <w:rPr>
                <w:rFonts w:ascii="Times New Roman" w:hAnsi="Times New Roman"/>
                <w:sz w:val="24"/>
              </w:rPr>
              <w:t xml:space="preserve"> an adjustment is made in the LGD</w:t>
            </w:r>
            <w:r w:rsidR="39447F23" w:rsidRPr="000059B8">
              <w:rPr>
                <w:rFonts w:ascii="Times New Roman" w:hAnsi="Times New Roman"/>
                <w:sz w:val="24"/>
              </w:rPr>
              <w:t xml:space="preserve"> according to Art. 181 of Regulation (EU) No 575/2013</w:t>
            </w:r>
            <w:r w:rsidR="00BD6DB9" w:rsidRPr="6541272B">
              <w:rPr>
                <w:rFonts w:ascii="Times New Roman" w:hAnsi="Times New Roman"/>
                <w:sz w:val="24"/>
              </w:rPr>
              <w:t>,</w:t>
            </w:r>
            <w:r w:rsidRPr="6541272B">
              <w:rPr>
                <w:rFonts w:ascii="Times New Roman" w:hAnsi="Times New Roman"/>
                <w:sz w:val="24"/>
              </w:rPr>
              <w:t xml:space="preserve"> th</w:t>
            </w:r>
            <w:r w:rsidR="00A94F5F" w:rsidRPr="6541272B">
              <w:rPr>
                <w:rFonts w:ascii="Times New Roman" w:hAnsi="Times New Roman"/>
                <w:sz w:val="24"/>
              </w:rPr>
              <w:t>at</w:t>
            </w:r>
            <w:r w:rsidRPr="6541272B">
              <w:rPr>
                <w:rFonts w:ascii="Times New Roman" w:hAnsi="Times New Roman"/>
                <w:sz w:val="24"/>
              </w:rPr>
              <w:t xml:space="preserve"> amount shall be reported in column </w:t>
            </w:r>
            <w:r w:rsidR="39447F23" w:rsidRPr="000059B8">
              <w:rPr>
                <w:rFonts w:ascii="Times New Roman" w:hAnsi="Times New Roman"/>
                <w:sz w:val="24"/>
              </w:rPr>
              <w:t>0</w:t>
            </w:r>
            <w:r w:rsidR="39447F23" w:rsidRPr="6541272B">
              <w:rPr>
                <w:rFonts w:ascii="Times New Roman" w:hAnsi="Times New Roman"/>
                <w:sz w:val="24"/>
              </w:rPr>
              <w:t xml:space="preserve">170. </w:t>
            </w:r>
          </w:p>
        </w:tc>
      </w:tr>
      <w:tr w:rsidR="001C7AB7" w:rsidRPr="002A677E" w14:paraId="0D7F127A" w14:textId="77777777" w:rsidTr="21F156CF">
        <w:tc>
          <w:tcPr>
            <w:tcW w:w="1188" w:type="dxa"/>
          </w:tcPr>
          <w:p w14:paraId="3C5B3B34"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70-</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12FB2112"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SUBSTITUTION OF THE EXPOSURE DUE TO CRM</w:t>
            </w:r>
          </w:p>
          <w:p w14:paraId="3F82767E" w14:textId="345565D7" w:rsidR="006C35BA" w:rsidRPr="000059B8" w:rsidRDefault="0A14C33D" w:rsidP="6541272B">
            <w:pPr>
              <w:rPr>
                <w:rFonts w:ascii="Times New Roman" w:hAnsi="Times New Roman"/>
                <w:sz w:val="24"/>
              </w:rPr>
            </w:pPr>
            <w:r w:rsidRPr="6541272B">
              <w:rPr>
                <w:rFonts w:ascii="Times New Roman" w:hAnsi="Times New Roman"/>
                <w:sz w:val="24"/>
              </w:rPr>
              <w:t>Outflows shall correspond to the covered part of the original exposure pre-conversion factors, that is deducted from the obligor's exposure class and, where relevant, obligor grade or pool, and subsequently assigned to the exposure class</w:t>
            </w:r>
            <w:r w:rsidRPr="000059B8">
              <w:rPr>
                <w:rFonts w:ascii="Times New Roman" w:hAnsi="Times New Roman"/>
                <w:sz w:val="24"/>
              </w:rPr>
              <w:t xml:space="preserve"> of the protection provider </w:t>
            </w:r>
            <w:r w:rsidRPr="6541272B">
              <w:rPr>
                <w:rFonts w:ascii="Times New Roman" w:hAnsi="Times New Roman"/>
                <w:sz w:val="24"/>
              </w:rPr>
              <w:t xml:space="preserve">and, where relevant, obligor grade or pool. That amount shall be considered as an inflow into the  exposure class </w:t>
            </w:r>
            <w:r w:rsidRPr="000059B8">
              <w:rPr>
                <w:rFonts w:ascii="Times New Roman" w:hAnsi="Times New Roman"/>
                <w:sz w:val="24"/>
              </w:rPr>
              <w:t xml:space="preserve">of the protection provider </w:t>
            </w:r>
            <w:r w:rsidRPr="6541272B">
              <w:rPr>
                <w:rFonts w:ascii="Times New Roman" w:hAnsi="Times New Roman"/>
                <w:sz w:val="24"/>
              </w:rPr>
              <w:t>and, where relevant, obligor grades or pools.</w:t>
            </w:r>
          </w:p>
          <w:p w14:paraId="4998A7CE" w14:textId="39A5DDFE" w:rsidR="001C7AB7" w:rsidRPr="000059B8" w:rsidRDefault="001C7AB7" w:rsidP="001C7AB7">
            <w:pPr>
              <w:rPr>
                <w:rFonts w:ascii="Times New Roman" w:hAnsi="Times New Roman"/>
                <w:sz w:val="24"/>
              </w:rPr>
            </w:pPr>
            <w:r w:rsidRPr="002A677E">
              <w:rPr>
                <w:rFonts w:ascii="Times New Roman" w:hAnsi="Times New Roman"/>
                <w:sz w:val="24"/>
              </w:rPr>
              <w:t>Inflows and outflows within the same exposure classes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r w:rsidR="00BD6DB9" w:rsidRPr="002A677E">
              <w:rPr>
                <w:rFonts w:ascii="Times New Roman" w:hAnsi="Times New Roman"/>
                <w:sz w:val="24"/>
              </w:rPr>
              <w:t>,</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also be considered.</w:t>
            </w:r>
          </w:p>
          <w:p w14:paraId="09501E18" w14:textId="42835217" w:rsidR="001C7AB7" w:rsidRPr="000059B8" w:rsidRDefault="001C7AB7" w:rsidP="001C7AB7">
            <w:pPr>
              <w:rPr>
                <w:rFonts w:ascii="Times New Roman" w:hAnsi="Times New Roman"/>
                <w:sz w:val="24"/>
              </w:rPr>
            </w:pPr>
            <w:r w:rsidRPr="002A677E">
              <w:rPr>
                <w:rFonts w:ascii="Times New Roman" w:hAnsi="Times New Roman"/>
                <w:sz w:val="24"/>
              </w:rPr>
              <w:t xml:space="preserve">Exposures stemming from possible in- and outflows from and to other templates </w:t>
            </w:r>
            <w:r w:rsidR="00C93697" w:rsidRPr="002A677E">
              <w:rPr>
                <w:rFonts w:ascii="Times New Roman" w:hAnsi="Times New Roman"/>
                <w:sz w:val="24"/>
              </w:rPr>
              <w:t>shall</w:t>
            </w:r>
            <w:r w:rsidRPr="002A677E">
              <w:rPr>
                <w:rFonts w:ascii="Times New Roman" w:hAnsi="Times New Roman"/>
                <w:sz w:val="24"/>
              </w:rPr>
              <w:t xml:space="preserve"> be taken into account.</w:t>
            </w:r>
          </w:p>
          <w:p w14:paraId="1CF5670D" w14:textId="1F7BCFD3" w:rsidR="006C35BA" w:rsidRPr="002A677E" w:rsidRDefault="006C35BA" w:rsidP="009A4399"/>
        </w:tc>
      </w:tr>
      <w:tr w:rsidR="001C7AB7" w:rsidRPr="002A677E" w14:paraId="3D8B2B9C" w14:textId="77777777" w:rsidTr="21F156CF">
        <w:tc>
          <w:tcPr>
            <w:tcW w:w="1188" w:type="dxa"/>
          </w:tcPr>
          <w:p w14:paraId="0ED2CA69" w14:textId="5E6BFF48"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90</w:t>
            </w:r>
            <w:r w:rsidR="0A14C33D" w:rsidRPr="6541272B">
              <w:rPr>
                <w:rFonts w:ascii="Times New Roman" w:hAnsi="Times New Roman"/>
                <w:sz w:val="24"/>
              </w:rPr>
              <w:t xml:space="preserve"> </w:t>
            </w:r>
          </w:p>
          <w:p w14:paraId="4BC32B06" w14:textId="65FE2F5C" w:rsidR="001C7AB7" w:rsidRPr="002A677E" w:rsidRDefault="001C7AB7" w:rsidP="001C7AB7">
            <w:r>
              <w:br/>
            </w:r>
          </w:p>
          <w:p w14:paraId="5EF48100" w14:textId="37479E28" w:rsidR="001C7AB7" w:rsidRPr="002A677E" w:rsidRDefault="001C7AB7" w:rsidP="001C7AB7">
            <w:pPr>
              <w:rPr>
                <w:rFonts w:ascii="Times New Roman" w:hAnsi="Times New Roman"/>
                <w:sz w:val="24"/>
              </w:rPr>
            </w:pPr>
          </w:p>
        </w:tc>
        <w:tc>
          <w:tcPr>
            <w:tcW w:w="8843" w:type="dxa"/>
          </w:tcPr>
          <w:p w14:paraId="6505BD0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AFTER CRM SUBSTITUTION EFFECTS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832BD0C" w14:textId="77777777" w:rsidR="001C7AB7" w:rsidRPr="002A677E" w:rsidRDefault="001C7AB7" w:rsidP="001C7AB7">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2A677E" w14:paraId="675DE022" w14:textId="77777777" w:rsidTr="21F156CF">
        <w:tc>
          <w:tcPr>
            <w:tcW w:w="1188" w:type="dxa"/>
          </w:tcPr>
          <w:p w14:paraId="1F14C6A2"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 xml:space="preserve">100, </w:t>
            </w:r>
            <w:r w:rsidRPr="002A677E">
              <w:rPr>
                <w:rFonts w:ascii="Times New Roman" w:hAnsi="Times New Roman"/>
                <w:sz w:val="24"/>
              </w:rPr>
              <w:t>0</w:t>
            </w:r>
            <w:r w:rsidR="001C7AB7" w:rsidRPr="002A677E">
              <w:rPr>
                <w:rFonts w:ascii="Times New Roman" w:hAnsi="Times New Roman"/>
                <w:sz w:val="24"/>
              </w:rPr>
              <w:t>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6C35CF48" w14:textId="77777777" w:rsidR="001C7AB7" w:rsidRPr="002A677E" w:rsidRDefault="001C7AB7" w:rsidP="001C7AB7">
            <w:pPr>
              <w:rPr>
                <w:rFonts w:ascii="Times New Roman" w:hAnsi="Times New Roman"/>
                <w:sz w:val="24"/>
              </w:rPr>
            </w:pPr>
            <w:r w:rsidRPr="002A677E">
              <w:rPr>
                <w:rFonts w:ascii="Times New Roman" w:hAnsi="Times New Roman"/>
                <w:sz w:val="24"/>
              </w:rPr>
              <w:t>See CR-SA instructions</w:t>
            </w:r>
          </w:p>
        </w:tc>
      </w:tr>
      <w:tr w:rsidR="001050B9" w:rsidRPr="002A677E" w14:paraId="77B8980F" w14:textId="77777777" w:rsidTr="21F156CF">
        <w:tc>
          <w:tcPr>
            <w:tcW w:w="1188" w:type="dxa"/>
          </w:tcPr>
          <w:p w14:paraId="58CE0651" w14:textId="47334154" w:rsidR="001050B9" w:rsidRPr="002A677E" w:rsidRDefault="00C62BD0" w:rsidP="001C7AB7">
            <w:pPr>
              <w:rPr>
                <w:rFonts w:ascii="Times New Roman" w:hAnsi="Times New Roman"/>
                <w:sz w:val="24"/>
              </w:rPr>
            </w:pPr>
            <w:r>
              <w:rPr>
                <w:rFonts w:ascii="Times New Roman" w:hAnsi="Times New Roman"/>
                <w:sz w:val="24"/>
              </w:rPr>
              <w:t>0101-0107</w:t>
            </w:r>
          </w:p>
        </w:tc>
        <w:tc>
          <w:tcPr>
            <w:tcW w:w="8843" w:type="dxa"/>
          </w:tcPr>
          <w:p w14:paraId="7BAF7207" w14:textId="77777777" w:rsidR="001050B9" w:rsidRPr="00B7761D" w:rsidRDefault="00E6450F" w:rsidP="001C7AB7">
            <w:pPr>
              <w:rPr>
                <w:rStyle w:val="InstructionsTabelleberschrift"/>
                <w:rFonts w:ascii="Times New Roman" w:hAnsi="Times New Roman"/>
                <w:sz w:val="24"/>
              </w:rPr>
            </w:pPr>
            <w:r w:rsidRPr="00F23AF0">
              <w:rPr>
                <w:rStyle w:val="InstructionsTabelleberschrift"/>
                <w:rFonts w:ascii="Times New Roman" w:hAnsi="Times New Roman"/>
                <w:sz w:val="24"/>
              </w:rPr>
              <w:t>B</w:t>
            </w:r>
            <w:r w:rsidRPr="00B7761D">
              <w:rPr>
                <w:rStyle w:val="InstructionsTabelleberschrift"/>
                <w:rFonts w:ascii="Times New Roman" w:hAnsi="Times New Roman"/>
                <w:sz w:val="24"/>
              </w:rPr>
              <w:t>REAKDOWN OF THE FULLY ADJUSTED EXPOSURE VALUE OF OFF-BALANCE SHEET ITEMS BY CONVERSION FACTORS</w:t>
            </w:r>
          </w:p>
          <w:p w14:paraId="76545DFE" w14:textId="73DA65AF" w:rsidR="005127D6" w:rsidRPr="002A677E" w:rsidRDefault="005127D6" w:rsidP="00B055FF">
            <w:pPr>
              <w:pStyle w:val="InstructionsText"/>
            </w:pPr>
            <w:r w:rsidRPr="002A677E">
              <w:t>Article 1</w:t>
            </w:r>
            <w:r>
              <w:t>66</w:t>
            </w:r>
            <w:r w:rsidRPr="002A677E">
              <w:t>(</w:t>
            </w:r>
            <w:r>
              <w:t>8</w:t>
            </w:r>
            <w:r w:rsidRPr="002A677E">
              <w:t xml:space="preserve">) </w:t>
            </w:r>
            <w:r w:rsidR="00E438EB" w:rsidRPr="00E438EB">
              <w:t>in accordance with paragraphs 8a and 8b and Article 151(8)</w:t>
            </w:r>
            <w:r w:rsidRPr="002A677E">
              <w:t xml:space="preserve"> </w:t>
            </w:r>
            <w:r w:rsidRPr="001235ED">
              <w:rPr>
                <w:lang w:val="en-US"/>
              </w:rPr>
              <w:t>of Regulation (EU) No 575/2013</w:t>
            </w:r>
            <w:r w:rsidRPr="002A677E">
              <w:t>.</w:t>
            </w:r>
          </w:p>
          <w:p w14:paraId="72D530A8" w14:textId="1DA6C699" w:rsidR="00E6450F" w:rsidRPr="00E438EB" w:rsidRDefault="005127D6" w:rsidP="005127D6">
            <w:pPr>
              <w:rPr>
                <w:rStyle w:val="InstructionsTabelleberschrift"/>
                <w:rFonts w:ascii="Times New Roman" w:hAnsi="Times New Roman"/>
                <w:sz w:val="24"/>
              </w:rPr>
            </w:pPr>
            <w:r w:rsidRPr="00B7761D">
              <w:rPr>
                <w:rFonts w:ascii="Times New Roman" w:hAnsi="Times New Roman"/>
                <w:sz w:val="24"/>
              </w:rPr>
              <w:t>The figures reported shall be the fully adjusted exposure values before application of the conversion factor.</w:t>
            </w:r>
          </w:p>
        </w:tc>
      </w:tr>
      <w:tr w:rsidR="001803AE" w:rsidRPr="002A677E" w14:paraId="0C9098E3" w14:textId="77777777" w:rsidTr="21F156CF">
        <w:tc>
          <w:tcPr>
            <w:tcW w:w="1188" w:type="dxa"/>
          </w:tcPr>
          <w:p w14:paraId="38D18240" w14:textId="6CB3B192" w:rsidR="001803AE" w:rsidRDefault="001803AE" w:rsidP="001C7AB7">
            <w:pPr>
              <w:rPr>
                <w:rFonts w:ascii="Times New Roman" w:hAnsi="Times New Roman"/>
                <w:sz w:val="24"/>
              </w:rPr>
            </w:pPr>
            <w:r>
              <w:rPr>
                <w:rFonts w:ascii="Times New Roman" w:hAnsi="Times New Roman"/>
                <w:sz w:val="24"/>
              </w:rPr>
              <w:t>0101</w:t>
            </w:r>
          </w:p>
        </w:tc>
        <w:tc>
          <w:tcPr>
            <w:tcW w:w="8843" w:type="dxa"/>
          </w:tcPr>
          <w:p w14:paraId="378499FC" w14:textId="77777777" w:rsidR="001803AE" w:rsidRPr="00B7761D" w:rsidRDefault="001803AE" w:rsidP="001C7AB7">
            <w:pPr>
              <w:rPr>
                <w:rStyle w:val="InstructionsTabelleberschrift"/>
                <w:rFonts w:ascii="Times New Roman" w:hAnsi="Times New Roman"/>
                <w:sz w:val="24"/>
              </w:rPr>
            </w:pPr>
            <w:r w:rsidRPr="00F23AF0">
              <w:rPr>
                <w:rStyle w:val="InstructionsTabelleberschrift"/>
                <w:rFonts w:ascii="Times New Roman" w:hAnsi="Times New Roman"/>
                <w:sz w:val="24"/>
              </w:rPr>
              <w:t>M</w:t>
            </w:r>
            <w:r w:rsidRPr="00B7761D">
              <w:rPr>
                <w:rStyle w:val="InstructionsTabelleberschrift"/>
                <w:rFonts w:ascii="Times New Roman" w:hAnsi="Times New Roman"/>
                <w:sz w:val="24"/>
              </w:rPr>
              <w:t>ODELLED CONVERSION FACTORS</w:t>
            </w:r>
          </w:p>
          <w:p w14:paraId="587E9E6D" w14:textId="2C4909A7" w:rsidR="001803AE" w:rsidRPr="00E438EB" w:rsidRDefault="00E438EB" w:rsidP="00B055FF">
            <w:pPr>
              <w:pStyle w:val="InstructionsText"/>
              <w:rPr>
                <w:rStyle w:val="InstructionsTabelleberschrift"/>
                <w:rFonts w:ascii="Times New Roman" w:hAnsi="Times New Roman"/>
                <w:b w:val="0"/>
                <w:sz w:val="24"/>
                <w:u w:val="none"/>
                <w:lang w:eastAsia="en-US"/>
              </w:rPr>
            </w:pPr>
            <w:r w:rsidRPr="002A677E">
              <w:t>Article 1</w:t>
            </w:r>
            <w:r>
              <w:t>66</w:t>
            </w:r>
            <w:r w:rsidRPr="002A677E">
              <w:t>(</w:t>
            </w:r>
            <w:r>
              <w:t>8</w:t>
            </w:r>
            <w:r w:rsidR="003705C1">
              <w:t>b</w:t>
            </w:r>
            <w:r w:rsidRPr="002A677E">
              <w:t>)</w:t>
            </w:r>
            <w:r w:rsidR="003705C1">
              <w:t xml:space="preserve"> and (8c)</w:t>
            </w:r>
            <w:r w:rsidR="00891B34">
              <w:t xml:space="preserve"> and Article 182</w:t>
            </w:r>
            <w:r w:rsidRPr="002A677E">
              <w:t xml:space="preserve"> </w:t>
            </w:r>
            <w:r w:rsidRPr="001235ED">
              <w:rPr>
                <w:lang w:val="en-US"/>
              </w:rPr>
              <w:t>of Regulation (EU) No 575/2013</w:t>
            </w:r>
            <w:r w:rsidRPr="002A677E">
              <w:t>.</w:t>
            </w:r>
          </w:p>
        </w:tc>
      </w:tr>
      <w:tr w:rsidR="001803AE" w:rsidRPr="002A677E" w14:paraId="755D437B" w14:textId="77777777" w:rsidTr="21F156CF">
        <w:tc>
          <w:tcPr>
            <w:tcW w:w="1188" w:type="dxa"/>
          </w:tcPr>
          <w:p w14:paraId="22DBC5E0" w14:textId="5B5CA456" w:rsidR="001803AE" w:rsidRDefault="001803AE" w:rsidP="001C7AB7">
            <w:pPr>
              <w:rPr>
                <w:rFonts w:ascii="Times New Roman" w:hAnsi="Times New Roman"/>
                <w:sz w:val="24"/>
              </w:rPr>
            </w:pPr>
            <w:r>
              <w:rPr>
                <w:rFonts w:ascii="Times New Roman" w:hAnsi="Times New Roman"/>
                <w:sz w:val="24"/>
              </w:rPr>
              <w:t>0102</w:t>
            </w:r>
            <w:r w:rsidR="00DB0AFB">
              <w:rPr>
                <w:rFonts w:ascii="Times New Roman" w:hAnsi="Times New Roman"/>
                <w:sz w:val="24"/>
              </w:rPr>
              <w:t>-0107</w:t>
            </w:r>
          </w:p>
        </w:tc>
        <w:tc>
          <w:tcPr>
            <w:tcW w:w="8843" w:type="dxa"/>
          </w:tcPr>
          <w:p w14:paraId="420E9905" w14:textId="77777777" w:rsidR="001803AE" w:rsidRPr="00B7761D" w:rsidRDefault="00DB0AFB" w:rsidP="001C7AB7">
            <w:pPr>
              <w:rPr>
                <w:rStyle w:val="InstructionsTabelleberschrift"/>
                <w:rFonts w:ascii="Times New Roman" w:hAnsi="Times New Roman"/>
                <w:sz w:val="24"/>
              </w:rPr>
            </w:pPr>
            <w:r w:rsidRPr="00433E67">
              <w:rPr>
                <w:rStyle w:val="InstructionsTabelleberschrift"/>
                <w:rFonts w:ascii="Times New Roman" w:hAnsi="Times New Roman"/>
                <w:sz w:val="24"/>
              </w:rPr>
              <w:t>S</w:t>
            </w:r>
            <w:r w:rsidRPr="00B7761D">
              <w:rPr>
                <w:rStyle w:val="InstructionsTabelleberschrift"/>
                <w:rFonts w:ascii="Times New Roman" w:hAnsi="Times New Roman"/>
                <w:sz w:val="24"/>
              </w:rPr>
              <w:t>TANDARD CONVERSION FACTORS</w:t>
            </w:r>
          </w:p>
          <w:p w14:paraId="6442E522" w14:textId="70D67410" w:rsidR="00DB0AFB" w:rsidRPr="00433E67" w:rsidRDefault="00433E67" w:rsidP="001C7AB7">
            <w:pPr>
              <w:rPr>
                <w:rStyle w:val="InstructionsTabelleberschrift"/>
                <w:rFonts w:ascii="Times New Roman" w:hAnsi="Times New Roman"/>
                <w:sz w:val="24"/>
              </w:rPr>
            </w:pPr>
            <w:r w:rsidRPr="00B7761D">
              <w:rPr>
                <w:rFonts w:ascii="Times New Roman" w:hAnsi="Times New Roman"/>
                <w:sz w:val="24"/>
              </w:rPr>
              <w:t>Article 166(8</w:t>
            </w:r>
            <w:r w:rsidR="00E97D1D">
              <w:rPr>
                <w:rFonts w:ascii="Times New Roman" w:hAnsi="Times New Roman"/>
                <w:sz w:val="24"/>
              </w:rPr>
              <w:t>a</w:t>
            </w:r>
            <w:r w:rsidRPr="00B7761D">
              <w:rPr>
                <w:rFonts w:ascii="Times New Roman" w:hAnsi="Times New Roman"/>
                <w:sz w:val="24"/>
              </w:rPr>
              <w:t xml:space="preserve">) </w:t>
            </w:r>
            <w:r w:rsidRPr="00B7761D">
              <w:rPr>
                <w:rFonts w:ascii="Times New Roman" w:hAnsi="Times New Roman"/>
                <w:sz w:val="24"/>
                <w:lang w:val="en-US"/>
              </w:rPr>
              <w:t>of Regulation (EU) No 575/2013</w:t>
            </w:r>
            <w:r w:rsidRPr="00B7761D">
              <w:rPr>
                <w:rFonts w:ascii="Times New Roman" w:hAnsi="Times New Roman"/>
                <w:sz w:val="24"/>
              </w:rPr>
              <w:t>.</w:t>
            </w:r>
          </w:p>
        </w:tc>
      </w:tr>
      <w:tr w:rsidR="001C7AB7" w:rsidRPr="002A677E" w14:paraId="59710CE6" w14:textId="77777777" w:rsidTr="21F156CF">
        <w:tc>
          <w:tcPr>
            <w:tcW w:w="1188" w:type="dxa"/>
          </w:tcPr>
          <w:p w14:paraId="176C769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110</w:t>
            </w:r>
          </w:p>
        </w:tc>
        <w:tc>
          <w:tcPr>
            <w:tcW w:w="8843" w:type="dxa"/>
          </w:tcPr>
          <w:p w14:paraId="370EF49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VALUE</w:t>
            </w:r>
          </w:p>
          <w:p w14:paraId="53CB4935" w14:textId="55E582E8" w:rsidR="001C7AB7" w:rsidRPr="002A677E" w:rsidRDefault="001C7AB7" w:rsidP="001C7AB7">
            <w:pPr>
              <w:rPr>
                <w:rFonts w:ascii="Times New Roman" w:hAnsi="Times New Roman"/>
                <w:sz w:val="24"/>
              </w:rPr>
            </w:pPr>
            <w:r w:rsidRPr="002A677E">
              <w:rPr>
                <w:rFonts w:ascii="Times New Roman" w:hAnsi="Times New Roman"/>
                <w:sz w:val="24"/>
              </w:rPr>
              <w:t xml:space="preserve">The </w:t>
            </w:r>
            <w:r w:rsidR="00BD6DB9" w:rsidRPr="002A677E">
              <w:rPr>
                <w:rFonts w:ascii="Times New Roman" w:hAnsi="Times New Roman"/>
                <w:sz w:val="24"/>
              </w:rPr>
              <w:t xml:space="preserve">exposure </w:t>
            </w:r>
            <w:r w:rsidRPr="002A677E">
              <w:rPr>
                <w:rFonts w:ascii="Times New Roman" w:hAnsi="Times New Roman"/>
                <w:sz w:val="24"/>
              </w:rPr>
              <w:t>value</w:t>
            </w:r>
            <w:r w:rsidR="008D24A6" w:rsidRPr="002A677E">
              <w:rPr>
                <w:rFonts w:ascii="Times New Roman" w:hAnsi="Times New Roman"/>
                <w:sz w:val="24"/>
              </w:rPr>
              <w:t>s</w:t>
            </w:r>
            <w:r w:rsidRPr="002A677E">
              <w:rPr>
                <w:rFonts w:ascii="Times New Roman" w:hAnsi="Times New Roman"/>
                <w:sz w:val="24"/>
              </w:rPr>
              <w:t xml:space="preserve"> </w:t>
            </w:r>
            <w:r w:rsidR="00BD6DB9" w:rsidRPr="002A677E">
              <w:rPr>
                <w:rFonts w:ascii="Times New Roman" w:hAnsi="Times New Roman"/>
                <w:sz w:val="24"/>
              </w:rPr>
              <w:t xml:space="preserve">determined </w:t>
            </w:r>
            <w:r w:rsidRPr="002A677E">
              <w:rPr>
                <w:rFonts w:ascii="Times New Roman" w:hAnsi="Times New Roman"/>
                <w:sz w:val="24"/>
              </w:rPr>
              <w:t xml:space="preserve">in accordance with Article 166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w:t>
            </w:r>
            <w:r w:rsidR="00705025" w:rsidRPr="002A677E">
              <w:rPr>
                <w:rFonts w:ascii="Times New Roman" w:hAnsi="Times New Roman"/>
                <w:sz w:val="24"/>
              </w:rPr>
              <w:t xml:space="preserve">the second sentence of </w:t>
            </w:r>
            <w:r w:rsidRPr="002A677E">
              <w:rPr>
                <w:rFonts w:ascii="Times New Roman" w:hAnsi="Times New Roman"/>
                <w:sz w:val="24"/>
              </w:rPr>
              <w:t xml:space="preserve">Article 230(1) </w:t>
            </w:r>
            <w:r w:rsidR="00F34382" w:rsidRPr="001235ED">
              <w:rPr>
                <w:rFonts w:ascii="Times New Roman" w:hAnsi="Times New Roman"/>
                <w:sz w:val="24"/>
                <w:lang w:val="en-US"/>
              </w:rPr>
              <w:t xml:space="preserve">of that Regulation </w:t>
            </w:r>
            <w:r w:rsidR="00BD6DB9" w:rsidRPr="002A677E">
              <w:rPr>
                <w:rFonts w:ascii="Times New Roman" w:hAnsi="Times New Roman"/>
                <w:sz w:val="24"/>
              </w:rPr>
              <w:t>shall be</w:t>
            </w:r>
            <w:r w:rsidRPr="002A677E">
              <w:rPr>
                <w:rFonts w:ascii="Times New Roman" w:hAnsi="Times New Roman"/>
                <w:sz w:val="24"/>
              </w:rPr>
              <w:t xml:space="preserve"> reported.</w:t>
            </w:r>
          </w:p>
          <w:p w14:paraId="38C4611A" w14:textId="05973175" w:rsidR="001C7AB7" w:rsidRPr="002A677E" w:rsidRDefault="001C7AB7" w:rsidP="001C7AB7">
            <w:pPr>
              <w:rPr>
                <w:rFonts w:ascii="Times New Roman" w:hAnsi="Times New Roman"/>
                <w:sz w:val="24"/>
              </w:rPr>
            </w:pPr>
            <w:r w:rsidRPr="002A677E">
              <w:rPr>
                <w:rFonts w:ascii="Times New Roman" w:hAnsi="Times New Roman"/>
                <w:sz w:val="24"/>
              </w:rPr>
              <w:lastRenderedPageBreak/>
              <w:t xml:space="preserve">For the instruments </w:t>
            </w:r>
            <w:r w:rsidR="00BD6DB9" w:rsidRPr="002A677E">
              <w:rPr>
                <w:rFonts w:ascii="Times New Roman" w:hAnsi="Times New Roman"/>
                <w:sz w:val="24"/>
              </w:rPr>
              <w:t xml:space="preserve">referred to </w:t>
            </w:r>
            <w:r w:rsidRPr="002A677E">
              <w:rPr>
                <w:rFonts w:ascii="Times New Roman" w:hAnsi="Times New Roman"/>
                <w:sz w:val="24"/>
              </w:rPr>
              <w:t xml:space="preserve">in Annex I, credit conversion factors </w:t>
            </w:r>
            <w:r w:rsidR="008D24A6" w:rsidRPr="002A677E">
              <w:rPr>
                <w:rFonts w:ascii="Times New Roman" w:hAnsi="Times New Roman"/>
                <w:sz w:val="24"/>
              </w:rPr>
              <w:t xml:space="preserve">and percentages </w:t>
            </w:r>
            <w:r w:rsidR="00EA1F5A" w:rsidRPr="002A677E">
              <w:rPr>
                <w:rFonts w:ascii="Times New Roman" w:hAnsi="Times New Roman"/>
                <w:sz w:val="24"/>
              </w:rPr>
              <w:t>in accordance with</w:t>
            </w:r>
            <w:r w:rsidR="008D24A6" w:rsidRPr="002A677E">
              <w:rPr>
                <w:rFonts w:ascii="Times New Roman" w:hAnsi="Times New Roman"/>
                <w:sz w:val="24"/>
              </w:rPr>
              <w:t xml:space="preserve"> </w:t>
            </w:r>
            <w:r w:rsidRPr="002A677E">
              <w:rPr>
                <w:rFonts w:ascii="Times New Roman" w:hAnsi="Times New Roman"/>
                <w:sz w:val="24"/>
              </w:rPr>
              <w:t>Article 166</w:t>
            </w:r>
            <w:r w:rsidR="00B83DDE">
              <w:rPr>
                <w:rFonts w:ascii="Times New Roman" w:hAnsi="Times New Roman"/>
                <w:sz w:val="24"/>
              </w:rPr>
              <w:t>, p</w:t>
            </w:r>
            <w:r w:rsidR="007968EE" w:rsidRPr="002A677E">
              <w:rPr>
                <w:rFonts w:ascii="Times New Roman" w:hAnsi="Times New Roman"/>
                <w:sz w:val="24"/>
              </w:rPr>
              <w:t xml:space="preserve">aragraphs 8, 9 and 10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are applied</w:t>
            </w:r>
            <w:r w:rsidR="00BD6DB9" w:rsidRPr="002A677E">
              <w:rPr>
                <w:rFonts w:ascii="Times New Roman" w:hAnsi="Times New Roman"/>
                <w:sz w:val="24"/>
              </w:rPr>
              <w:t>,</w:t>
            </w:r>
            <w:r w:rsidRPr="002A677E">
              <w:rPr>
                <w:rFonts w:ascii="Times New Roman" w:hAnsi="Times New Roman"/>
                <w:sz w:val="24"/>
              </w:rPr>
              <w:t xml:space="preserve"> irrespective</w:t>
            </w:r>
            <w:r w:rsidR="00BD6DB9" w:rsidRPr="002A677E">
              <w:rPr>
                <w:rFonts w:ascii="Times New Roman" w:hAnsi="Times New Roman"/>
                <w:sz w:val="24"/>
              </w:rPr>
              <w:t xml:space="preserve"> of</w:t>
            </w:r>
            <w:r w:rsidRPr="002A677E">
              <w:rPr>
                <w:rFonts w:ascii="Times New Roman" w:hAnsi="Times New Roman"/>
                <w:sz w:val="24"/>
              </w:rPr>
              <w:t xml:space="preserve"> the approach chosen by the institution.</w:t>
            </w:r>
          </w:p>
          <w:p w14:paraId="60CDFD08" w14:textId="77777777" w:rsidR="001C7AB7" w:rsidRPr="002A677E" w:rsidRDefault="008D24A6" w:rsidP="00BD6DB9">
            <w:pPr>
              <w:rPr>
                <w:rFonts w:ascii="Times New Roman" w:hAnsi="Times New Roman"/>
                <w:sz w:val="24"/>
              </w:rPr>
            </w:pPr>
            <w:r w:rsidRPr="002A677E">
              <w:rPr>
                <w:rFonts w:ascii="Times New Roman" w:hAnsi="Times New Roman"/>
                <w:sz w:val="24"/>
              </w:rPr>
              <w:t xml:space="preserve">Exposure values for CCR business shall be the same as reported in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17F0BDA7" w14:textId="77777777" w:rsidTr="21F156CF">
        <w:tc>
          <w:tcPr>
            <w:tcW w:w="1188" w:type="dxa"/>
          </w:tcPr>
          <w:p w14:paraId="6108AA18"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0E90EFC" w14:textId="77777777" w:rsidR="001C7AB7" w:rsidRPr="002A677E" w:rsidRDefault="001C7AB7" w:rsidP="00FD6CCB">
            <w:pPr>
              <w:rPr>
                <w:rFonts w:ascii="Times New Roman" w:hAnsi="Times New Roman"/>
                <w:sz w:val="24"/>
              </w:rPr>
            </w:pPr>
            <w:r w:rsidRPr="002A677E">
              <w:rPr>
                <w:rFonts w:ascii="Times New Roman" w:hAnsi="Times New Roman"/>
                <w:sz w:val="24"/>
              </w:rPr>
              <w:t xml:space="preserve">See </w:t>
            </w:r>
            <w:r w:rsidR="008D24A6" w:rsidRPr="002A677E">
              <w:rPr>
                <w:rFonts w:ascii="Times New Roman" w:hAnsi="Times New Roman"/>
                <w:sz w:val="24"/>
              </w:rPr>
              <w:t xml:space="preserve">the corresponding </w:t>
            </w:r>
            <w:r w:rsidRPr="002A677E">
              <w:rPr>
                <w:rFonts w:ascii="Times New Roman" w:hAnsi="Times New Roman"/>
                <w:sz w:val="24"/>
              </w:rPr>
              <w:t>CR</w:t>
            </w:r>
            <w:r w:rsidR="00FD6CCB" w:rsidRPr="002A677E">
              <w:rPr>
                <w:rFonts w:ascii="Times New Roman" w:hAnsi="Times New Roman"/>
                <w:sz w:val="24"/>
              </w:rPr>
              <w:t xml:space="preserve"> </w:t>
            </w:r>
            <w:r w:rsidRPr="002A677E">
              <w:rPr>
                <w:rFonts w:ascii="Times New Roman" w:hAnsi="Times New Roman"/>
                <w:sz w:val="24"/>
              </w:rPr>
              <w:t>SA instructions</w:t>
            </w:r>
            <w:r w:rsidR="008D24A6" w:rsidRPr="002A677E">
              <w:rPr>
                <w:rFonts w:ascii="Times New Roman" w:hAnsi="Times New Roman"/>
                <w:sz w:val="24"/>
              </w:rPr>
              <w:t xml:space="preserve"> in column </w:t>
            </w:r>
            <w:r w:rsidR="00FF15C6" w:rsidRPr="002A677E">
              <w:rPr>
                <w:rFonts w:ascii="Times New Roman" w:hAnsi="Times New Roman"/>
                <w:sz w:val="24"/>
              </w:rPr>
              <w:t>0</w:t>
            </w:r>
            <w:r w:rsidR="008D24A6" w:rsidRPr="002A677E">
              <w:rPr>
                <w:rFonts w:ascii="Times New Roman" w:hAnsi="Times New Roman"/>
                <w:sz w:val="24"/>
              </w:rPr>
              <w:t>210</w:t>
            </w:r>
            <w:r w:rsidRPr="002A677E">
              <w:rPr>
                <w:rFonts w:ascii="Times New Roman" w:hAnsi="Times New Roman"/>
                <w:sz w:val="24"/>
              </w:rPr>
              <w:t>.</w:t>
            </w:r>
            <w:r w:rsidRPr="002A677E">
              <w:rPr>
                <w:rStyle w:val="InstructionsTabelleText"/>
                <w:rFonts w:ascii="Times New Roman" w:hAnsi="Times New Roman"/>
                <w:sz w:val="24"/>
              </w:rPr>
              <w:t xml:space="preserve"> </w:t>
            </w:r>
          </w:p>
        </w:tc>
      </w:tr>
      <w:tr w:rsidR="001C7AB7" w:rsidRPr="002A677E" w14:paraId="75F6D912" w14:textId="77777777" w:rsidTr="21F156CF">
        <w:tc>
          <w:tcPr>
            <w:tcW w:w="1188" w:type="dxa"/>
          </w:tcPr>
          <w:p w14:paraId="09A87CE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140</w:t>
            </w:r>
          </w:p>
        </w:tc>
        <w:tc>
          <w:tcPr>
            <w:tcW w:w="8843" w:type="dxa"/>
          </w:tcPr>
          <w:p w14:paraId="1FCD27A1"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1C760051" w14:textId="72807863" w:rsidR="001C7AB7" w:rsidRPr="002A677E" w:rsidRDefault="001C7AB7" w:rsidP="00F34382">
            <w:pPr>
              <w:rPr>
                <w:rFonts w:ascii="Times New Roman" w:hAnsi="Times New Roman"/>
                <w:b/>
                <w:sz w:val="24"/>
                <w:u w:val="single"/>
              </w:rPr>
            </w:pPr>
            <w:r w:rsidRPr="002A677E">
              <w:rPr>
                <w:rFonts w:ascii="Times New Roman" w:hAnsi="Times New Roman"/>
                <w:sz w:val="24"/>
              </w:rPr>
              <w:t xml:space="preserve">Breakdown of the exposure value for all exposures </w:t>
            </w:r>
            <w:r w:rsidR="00A94F5F" w:rsidRPr="002A677E">
              <w:rPr>
                <w:rFonts w:ascii="Times New Roman" w:hAnsi="Times New Roman"/>
                <w:sz w:val="24"/>
              </w:rPr>
              <w:t>to</w:t>
            </w:r>
            <w:r w:rsidR="00F33ABB" w:rsidRPr="002A677E">
              <w:rPr>
                <w:rFonts w:ascii="Times New Roman" w:hAnsi="Times New Roman"/>
                <w:sz w:val="24"/>
              </w:rPr>
              <w:t xml:space="preserve"> entities referred to in </w:t>
            </w:r>
            <w:r w:rsidRPr="002A677E">
              <w:rPr>
                <w:rFonts w:ascii="Times New Roman" w:hAnsi="Times New Roman"/>
                <w:sz w:val="24"/>
              </w:rPr>
              <w:t>Article 142</w:t>
            </w:r>
            <w:r w:rsidR="00F811C6" w:rsidRPr="002A677E">
              <w:rPr>
                <w:rFonts w:ascii="Times New Roman" w:hAnsi="Times New Roman"/>
                <w:sz w:val="24"/>
              </w:rPr>
              <w:t>(</w:t>
            </w:r>
            <w:r w:rsidR="002E5096" w:rsidRPr="002A677E">
              <w:rPr>
                <w:rFonts w:ascii="Times New Roman" w:hAnsi="Times New Roman"/>
                <w:sz w:val="24"/>
              </w:rPr>
              <w:t>1</w:t>
            </w:r>
            <w:r w:rsidR="00F811C6"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8D24A6" w:rsidRPr="002A677E">
              <w:rPr>
                <w:rFonts w:ascii="Times New Roman" w:hAnsi="Times New Roman"/>
                <w:sz w:val="24"/>
              </w:rPr>
              <w:t xml:space="preserve">coefficient of </w:t>
            </w:r>
            <w:r w:rsidRPr="002A677E">
              <w:rPr>
                <w:rFonts w:ascii="Times New Roman" w:hAnsi="Times New Roman"/>
                <w:sz w:val="24"/>
              </w:rPr>
              <w:t xml:space="preserve">correlation </w:t>
            </w:r>
            <w:r w:rsidR="00F33ABB"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50849C24" w14:textId="77777777" w:rsidTr="21F156CF">
        <w:trPr>
          <w:trHeight w:val="708"/>
        </w:trPr>
        <w:tc>
          <w:tcPr>
            <w:tcW w:w="1188" w:type="dxa"/>
          </w:tcPr>
          <w:p w14:paraId="19F289D8" w14:textId="77777777" w:rsidR="001C7AB7" w:rsidRPr="002A677E" w:rsidDel="001D4BE0"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r w:rsidRPr="002A677E">
              <w:rPr>
                <w:rFonts w:ascii="Times New Roman" w:hAnsi="Times New Roman"/>
                <w:sz w:val="24"/>
              </w:rPr>
              <w:t>0</w:t>
            </w:r>
            <w:r w:rsidR="001C7AB7" w:rsidRPr="002A677E">
              <w:rPr>
                <w:rFonts w:ascii="Times New Roman" w:hAnsi="Times New Roman"/>
                <w:sz w:val="24"/>
              </w:rPr>
              <w:t>210</w:t>
            </w:r>
          </w:p>
        </w:tc>
        <w:tc>
          <w:tcPr>
            <w:tcW w:w="8843" w:type="dxa"/>
          </w:tcPr>
          <w:p w14:paraId="089ED227" w14:textId="6BE0A319"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RISK MITIGATION TECHNIQUES TAKEN INTO ACCOUNT IN LGD ESTIMATES </w:t>
            </w:r>
          </w:p>
          <w:p w14:paraId="4FF0DBDD" w14:textId="5588DE12" w:rsidR="001C7AB7" w:rsidRDefault="001C7AB7" w:rsidP="001C7AB7">
            <w:pPr>
              <w:rPr>
                <w:rFonts w:ascii="Times New Roman" w:hAnsi="Times New Roman"/>
                <w:sz w:val="24"/>
              </w:rPr>
            </w:pPr>
            <w:r w:rsidRPr="002A677E">
              <w:rPr>
                <w:rFonts w:ascii="Times New Roman" w:hAnsi="Times New Roman"/>
                <w:sz w:val="24"/>
              </w:rPr>
              <w:t xml:space="preserve">CRM techniques that have an impact on </w:t>
            </w:r>
            <w:r w:rsidR="00E64990" w:rsidRPr="002A677E">
              <w:rPr>
                <w:rFonts w:ascii="Times New Roman" w:hAnsi="Times New Roman"/>
                <w:sz w:val="24"/>
              </w:rPr>
              <w:t xml:space="preserve">LGD estimates </w:t>
            </w:r>
            <w:r w:rsidRPr="002A677E">
              <w:rPr>
                <w:rFonts w:ascii="Times New Roman" w:hAnsi="Times New Roman"/>
                <w:sz w:val="24"/>
              </w:rPr>
              <w:t>as a result of the application of the substitution effect of CRM techniques shall not be included in these columns.</w:t>
            </w:r>
          </w:p>
          <w:p w14:paraId="7EBC4781" w14:textId="1CF04A4B" w:rsidR="004D4BDB" w:rsidRPr="002A677E" w:rsidRDefault="004D4BDB" w:rsidP="001C7AB7">
            <w:pPr>
              <w:rPr>
                <w:rFonts w:ascii="Times New Roman" w:hAnsi="Times New Roman"/>
                <w:sz w:val="24"/>
              </w:rPr>
            </w:pPr>
            <w:r>
              <w:rPr>
                <w:rFonts w:ascii="Times New Roman" w:hAnsi="Times New Roman"/>
                <w:sz w:val="24"/>
              </w:rPr>
              <w:t>The reported collateral values shall be capped at the exposures value.</w:t>
            </w:r>
          </w:p>
          <w:p w14:paraId="662F81E1" w14:textId="700B78EC"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not used</w:t>
            </w:r>
            <w:r w:rsidR="004F5C89" w:rsidRPr="002A677E">
              <w:rPr>
                <w:rFonts w:ascii="Times New Roman" w:hAnsi="Times New Roman"/>
                <w:sz w:val="24"/>
              </w:rPr>
              <w:t>,</w:t>
            </w:r>
            <w:r w:rsidR="00F33ABB" w:rsidRPr="002A677E">
              <w:rPr>
                <w:rFonts w:ascii="Times New Roman" w:hAnsi="Times New Roman"/>
                <w:sz w:val="24"/>
              </w:rPr>
              <w:t xml:space="preserve"> </w:t>
            </w:r>
            <w:r w:rsidR="001C7AB7" w:rsidRPr="002A677E">
              <w:rPr>
                <w:rFonts w:ascii="Times New Roman" w:hAnsi="Times New Roman"/>
                <w:sz w:val="24"/>
              </w:rPr>
              <w:t xml:space="preserve">Article 228(2), </w:t>
            </w:r>
            <w:r w:rsidR="00BD6DB9" w:rsidRPr="002A677E">
              <w:rPr>
                <w:rFonts w:ascii="Times New Roman" w:hAnsi="Times New Roman"/>
                <w:sz w:val="24"/>
              </w:rPr>
              <w:t xml:space="preserve">Article </w:t>
            </w:r>
            <w:r w:rsidR="001C7AB7" w:rsidRPr="002A677E">
              <w:rPr>
                <w:rFonts w:ascii="Times New Roman" w:hAnsi="Times New Roman"/>
                <w:sz w:val="24"/>
              </w:rPr>
              <w:t>230</w:t>
            </w:r>
            <w:r w:rsidR="00F811C6" w:rsidRPr="002A677E">
              <w:rPr>
                <w:rFonts w:ascii="Times New Roman" w:hAnsi="Times New Roman"/>
                <w:sz w:val="24"/>
              </w:rPr>
              <w:t>(1) and (2)</w:t>
            </w:r>
            <w:r w:rsidR="004F5C89" w:rsidRPr="002A677E">
              <w:rPr>
                <w:rFonts w:ascii="Times New Roman" w:hAnsi="Times New Roman"/>
                <w:sz w:val="24"/>
              </w:rPr>
              <w:t xml:space="preserve"> </w:t>
            </w:r>
            <w:r w:rsidR="00BD6DB9" w:rsidRPr="002A677E">
              <w:rPr>
                <w:rFonts w:ascii="Times New Roman" w:hAnsi="Times New Roman"/>
                <w:sz w:val="24"/>
              </w:rPr>
              <w:t>and</w:t>
            </w:r>
            <w:r w:rsidR="001C7AB7" w:rsidRPr="002A677E">
              <w:rPr>
                <w:rFonts w:ascii="Times New Roman" w:hAnsi="Times New Roman"/>
                <w:sz w:val="24"/>
              </w:rPr>
              <w:t xml:space="preserve"> </w:t>
            </w:r>
            <w:r w:rsidR="001E0C80" w:rsidRPr="002A677E">
              <w:rPr>
                <w:rFonts w:ascii="Times New Roman" w:hAnsi="Times New Roman"/>
                <w:sz w:val="24"/>
              </w:rPr>
              <w:t xml:space="preserve">Article </w:t>
            </w:r>
            <w:r w:rsidR="001C7AB7" w:rsidRPr="002A677E">
              <w:rPr>
                <w:rFonts w:ascii="Times New Roman" w:hAnsi="Times New Roman"/>
                <w:sz w:val="24"/>
              </w:rPr>
              <w:t xml:space="preserve">231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p>
          <w:p w14:paraId="47967159" w14:textId="77777777"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used: </w:t>
            </w:r>
          </w:p>
          <w:p w14:paraId="718750A6" w14:textId="21523390" w:rsidR="001C7AB7" w:rsidRPr="002A677E" w:rsidRDefault="001C7AB7" w:rsidP="001C7AB7">
            <w:pPr>
              <w:rPr>
                <w:rFonts w:ascii="Times New Roman" w:hAnsi="Times New Roman"/>
                <w:sz w:val="24"/>
              </w:rPr>
            </w:pPr>
            <w:r w:rsidRPr="002A677E">
              <w:rPr>
                <w:rFonts w:ascii="Times New Roman" w:hAnsi="Times New Roman"/>
                <w:sz w:val="24"/>
              </w:rPr>
              <w:t>- Regarding unfunded credit protection, for exposures to central government</w:t>
            </w:r>
            <w:r w:rsidR="00BD6DB9" w:rsidRPr="002A677E">
              <w:rPr>
                <w:rFonts w:ascii="Times New Roman" w:hAnsi="Times New Roman"/>
                <w:sz w:val="24"/>
              </w:rPr>
              <w:t>s</w:t>
            </w:r>
            <w:r w:rsidR="009F0653" w:rsidRPr="002A677E">
              <w:rPr>
                <w:rFonts w:ascii="Times New Roman" w:hAnsi="Times New Roman"/>
                <w:sz w:val="24"/>
              </w:rPr>
              <w:t xml:space="preserve"> and</w:t>
            </w:r>
            <w:r w:rsidRPr="002A677E">
              <w:rPr>
                <w:rFonts w:ascii="Times New Roman" w:hAnsi="Times New Roman"/>
                <w:sz w:val="24"/>
              </w:rPr>
              <w:t xml:space="preserve"> central banks, institutions and corporates</w:t>
            </w:r>
            <w:r w:rsidR="00F33ABB" w:rsidRPr="002A677E">
              <w:rPr>
                <w:rFonts w:ascii="Times New Roman" w:hAnsi="Times New Roman"/>
                <w:sz w:val="24"/>
              </w:rPr>
              <w:t>,</w:t>
            </w:r>
            <w:r w:rsidRPr="002A677E">
              <w:rPr>
                <w:rFonts w:ascii="Times New Roman" w:hAnsi="Times New Roman"/>
                <w:sz w:val="24"/>
              </w:rPr>
              <w:t xml:space="preserve"> Article 161</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r w:rsidRPr="002A677E">
              <w:rPr>
                <w:rFonts w:ascii="Times New Roman" w:hAnsi="Times New Roman"/>
                <w:sz w:val="24"/>
              </w:rPr>
              <w:t>. For retail exposures</w:t>
            </w:r>
            <w:r w:rsidR="00F33ABB" w:rsidRPr="002A677E">
              <w:rPr>
                <w:rFonts w:ascii="Times New Roman" w:hAnsi="Times New Roman"/>
                <w:sz w:val="24"/>
              </w:rPr>
              <w:t>,</w:t>
            </w:r>
            <w:r w:rsidRPr="002A677E">
              <w:rPr>
                <w:rFonts w:ascii="Times New Roman" w:hAnsi="Times New Roman"/>
                <w:sz w:val="24"/>
              </w:rPr>
              <w:t xml:space="preserve"> Article 164</w:t>
            </w:r>
            <w:r w:rsidR="00255BA9" w:rsidRPr="002A677E">
              <w:rPr>
                <w:rFonts w:ascii="Times New Roman" w:hAnsi="Times New Roman"/>
                <w:sz w:val="24"/>
              </w:rPr>
              <w:t>(</w:t>
            </w:r>
            <w:r w:rsidRPr="002A677E">
              <w:rPr>
                <w:rFonts w:ascii="Times New Roman" w:hAnsi="Times New Roman"/>
                <w:sz w:val="24"/>
              </w:rPr>
              <w:t>2</w:t>
            </w:r>
            <w:r w:rsidR="00255BA9" w:rsidRPr="002A677E">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w:t>
            </w:r>
            <w:r w:rsidR="004F5C89" w:rsidRPr="002A677E">
              <w:rPr>
                <w:rFonts w:ascii="Times New Roman" w:hAnsi="Times New Roman"/>
                <w:sz w:val="24"/>
              </w:rPr>
              <w:t>u</w:t>
            </w:r>
            <w:r w:rsidR="00F33ABB" w:rsidRPr="002A677E">
              <w:rPr>
                <w:rFonts w:ascii="Times New Roman" w:hAnsi="Times New Roman"/>
                <w:sz w:val="24"/>
              </w:rPr>
              <w:t>nt</w:t>
            </w:r>
            <w:r w:rsidRPr="002A677E">
              <w:rPr>
                <w:rFonts w:ascii="Times New Roman" w:hAnsi="Times New Roman"/>
                <w:sz w:val="24"/>
              </w:rPr>
              <w:t>.</w:t>
            </w:r>
          </w:p>
          <w:p w14:paraId="6F2DF107" w14:textId="45975CA2" w:rsidR="001C7AB7" w:rsidRPr="002A677E" w:rsidRDefault="001C7AB7" w:rsidP="007968EE">
            <w:pPr>
              <w:rPr>
                <w:rFonts w:ascii="Times New Roman" w:hAnsi="Times New Roman"/>
                <w:b/>
                <w:sz w:val="24"/>
                <w:u w:val="single"/>
              </w:rPr>
            </w:pPr>
            <w:r w:rsidRPr="002A677E">
              <w:rPr>
                <w:rFonts w:ascii="Times New Roman" w:hAnsi="Times New Roman"/>
                <w:sz w:val="24"/>
              </w:rPr>
              <w:t>- Regarding funded credit protection</w:t>
            </w:r>
            <w:r w:rsidR="00F33ABB" w:rsidRPr="002A677E">
              <w:rPr>
                <w:rFonts w:ascii="Times New Roman" w:hAnsi="Times New Roman"/>
                <w:sz w:val="24"/>
              </w:rPr>
              <w:t>,</w:t>
            </w:r>
            <w:r w:rsidRPr="002A677E">
              <w:rPr>
                <w:rFonts w:ascii="Times New Roman" w:hAnsi="Times New Roman"/>
                <w:sz w:val="24"/>
              </w:rPr>
              <w:t xml:space="preserve"> </w:t>
            </w:r>
            <w:r w:rsidR="00F33ABB" w:rsidRPr="002A677E">
              <w:rPr>
                <w:rFonts w:ascii="Times New Roman" w:hAnsi="Times New Roman"/>
                <w:sz w:val="24"/>
              </w:rPr>
              <w:t xml:space="preserve">the </w:t>
            </w:r>
            <w:r w:rsidRPr="002A677E">
              <w:rPr>
                <w:rFonts w:ascii="Times New Roman" w:hAnsi="Times New Roman"/>
                <w:sz w:val="24"/>
              </w:rPr>
              <w:t xml:space="preserve">collateral </w:t>
            </w:r>
            <w:r w:rsidR="00F33ABB" w:rsidRPr="002A677E">
              <w:rPr>
                <w:rFonts w:ascii="Times New Roman" w:hAnsi="Times New Roman"/>
                <w:sz w:val="24"/>
              </w:rPr>
              <w:t xml:space="preserve">shall be </w:t>
            </w:r>
            <w:r w:rsidRPr="002A677E">
              <w:rPr>
                <w:rFonts w:ascii="Times New Roman" w:hAnsi="Times New Roman"/>
                <w:sz w:val="24"/>
              </w:rPr>
              <w:t xml:space="preserve">taken into account in the LGD estimates </w:t>
            </w:r>
            <w:r w:rsidR="00BB22D4" w:rsidRPr="002A677E">
              <w:rPr>
                <w:rFonts w:ascii="Times New Roman" w:hAnsi="Times New Roman"/>
                <w:sz w:val="24"/>
              </w:rPr>
              <w:t>in accordance with</w:t>
            </w:r>
            <w:r w:rsidRPr="002A677E">
              <w:rPr>
                <w:rFonts w:ascii="Times New Roman" w:hAnsi="Times New Roman"/>
                <w:sz w:val="24"/>
              </w:rPr>
              <w:t xml:space="preserve">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1C7AB7" w:rsidRPr="002A677E" w14:paraId="0D38E8A5" w14:textId="77777777" w:rsidTr="21F156CF">
        <w:trPr>
          <w:trHeight w:val="957"/>
        </w:trPr>
        <w:tc>
          <w:tcPr>
            <w:tcW w:w="1188" w:type="dxa"/>
          </w:tcPr>
          <w:p w14:paraId="0A670200"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p>
        </w:tc>
        <w:tc>
          <w:tcPr>
            <w:tcW w:w="8843" w:type="dxa"/>
          </w:tcPr>
          <w:p w14:paraId="2CC4633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GUARANTEES </w:t>
            </w:r>
          </w:p>
          <w:p w14:paraId="051EE4B7" w14:textId="77777777" w:rsidR="001C7AB7" w:rsidRPr="002A677E" w:rsidRDefault="001C7AB7" w:rsidP="001C7AB7">
            <w:pPr>
              <w:jc w:val="left"/>
              <w:rPr>
                <w:rFonts w:ascii="Times New Roman" w:hAnsi="Times New Roman"/>
                <w:b/>
                <w:sz w:val="24"/>
                <w:u w:val="single"/>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040.</w:t>
            </w:r>
          </w:p>
        </w:tc>
      </w:tr>
      <w:tr w:rsidR="001C7AB7" w:rsidRPr="002A677E" w14:paraId="5E3C03FF" w14:textId="77777777" w:rsidTr="21F156CF">
        <w:tc>
          <w:tcPr>
            <w:tcW w:w="1188" w:type="dxa"/>
          </w:tcPr>
          <w:p w14:paraId="5B41C334"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160</w:t>
            </w:r>
          </w:p>
        </w:tc>
        <w:tc>
          <w:tcPr>
            <w:tcW w:w="8843" w:type="dxa"/>
          </w:tcPr>
          <w:p w14:paraId="04EA83C0"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DERIVATIVES </w:t>
            </w:r>
          </w:p>
          <w:p w14:paraId="33CD18C5"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050.</w:t>
            </w:r>
          </w:p>
        </w:tc>
      </w:tr>
      <w:tr w:rsidR="24B43B11" w14:paraId="59CCF749" w14:textId="77777777" w:rsidTr="21F156CF">
        <w:trPr>
          <w:trHeight w:val="300"/>
        </w:trPr>
        <w:tc>
          <w:tcPr>
            <w:tcW w:w="1188" w:type="dxa"/>
          </w:tcPr>
          <w:p w14:paraId="5AD0CC58" w14:textId="2B947E61" w:rsidR="2C06E713" w:rsidRDefault="2C06E713" w:rsidP="24B43B11">
            <w:pPr>
              <w:rPr>
                <w:rFonts w:ascii="Times New Roman" w:hAnsi="Times New Roman"/>
                <w:sz w:val="24"/>
              </w:rPr>
            </w:pPr>
            <w:r w:rsidRPr="24B43B11">
              <w:rPr>
                <w:rFonts w:ascii="Times New Roman" w:hAnsi="Times New Roman"/>
                <w:sz w:val="24"/>
              </w:rPr>
              <w:t>0170-0210</w:t>
            </w:r>
          </w:p>
        </w:tc>
        <w:tc>
          <w:tcPr>
            <w:tcW w:w="8843" w:type="dxa"/>
          </w:tcPr>
          <w:p w14:paraId="4FC94452" w14:textId="619AD70D" w:rsidR="2C06E713" w:rsidRDefault="2C06E713" w:rsidP="24B43B11">
            <w:pPr>
              <w:rPr>
                <w:rFonts w:ascii="Times New Roman" w:hAnsi="Times New Roman"/>
                <w:b/>
                <w:bCs/>
                <w:sz w:val="24"/>
                <w:u w:val="single"/>
              </w:rPr>
            </w:pPr>
            <w:r w:rsidRPr="24B43B11">
              <w:rPr>
                <w:rFonts w:ascii="Times New Roman" w:hAnsi="Times New Roman"/>
                <w:b/>
                <w:bCs/>
                <w:sz w:val="24"/>
                <w:u w:val="single"/>
              </w:rPr>
              <w:t>FUNDED CREDIT PROTECTION</w:t>
            </w:r>
          </w:p>
        </w:tc>
      </w:tr>
      <w:tr w:rsidR="001C7AB7" w:rsidRPr="002A677E" w14:paraId="4D684F84" w14:textId="77777777" w:rsidTr="21F156CF">
        <w:tc>
          <w:tcPr>
            <w:tcW w:w="1188" w:type="dxa"/>
          </w:tcPr>
          <w:p w14:paraId="3F7243F3" w14:textId="1B90892B"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170</w:t>
            </w:r>
            <w:r w:rsidR="7A9160D7" w:rsidRPr="6541272B">
              <w:rPr>
                <w:rFonts w:ascii="Times New Roman" w:hAnsi="Times New Roman"/>
                <w:sz w:val="24"/>
              </w:rPr>
              <w:t>-0173</w:t>
            </w:r>
          </w:p>
        </w:tc>
        <w:tc>
          <w:tcPr>
            <w:tcW w:w="8843" w:type="dxa"/>
          </w:tcPr>
          <w:p w14:paraId="1DA593DA"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00F8F98D" w14:textId="464EBAB2" w:rsidR="04D0BAF9" w:rsidRPr="000059B8" w:rsidRDefault="04D0BAF9">
            <w:pPr>
              <w:rPr>
                <w:rStyle w:val="InstructionsTabelleText"/>
                <w:rFonts w:ascii="Times New Roman" w:hAnsi="Times New Roman"/>
                <w:sz w:val="24"/>
              </w:rPr>
            </w:pPr>
            <w:r w:rsidRPr="000059B8">
              <w:rPr>
                <w:rStyle w:val="InstructionsTabelleText"/>
                <w:rFonts w:ascii="Times New Roman" w:hAnsi="Times New Roman"/>
                <w:sz w:val="24"/>
              </w:rPr>
              <w:t>Article 181 e) and f) of Regulation (EU) No 575/2013</w:t>
            </w:r>
          </w:p>
          <w:p w14:paraId="7425CC1D"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69145E08" w14:textId="29EC712F" w:rsidR="001C7AB7" w:rsidRPr="002A677E" w:rsidRDefault="001C7AB7" w:rsidP="00255BA9">
            <w:pPr>
              <w:rPr>
                <w:rFonts w:ascii="Times New Roman" w:hAnsi="Times New Roman"/>
                <w:sz w:val="24"/>
              </w:rPr>
            </w:pPr>
            <w:r w:rsidRPr="002A677E">
              <w:rPr>
                <w:rFonts w:ascii="Times New Roman" w:hAnsi="Times New Roman"/>
                <w:sz w:val="24"/>
              </w:rPr>
              <w:lastRenderedPageBreak/>
              <w:t xml:space="preserve">Those credit risk mitigants that comply with the criteria in Article 212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8D24A6" w:rsidRPr="002A677E" w14:paraId="224D8FFB" w14:textId="77777777" w:rsidTr="21F156CF">
        <w:tc>
          <w:tcPr>
            <w:tcW w:w="1188" w:type="dxa"/>
          </w:tcPr>
          <w:p w14:paraId="35BF6966" w14:textId="77777777" w:rsidR="008D24A6" w:rsidRPr="002A677E" w:rsidRDefault="00FF15C6"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171</w:t>
            </w:r>
          </w:p>
        </w:tc>
        <w:tc>
          <w:tcPr>
            <w:tcW w:w="8843" w:type="dxa"/>
          </w:tcPr>
          <w:p w14:paraId="0B3B3DD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CASH ON DEPOSIT</w:t>
            </w:r>
          </w:p>
          <w:p w14:paraId="7AC0BF31" w14:textId="254D19B9" w:rsidR="00B85B8C" w:rsidRPr="002A677E" w:rsidRDefault="008D24A6"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(a)</w:t>
            </w:r>
            <w:r w:rsidR="00CF595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73A353"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2A677E" w14:paraId="445F2D71" w14:textId="77777777" w:rsidTr="21F156CF">
        <w:tc>
          <w:tcPr>
            <w:tcW w:w="1188" w:type="dxa"/>
          </w:tcPr>
          <w:p w14:paraId="14994815"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172</w:t>
            </w:r>
          </w:p>
        </w:tc>
        <w:tc>
          <w:tcPr>
            <w:tcW w:w="8843" w:type="dxa"/>
          </w:tcPr>
          <w:p w14:paraId="576F146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LIFE INSURANCE POLICIES</w:t>
            </w:r>
          </w:p>
          <w:p w14:paraId="5B6FD91D" w14:textId="1FA1BAAD" w:rsidR="00B85B8C" w:rsidRPr="002A677E" w:rsidRDefault="007968EE"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6CE911D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8D24A6" w:rsidRPr="002A677E" w14:paraId="560D84FB" w14:textId="77777777" w:rsidTr="21F156CF">
        <w:tc>
          <w:tcPr>
            <w:tcW w:w="1188" w:type="dxa"/>
          </w:tcPr>
          <w:p w14:paraId="125F2018"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173</w:t>
            </w:r>
          </w:p>
        </w:tc>
        <w:tc>
          <w:tcPr>
            <w:tcW w:w="8843" w:type="dxa"/>
          </w:tcPr>
          <w:p w14:paraId="665EFC9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INSTRUMENTS HELD BY A THIRD PARTY</w:t>
            </w:r>
          </w:p>
          <w:p w14:paraId="650D8F83" w14:textId="1A8343C9" w:rsidR="00B85B8C" w:rsidRPr="002A677E" w:rsidRDefault="007968EE" w:rsidP="00F66371">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54478030" w14:textId="5EB06B67"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This includes instruments issued by a third party </w:t>
            </w:r>
            <w:r w:rsidR="0032755B" w:rsidRPr="002A677E">
              <w:rPr>
                <w:rFonts w:ascii="Times New Roman" w:hAnsi="Times New Roman"/>
                <w:sz w:val="24"/>
              </w:rPr>
              <w:t>institution, which</w:t>
            </w:r>
            <w:r w:rsidRPr="002A677E">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2A677E">
              <w:rPr>
                <w:rFonts w:ascii="Times New Roman" w:hAnsi="Times New Roman"/>
                <w:sz w:val="24"/>
              </w:rPr>
              <w:t xml:space="preserve"> This column shall exclude those exposures covered by instruments held by a third party where, </w:t>
            </w:r>
            <w:r w:rsidR="0032755B" w:rsidRPr="002A677E">
              <w:rPr>
                <w:rFonts w:ascii="Times New Roman" w:hAnsi="Times New Roman"/>
                <w:sz w:val="24"/>
              </w:rPr>
              <w:t xml:space="preserve">in accordance with </w:t>
            </w:r>
            <w:r w:rsidR="00F66371" w:rsidRPr="002A677E">
              <w:rPr>
                <w:rFonts w:ascii="Times New Roman" w:hAnsi="Times New Roman"/>
                <w:sz w:val="24"/>
              </w:rPr>
              <w:t xml:space="preserve">Article 232(4) </w:t>
            </w:r>
            <w:r w:rsidR="00F34382" w:rsidRPr="001235ED">
              <w:rPr>
                <w:rFonts w:ascii="Times New Roman" w:hAnsi="Times New Roman"/>
                <w:sz w:val="24"/>
                <w:lang w:val="en-US"/>
              </w:rPr>
              <w:t>of Regulation (EU) No 575/2013</w:t>
            </w:r>
            <w:r w:rsidR="00F66371" w:rsidRPr="002A677E">
              <w:rPr>
                <w:rFonts w:ascii="Times New Roman" w:hAnsi="Times New Roman"/>
                <w:sz w:val="24"/>
              </w:rPr>
              <w:t xml:space="preserve">, institutions treat instruments repurchased on request that are eligible under </w:t>
            </w:r>
            <w:r w:rsidR="007968EE"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(c)</w:t>
            </w:r>
            <w:r w:rsidR="00BE127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 xml:space="preserve">of that Regulation </w:t>
            </w:r>
            <w:r w:rsidR="00F66371" w:rsidRPr="002A677E">
              <w:rPr>
                <w:rFonts w:ascii="Times New Roman" w:hAnsi="Times New Roman"/>
                <w:sz w:val="24"/>
              </w:rPr>
              <w:t>as a guarantee by the issuing institution.</w:t>
            </w:r>
          </w:p>
        </w:tc>
      </w:tr>
      <w:tr w:rsidR="008D24A6" w:rsidRPr="002A677E" w14:paraId="21634535" w14:textId="77777777" w:rsidTr="21F156CF">
        <w:tc>
          <w:tcPr>
            <w:tcW w:w="1188" w:type="dxa"/>
          </w:tcPr>
          <w:p w14:paraId="5FB37F54"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180</w:t>
            </w:r>
          </w:p>
        </w:tc>
        <w:tc>
          <w:tcPr>
            <w:tcW w:w="8843" w:type="dxa"/>
          </w:tcPr>
          <w:p w14:paraId="042893C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ELIGIBLE FINANCIAL COLLATERAL</w:t>
            </w:r>
          </w:p>
          <w:p w14:paraId="23BB1AF5" w14:textId="5AC997A1" w:rsidR="008D24A6" w:rsidRPr="002A677E" w:rsidRDefault="008D24A6" w:rsidP="008D24A6">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sidR="00B83DDE">
              <w:rPr>
                <w:rFonts w:ascii="Times New Roman" w:hAnsi="Times New Roman"/>
                <w:sz w:val="24"/>
              </w:rPr>
              <w:t>, p</w:t>
            </w:r>
            <w:r w:rsidR="007968EE" w:rsidRPr="002A677E">
              <w:rPr>
                <w:rFonts w:ascii="Times New Roman" w:hAnsi="Times New Roman"/>
                <w:sz w:val="24"/>
              </w:rPr>
              <w:t>oints (c) to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w:t>
            </w:r>
            <w:r w:rsidR="007968EE" w:rsidRPr="002A677E">
              <w:rPr>
                <w:rFonts w:ascii="Times New Roman" w:hAnsi="Times New Roman"/>
                <w:sz w:val="24"/>
              </w:rPr>
              <w:t>,</w:t>
            </w:r>
            <w:r w:rsidRPr="002A677E">
              <w:rPr>
                <w:rFonts w:ascii="Times New Roman" w:hAnsi="Times New Roman"/>
                <w:sz w:val="24"/>
              </w:rPr>
              <w:t xml:space="preserve"> </w:t>
            </w:r>
            <w:r w:rsidR="007968EE" w:rsidRPr="002A677E">
              <w:rPr>
                <w:rFonts w:ascii="Times New Roman" w:hAnsi="Times New Roman"/>
                <w:sz w:val="24"/>
              </w:rPr>
              <w:t xml:space="preserve">Title II, Chapter 4, Section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C05E9AA" w14:textId="279E5F64"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for eligible financial collateral </w:t>
            </w:r>
            <w:r w:rsidR="00EA1F5A" w:rsidRPr="002A677E">
              <w:rPr>
                <w:rFonts w:ascii="Times New Roman" w:hAnsi="Times New Roman"/>
                <w:sz w:val="24"/>
              </w:rPr>
              <w:t>in accordance with</w:t>
            </w:r>
            <w:r w:rsidRPr="002A677E">
              <w:rPr>
                <w:rFonts w:ascii="Times New Roman" w:hAnsi="Times New Roman"/>
                <w:sz w:val="24"/>
              </w:rPr>
              <w:t xml:space="preserve"> Article 197 </w:t>
            </w:r>
            <w:r w:rsidR="00F34382" w:rsidRPr="001235ED">
              <w:rPr>
                <w:rFonts w:ascii="Times New Roman" w:hAnsi="Times New Roman"/>
                <w:sz w:val="24"/>
                <w:lang w:val="en-US"/>
              </w:rPr>
              <w:t>of Regulation (EU) No 575/2013</w:t>
            </w:r>
            <w:r w:rsidRPr="002A677E">
              <w:rPr>
                <w:rFonts w:ascii="Times New Roman" w:hAnsi="Times New Roman"/>
                <w:sz w:val="24"/>
              </w:rPr>
              <w:t>,</w:t>
            </w:r>
            <w:r w:rsidR="00F34382" w:rsidRPr="002A677E">
              <w:rPr>
                <w:rFonts w:ascii="Times New Roman" w:hAnsi="Times New Roman"/>
                <w:sz w:val="24"/>
              </w:rPr>
              <w:t xml:space="preserve"> </w:t>
            </w:r>
            <w:r w:rsidRPr="002A677E">
              <w:rPr>
                <w:rFonts w:ascii="Times New Roman" w:hAnsi="Times New Roman"/>
                <w:sz w:val="24"/>
              </w:rPr>
              <w:t xml:space="preserve">the adjusted value (Cvam) as set out in Article 223(2) </w:t>
            </w:r>
            <w:r w:rsidR="00F34382"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69E21598" w14:textId="02CAE118"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8D24A6" w:rsidRPr="002A677E" w14:paraId="2F02933D" w14:textId="77777777" w:rsidTr="21F156CF">
        <w:tc>
          <w:tcPr>
            <w:tcW w:w="1188" w:type="dxa"/>
          </w:tcPr>
          <w:p w14:paraId="7862C5B0" w14:textId="77777777" w:rsidR="008D24A6" w:rsidRPr="002A677E" w:rsidDel="001D4BE0"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r w:rsidRPr="002A677E">
              <w:rPr>
                <w:rFonts w:ascii="Times New Roman" w:hAnsi="Times New Roman"/>
                <w:sz w:val="24"/>
              </w:rPr>
              <w:t>0</w:t>
            </w:r>
            <w:r w:rsidR="008D24A6" w:rsidRPr="002A677E">
              <w:rPr>
                <w:rFonts w:ascii="Times New Roman" w:hAnsi="Times New Roman"/>
                <w:sz w:val="24"/>
              </w:rPr>
              <w:t>210</w:t>
            </w:r>
          </w:p>
        </w:tc>
        <w:tc>
          <w:tcPr>
            <w:tcW w:w="8843" w:type="dxa"/>
          </w:tcPr>
          <w:p w14:paraId="0046DD10"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ELIGIBLE COLLATERAL</w:t>
            </w:r>
          </w:p>
          <w:p w14:paraId="399B667C" w14:textId="61D58B7E"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1 to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00F34382" w:rsidRPr="001235ED">
              <w:rPr>
                <w:rFonts w:ascii="Times New Roman" w:hAnsi="Times New Roman"/>
                <w:sz w:val="24"/>
                <w:lang w:val="en-US"/>
              </w:rPr>
              <w:t>of that Regulation</w:t>
            </w:r>
            <w:r w:rsidRPr="002A677E">
              <w:rPr>
                <w:rFonts w:ascii="Times New Roman" w:hAnsi="Times New Roman"/>
                <w:sz w:val="24"/>
              </w:rPr>
              <w:t>.</w:t>
            </w:r>
          </w:p>
          <w:p w14:paraId="19B77B51" w14:textId="3C2A14E2"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8D24A6" w:rsidRPr="002A677E" w14:paraId="3E241535" w14:textId="77777777" w:rsidTr="21F156CF">
        <w:tc>
          <w:tcPr>
            <w:tcW w:w="1188" w:type="dxa"/>
          </w:tcPr>
          <w:p w14:paraId="10D76993" w14:textId="77777777" w:rsidR="008D24A6" w:rsidRPr="002A677E" w:rsidRDefault="001452FC" w:rsidP="008D24A6">
            <w:pPr>
              <w:spacing w:line="240" w:lineRule="exact"/>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b/>
                <w:sz w:val="24"/>
                <w:u w:val="single"/>
              </w:rPr>
              <w:t>REAL ESTATE</w:t>
            </w:r>
          </w:p>
          <w:p w14:paraId="364B1535" w14:textId="23DDE0EF"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w:t>
            </w:r>
            <w:r w:rsidR="7E40AEEB" w:rsidRPr="6541272B">
              <w:rPr>
                <w:rFonts w:ascii="Times New Roman" w:hAnsi="Times New Roman"/>
                <w:sz w:val="24"/>
              </w:rPr>
              <w:t>2</w:t>
            </w:r>
            <w:r w:rsidR="7E40AEEB" w:rsidRPr="6541272B">
              <w:rPr>
                <w:rFonts w:ascii="Times New Roman" w:hAnsi="Times New Roman"/>
                <w:color w:val="008080"/>
                <w:sz w:val="24"/>
                <w:u w:val="single"/>
              </w:rPr>
              <w:t xml:space="preserve"> to 4a</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97950F7"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8D24A6" w:rsidRPr="002A677E" w14:paraId="6DA25EAC" w14:textId="77777777" w:rsidTr="21F156CF">
        <w:tc>
          <w:tcPr>
            <w:tcW w:w="1188" w:type="dxa"/>
          </w:tcPr>
          <w:p w14:paraId="094E674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200</w:t>
            </w:r>
          </w:p>
        </w:tc>
        <w:tc>
          <w:tcPr>
            <w:tcW w:w="8843" w:type="dxa"/>
          </w:tcPr>
          <w:p w14:paraId="1FDDAEA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PHYSICAL COLLATERAL</w:t>
            </w:r>
          </w:p>
          <w:p w14:paraId="1682AAB8" w14:textId="5DDA309C"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6 and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2DDC0B18"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6844DE72" w14:textId="77777777" w:rsidTr="21F156CF">
        <w:tc>
          <w:tcPr>
            <w:tcW w:w="1188" w:type="dxa"/>
          </w:tcPr>
          <w:p w14:paraId="0916ED3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210</w:t>
            </w:r>
          </w:p>
        </w:tc>
        <w:tc>
          <w:tcPr>
            <w:tcW w:w="8843" w:type="dxa"/>
          </w:tcPr>
          <w:p w14:paraId="4F970CD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RECEIVABLES</w:t>
            </w:r>
          </w:p>
          <w:p w14:paraId="70D4F809" w14:textId="1687C377"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353C603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027E073F" w14:textId="77777777" w:rsidTr="21F156CF">
        <w:tc>
          <w:tcPr>
            <w:tcW w:w="1188" w:type="dxa"/>
          </w:tcPr>
          <w:p w14:paraId="0769372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230</w:t>
            </w:r>
          </w:p>
        </w:tc>
        <w:tc>
          <w:tcPr>
            <w:tcW w:w="8843" w:type="dxa"/>
          </w:tcPr>
          <w:p w14:paraId="6A7670F1"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w:t>
            </w:r>
          </w:p>
          <w:p w14:paraId="5CD7C536" w14:textId="51F67B81" w:rsidR="008D24A6" w:rsidRPr="002A677E" w:rsidRDefault="008D24A6" w:rsidP="008D24A6">
            <w:pPr>
              <w:rPr>
                <w:rFonts w:ascii="Times New Roman" w:hAnsi="Times New Roman"/>
                <w:sz w:val="24"/>
              </w:rPr>
            </w:pPr>
            <w:r w:rsidRPr="002A677E">
              <w:rPr>
                <w:rFonts w:ascii="Times New Roman" w:hAnsi="Times New Roman"/>
                <w:sz w:val="24"/>
              </w:rPr>
              <w:t xml:space="preserve">All the impact of CRM techniques on LGD values as specified in </w:t>
            </w:r>
            <w:r w:rsidR="007079CE" w:rsidRPr="002A677E">
              <w:rPr>
                <w:rFonts w:ascii="Times New Roman" w:hAnsi="Times New Roman"/>
                <w:sz w:val="24"/>
              </w:rPr>
              <w:t xml:space="preserve">Part Three, </w:t>
            </w:r>
            <w:r w:rsidRPr="002A677E">
              <w:rPr>
                <w:rFonts w:ascii="Times New Roman" w:hAnsi="Times New Roman"/>
                <w:sz w:val="24"/>
              </w:rPr>
              <w:t>Title II</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Chapters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considered. </w:t>
            </w:r>
          </w:p>
          <w:p w14:paraId="5CB58587" w14:textId="34854C18" w:rsidR="008D24A6" w:rsidRPr="002A677E" w:rsidRDefault="008D24A6" w:rsidP="008D24A6">
            <w:pPr>
              <w:rPr>
                <w:rFonts w:ascii="Times New Roman" w:hAnsi="Times New Roman"/>
                <w:sz w:val="24"/>
              </w:rPr>
            </w:pPr>
            <w:r w:rsidRPr="002A677E">
              <w:rPr>
                <w:rFonts w:ascii="Times New Roman" w:hAnsi="Times New Roman"/>
                <w:sz w:val="24"/>
              </w:rPr>
              <w:t>For defaulted exposures, Article 181(1)</w:t>
            </w:r>
            <w:r w:rsidR="00B83DDE">
              <w:rPr>
                <w:rFonts w:ascii="Times New Roman" w:hAnsi="Times New Roman"/>
                <w:sz w:val="24"/>
              </w:rPr>
              <w:t>, p</w:t>
            </w:r>
            <w:r w:rsidR="00AD7567" w:rsidRPr="002A677E">
              <w:rPr>
                <w:rFonts w:ascii="Times New Roman" w:hAnsi="Times New Roman"/>
                <w:sz w:val="24"/>
              </w:rPr>
              <w:t>oint (h)</w:t>
            </w:r>
            <w:r w:rsidR="00BE1277">
              <w:rPr>
                <w:rFonts w:ascii="Times New Roman" w:hAnsi="Times New Roman"/>
                <w:sz w:val="24"/>
              </w:rPr>
              <w:t>,</w:t>
            </w:r>
            <w:r w:rsidR="00AD7567"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3AD06EE0"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value referred to in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w:t>
            </w:r>
          </w:p>
          <w:p w14:paraId="693A5141" w14:textId="396DE32D" w:rsidR="008D24A6" w:rsidRPr="002A677E" w:rsidRDefault="008D24A6" w:rsidP="008D24A6">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7D4C0832" w14:textId="47B10BBD" w:rsidR="008D24A6" w:rsidRPr="002A677E" w:rsidRDefault="008D24A6" w:rsidP="008D24A6">
            <w:pPr>
              <w:rPr>
                <w:rFonts w:ascii="Times New Roman" w:hAnsi="Times New Roman"/>
                <w:sz w:val="24"/>
              </w:rPr>
            </w:pPr>
            <w:r w:rsidRPr="002A677E">
              <w:rPr>
                <w:rFonts w:ascii="Times New Roman" w:hAnsi="Times New Roman"/>
                <w:sz w:val="24"/>
              </w:rPr>
              <w:t xml:space="preserve">For institutions applying the IRB </w:t>
            </w:r>
            <w:r w:rsidR="009A4399" w:rsidRPr="002A677E">
              <w:rPr>
                <w:rFonts w:ascii="Times New Roman" w:hAnsi="Times New Roman"/>
                <w:sz w:val="24"/>
              </w:rPr>
              <w:t xml:space="preserve">approach </w:t>
            </w:r>
            <w:r w:rsidRPr="002A677E">
              <w:rPr>
                <w:rFonts w:ascii="Times New Roman" w:hAnsi="Times New Roman"/>
                <w:sz w:val="24"/>
              </w:rPr>
              <w:t xml:space="preserve">but not using their own estimates of LGD, the risk mitigation effects of financial collateral shall be reflected in E*, the fully adjusted value of the exposure, and then reflected in LGD* as referred to in Article 228(2)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2A677E">
              <w:rPr>
                <w:rFonts w:ascii="Times New Roman" w:hAnsi="Times New Roman"/>
                <w:sz w:val="24"/>
              </w:rPr>
              <w:t>0</w:t>
            </w:r>
            <w:r w:rsidRPr="002A677E">
              <w:rPr>
                <w:rFonts w:ascii="Times New Roman" w:hAnsi="Times New Roman"/>
                <w:sz w:val="24"/>
              </w:rPr>
              <w:t>110.</w:t>
            </w:r>
          </w:p>
          <w:p w14:paraId="761A5E7B" w14:textId="31F4A8A3" w:rsidR="008D24A6" w:rsidRPr="002A677E" w:rsidRDefault="008D24A6" w:rsidP="008D24A6">
            <w:pPr>
              <w:rPr>
                <w:rFonts w:ascii="Times New Roman" w:hAnsi="Times New Roman"/>
                <w:sz w:val="24"/>
              </w:rPr>
            </w:pPr>
            <w:r w:rsidRPr="002A677E">
              <w:rPr>
                <w:rFonts w:ascii="Times New Roman" w:hAnsi="Times New Roman"/>
                <w:sz w:val="24"/>
              </w:rPr>
              <w:t>Where own estimates of LGD are applied, Article 175 and Article 181</w:t>
            </w:r>
            <w:r w:rsidR="00B83DDE">
              <w:rPr>
                <w:rFonts w:ascii="Times New Roman" w:hAnsi="Times New Roman"/>
                <w:sz w:val="24"/>
              </w:rPr>
              <w:t>, p</w:t>
            </w:r>
            <w:r w:rsidR="00AD7567" w:rsidRPr="002A677E">
              <w:rPr>
                <w:rFonts w:ascii="Times New Roman" w:hAnsi="Times New Roman"/>
                <w:sz w:val="24"/>
              </w:rPr>
              <w:t xml:space="preserve">aragraphs 1 and 2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7518ADFF" w14:textId="77777777" w:rsidR="008D24A6" w:rsidRPr="002A677E" w:rsidRDefault="008D24A6" w:rsidP="008D24A6">
            <w:pPr>
              <w:rPr>
                <w:rFonts w:ascii="Times New Roman" w:hAnsi="Times New Roman"/>
                <w:sz w:val="24"/>
              </w:rPr>
            </w:pPr>
            <w:r w:rsidRPr="002A677E">
              <w:rPr>
                <w:rFonts w:ascii="Times New Roman" w:hAnsi="Times New Roman"/>
                <w:sz w:val="24"/>
              </w:rPr>
              <w:lastRenderedPageBreak/>
              <w:t xml:space="preserve">The calculation of the exposure weighted average LGD shall be derived from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p w14:paraId="4ED81588" w14:textId="30F60140" w:rsidR="008D24A6" w:rsidRPr="002A677E" w:rsidRDefault="008D24A6" w:rsidP="008D24A6">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00F34382"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52BEF306"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2A677E">
              <w:rPr>
                <w:rFonts w:ascii="Times New Roman" w:hAnsi="Times New Roman"/>
                <w:sz w:val="24"/>
              </w:rPr>
              <w:t>0</w:t>
            </w:r>
            <w:r w:rsidRPr="002A677E">
              <w:rPr>
                <w:rFonts w:ascii="Times New Roman" w:hAnsi="Times New Roman"/>
                <w:sz w:val="24"/>
              </w:rPr>
              <w:t xml:space="preserve">230, but only be included in the calculation of column </w:t>
            </w:r>
            <w:r w:rsidR="001452FC" w:rsidRPr="002A677E">
              <w:rPr>
                <w:rFonts w:ascii="Times New Roman" w:hAnsi="Times New Roman"/>
                <w:sz w:val="24"/>
              </w:rPr>
              <w:t>0</w:t>
            </w:r>
            <w:r w:rsidRPr="002A677E">
              <w:rPr>
                <w:rFonts w:ascii="Times New Roman" w:hAnsi="Times New Roman"/>
                <w:sz w:val="24"/>
              </w:rPr>
              <w:t xml:space="preserve">240. </w:t>
            </w:r>
          </w:p>
        </w:tc>
      </w:tr>
      <w:tr w:rsidR="008D24A6" w:rsidRPr="002A677E" w14:paraId="50800B55" w14:textId="77777777" w:rsidTr="21F156CF">
        <w:tc>
          <w:tcPr>
            <w:tcW w:w="1188" w:type="dxa"/>
          </w:tcPr>
          <w:p w14:paraId="37E8BC1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240</w:t>
            </w:r>
          </w:p>
        </w:tc>
        <w:tc>
          <w:tcPr>
            <w:tcW w:w="8843" w:type="dxa"/>
          </w:tcPr>
          <w:p w14:paraId="7684FE79"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7234E4F" w14:textId="3B5F16CF" w:rsidR="008D24A6" w:rsidRPr="002A677E" w:rsidRDefault="008D24A6" w:rsidP="00AD7567">
            <w:pPr>
              <w:rPr>
                <w:rFonts w:ascii="Times New Roman" w:hAnsi="Times New Roman"/>
                <w:sz w:val="24"/>
              </w:rPr>
            </w:pPr>
            <w:r w:rsidRPr="002A677E">
              <w:rPr>
                <w:rFonts w:ascii="Times New Roman" w:hAnsi="Times New Roman"/>
                <w:sz w:val="24"/>
              </w:rPr>
              <w:t xml:space="preserve">Exposure weighted average LGD (%) for all exposures to large financial sector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 xml:space="preserve">oint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w:t>
            </w:r>
            <w:r w:rsidR="004F0068" w:rsidRPr="002A677E">
              <w:rPr>
                <w:rFonts w:ascii="Times New Roman" w:hAnsi="Times New Roman"/>
                <w:sz w:val="24"/>
              </w:rPr>
              <w:t xml:space="preserve">of </w:t>
            </w:r>
            <w:r w:rsidRPr="002A677E">
              <w:rPr>
                <w:rFonts w:ascii="Times New Roman" w:hAnsi="Times New Roman"/>
                <w:sz w:val="24"/>
              </w:rPr>
              <w:t xml:space="preserve">correlation determined in accordance with Article 153(2) </w:t>
            </w:r>
            <w:r w:rsidR="00F34382" w:rsidRPr="001235ED">
              <w:rPr>
                <w:rFonts w:ascii="Times New Roman" w:hAnsi="Times New Roman"/>
                <w:sz w:val="24"/>
                <w:lang w:val="en-US"/>
              </w:rPr>
              <w:t>of Regulation (EU) No 575/2013</w:t>
            </w:r>
          </w:p>
        </w:tc>
      </w:tr>
      <w:tr w:rsidR="008D24A6" w:rsidRPr="002A677E" w14:paraId="7E0C14C5" w14:textId="77777777" w:rsidTr="21F156CF">
        <w:tc>
          <w:tcPr>
            <w:tcW w:w="1188" w:type="dxa"/>
          </w:tcPr>
          <w:p w14:paraId="5B3FA58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250</w:t>
            </w:r>
          </w:p>
        </w:tc>
        <w:tc>
          <w:tcPr>
            <w:tcW w:w="8843" w:type="dxa"/>
          </w:tcPr>
          <w:p w14:paraId="33BE0A3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EXPOSURE-WEIGHTED AVERAGE MATURITY VALUE (DAYS)</w:t>
            </w:r>
          </w:p>
          <w:p w14:paraId="1C9B3946" w14:textId="49FAD5EB" w:rsidR="008D24A6" w:rsidRPr="002A677E" w:rsidRDefault="008D24A6" w:rsidP="008D24A6">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exposure value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 The average maturity shall be reported in days.</w:t>
            </w:r>
          </w:p>
          <w:p w14:paraId="09F102FB"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8D24A6" w:rsidRPr="002A677E" w14:paraId="3F6D8809" w14:textId="77777777" w:rsidTr="21F156CF">
        <w:tc>
          <w:tcPr>
            <w:tcW w:w="1188" w:type="dxa"/>
          </w:tcPr>
          <w:p w14:paraId="3085D59C"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255</w:t>
            </w:r>
          </w:p>
        </w:tc>
        <w:tc>
          <w:tcPr>
            <w:tcW w:w="8843" w:type="dxa"/>
          </w:tcPr>
          <w:p w14:paraId="196087E2"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2749A426" w14:textId="5A696F8C"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B83DDE">
              <w:rPr>
                <w:rFonts w:ascii="Times New Roman" w:hAnsi="Times New Roman"/>
                <w:sz w:val="24"/>
              </w:rPr>
              <w:t>, p</w:t>
            </w:r>
            <w:r w:rsidR="00AD7567" w:rsidRPr="002A677E">
              <w:rPr>
                <w:rFonts w:ascii="Times New Roman" w:hAnsi="Times New Roman"/>
                <w:sz w:val="24"/>
              </w:rPr>
              <w:t xml:space="preserve">aragraphs 1, 2, 3 and 4 </w:t>
            </w:r>
            <w:r w:rsidR="00F34382" w:rsidRPr="001235ED">
              <w:rPr>
                <w:rFonts w:ascii="Times New Roman" w:hAnsi="Times New Roman"/>
                <w:sz w:val="24"/>
                <w:lang w:val="en-US"/>
              </w:rPr>
              <w:t>of Regulation (EU) No 575/2013</w:t>
            </w:r>
            <w:r w:rsidR="00696434" w:rsidRPr="002A677E">
              <w:rPr>
                <w:rFonts w:ascii="Times New Roman" w:hAnsi="Times New Roman"/>
                <w:sz w:val="24"/>
              </w:rPr>
              <w:t>;</w:t>
            </w:r>
            <w:r w:rsidRPr="002A677E">
              <w:rPr>
                <w:rFonts w:ascii="Times New Roman" w:hAnsi="Times New Roman"/>
                <w:sz w:val="24"/>
              </w:rPr>
              <w:t xml:space="preserve"> For retail, see Article 154(1)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2AFE60" w14:textId="19E939AF"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 laid down in</w:t>
            </w:r>
            <w:r w:rsidRPr="002A677E">
              <w:rPr>
                <w:rFonts w:ascii="Times New Roman" w:hAnsi="Times New Roman"/>
                <w:sz w:val="24"/>
              </w:rPr>
              <w:t xml:space="preserve"> Articles 501 and 501a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8D24A6" w:rsidRPr="002A677E" w14:paraId="294F624D" w14:textId="77777777" w:rsidTr="21F156CF">
        <w:tc>
          <w:tcPr>
            <w:tcW w:w="1188" w:type="dxa"/>
          </w:tcPr>
          <w:p w14:paraId="68088EF8"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256</w:t>
            </w:r>
          </w:p>
        </w:tc>
        <w:tc>
          <w:tcPr>
            <w:tcW w:w="8843" w:type="dxa"/>
          </w:tcPr>
          <w:p w14:paraId="2B61A7CC" w14:textId="3F5048A9"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w:t>
            </w:r>
            <w:r w:rsidR="00402284">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5C6EFF92" w14:textId="32D30AC3" w:rsidR="008D24A6" w:rsidRPr="002A677E" w:rsidRDefault="008D24A6" w:rsidP="00F34382">
            <w:pPr>
              <w:rPr>
                <w:rFonts w:ascii="Times New Roman" w:hAnsi="Times New Roman"/>
                <w:b/>
                <w:sz w:val="24"/>
                <w:u w:val="single"/>
              </w:rPr>
            </w:pPr>
            <w:r w:rsidRPr="002A677E">
              <w:rPr>
                <w:rFonts w:ascii="Times New Roman" w:hAnsi="Times New Roman"/>
                <w:sz w:val="24"/>
              </w:rPr>
              <w:t>Deduction of the difference of the risk-weighted exposure amounts for non-defaulted exposures to an SME (RWEA), which are calculated in accordance with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as applicable and RWEA* </w:t>
            </w:r>
            <w:r w:rsidR="00EA1F5A" w:rsidRPr="002A677E">
              <w:rPr>
                <w:rFonts w:ascii="Times New Roman" w:hAnsi="Times New Roman"/>
                <w:sz w:val="24"/>
              </w:rPr>
              <w:t>in accordance with</w:t>
            </w:r>
            <w:r w:rsidRPr="002A677E">
              <w:rPr>
                <w:rFonts w:ascii="Times New Roman" w:hAnsi="Times New Roman"/>
                <w:sz w:val="24"/>
              </w:rPr>
              <w:t xml:space="preserve"> Article 501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8D24A6" w:rsidRPr="002A677E" w14:paraId="14971D2A" w14:textId="77777777" w:rsidTr="21F156CF">
        <w:tc>
          <w:tcPr>
            <w:tcW w:w="1188" w:type="dxa"/>
          </w:tcPr>
          <w:p w14:paraId="657AEAC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257</w:t>
            </w:r>
          </w:p>
        </w:tc>
        <w:tc>
          <w:tcPr>
            <w:tcW w:w="8843" w:type="dxa"/>
          </w:tcPr>
          <w:p w14:paraId="378DC71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xml:space="preserve">(-) ADJUSTMENT TO THE RISK-WEIGHTED EXPOSURE AMOUNT DUE TO </w:t>
            </w:r>
            <w:r w:rsidR="00927B49" w:rsidRPr="002A677E">
              <w:rPr>
                <w:rFonts w:ascii="Times New Roman" w:hAnsi="Times New Roman"/>
                <w:b/>
                <w:sz w:val="24"/>
                <w:u w:val="single"/>
              </w:rPr>
              <w:t xml:space="preserve">THE </w:t>
            </w:r>
            <w:r w:rsidRPr="002A677E">
              <w:rPr>
                <w:rFonts w:ascii="Times New Roman" w:hAnsi="Times New Roman"/>
                <w:b/>
                <w:sz w:val="24"/>
                <w:u w:val="single"/>
              </w:rPr>
              <w:t>INFRASTRUCTURE SUPPORTING FACTOR</w:t>
            </w:r>
          </w:p>
          <w:p w14:paraId="551B54F5" w14:textId="01917095" w:rsidR="008D24A6" w:rsidRPr="002A677E" w:rsidRDefault="008D24A6" w:rsidP="002F11F3">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w:t>
            </w:r>
            <w:r w:rsidR="00402284">
              <w:rPr>
                <w:rFonts w:ascii="Times New Roman" w:hAnsi="Times New Roman"/>
                <w:sz w:val="24"/>
              </w:rPr>
              <w:t xml:space="preserve"> </w:t>
            </w:r>
            <w:r w:rsidRPr="002A677E">
              <w:rPr>
                <w:rFonts w:ascii="Times New Roman" w:hAnsi="Times New Roman"/>
                <w:sz w:val="24"/>
              </w:rPr>
              <w:t>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w:t>
            </w:r>
            <w:r w:rsidRPr="002A677E">
              <w:rPr>
                <w:rFonts w:ascii="Times New Roman" w:hAnsi="Times New Roman"/>
                <w:sz w:val="24"/>
              </w:rPr>
              <w:lastRenderedPageBreak/>
              <w:t xml:space="preserve">systems and networks that provide or support essential public services </w:t>
            </w:r>
            <w:r w:rsidR="00EA1F5A" w:rsidRPr="002A677E">
              <w:rPr>
                <w:rFonts w:ascii="Times New Roman" w:hAnsi="Times New Roman"/>
                <w:sz w:val="24"/>
              </w:rPr>
              <w:t>in accordance with</w:t>
            </w:r>
            <w:r w:rsidRPr="002A677E">
              <w:rPr>
                <w:rFonts w:ascii="Times New Roman" w:hAnsi="Times New Roman"/>
                <w:sz w:val="24"/>
              </w:rPr>
              <w:t xml:space="preserve"> Article 501a </w:t>
            </w:r>
            <w:r w:rsidR="00F34382" w:rsidRPr="001235ED">
              <w:rPr>
                <w:rFonts w:ascii="Times New Roman" w:hAnsi="Times New Roman"/>
                <w:sz w:val="24"/>
                <w:lang w:val="en-US"/>
              </w:rPr>
              <w:t xml:space="preserve">of </w:t>
            </w:r>
            <w:r w:rsidR="002F11F3" w:rsidRPr="001235ED">
              <w:rPr>
                <w:rFonts w:ascii="Times New Roman" w:hAnsi="Times New Roman"/>
                <w:sz w:val="24"/>
                <w:lang w:val="en-US"/>
              </w:rPr>
              <w:t xml:space="preserve">that </w:t>
            </w:r>
            <w:r w:rsidR="00F34382" w:rsidRPr="001235ED">
              <w:rPr>
                <w:rFonts w:ascii="Times New Roman" w:hAnsi="Times New Roman"/>
                <w:sz w:val="24"/>
                <w:lang w:val="en-US"/>
              </w:rPr>
              <w:t xml:space="preserve">Regulation </w:t>
            </w:r>
          </w:p>
        </w:tc>
      </w:tr>
      <w:tr w:rsidR="008D24A6" w:rsidRPr="002A677E" w14:paraId="47AFE397" w14:textId="77777777" w:rsidTr="21F156CF">
        <w:tc>
          <w:tcPr>
            <w:tcW w:w="1188" w:type="dxa"/>
            <w:shd w:val="clear" w:color="auto" w:fill="auto"/>
          </w:tcPr>
          <w:p w14:paraId="044685C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01882A55" w14:textId="36B61719"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AD7567" w:rsidRPr="002A677E">
              <w:rPr>
                <w:rFonts w:ascii="Times New Roman" w:hAnsi="Times New Roman"/>
                <w:sz w:val="24"/>
              </w:rPr>
              <w:t xml:space="preserve">, paragraphs 1, 2, 3 and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FCC9D00" w14:textId="02A0ECBB"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0E197A" w:rsidRPr="002A677E">
              <w:rPr>
                <w:rFonts w:ascii="Times New Roman" w:hAnsi="Times New Roman"/>
                <w:sz w:val="24"/>
              </w:rPr>
              <w:t>i</w:t>
            </w:r>
            <w:r w:rsidRPr="002A677E">
              <w:rPr>
                <w:rFonts w:ascii="Times New Roman" w:hAnsi="Times New Roman"/>
                <w:sz w:val="24"/>
              </w:rPr>
              <w:t xml:space="preserve">nfrastructure supporting factors </w:t>
            </w:r>
            <w:r w:rsidR="005C29CD" w:rsidRPr="002A677E">
              <w:rPr>
                <w:rFonts w:ascii="Times New Roman" w:hAnsi="Times New Roman"/>
                <w:sz w:val="24"/>
              </w:rPr>
              <w:t>laid down in</w:t>
            </w:r>
            <w:r w:rsidRPr="002A677E">
              <w:rPr>
                <w:rFonts w:ascii="Times New Roman" w:hAnsi="Times New Roman"/>
                <w:sz w:val="24"/>
              </w:rPr>
              <w:t xml:space="preserve"> Article</w:t>
            </w:r>
            <w:r w:rsidR="00127FEA" w:rsidRPr="002A677E">
              <w:rPr>
                <w:rFonts w:ascii="Times New Roman" w:hAnsi="Times New Roman"/>
                <w:sz w:val="24"/>
              </w:rPr>
              <w:t>s</w:t>
            </w:r>
            <w:r w:rsidRPr="002A677E">
              <w:rPr>
                <w:rFonts w:ascii="Times New Roman" w:hAnsi="Times New Roman"/>
                <w:sz w:val="24"/>
              </w:rPr>
              <w:t xml:space="preserve"> 501 and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8D24A6" w:rsidRPr="002A677E" w14:paraId="147559F1" w14:textId="77777777" w:rsidTr="21F156CF">
        <w:tc>
          <w:tcPr>
            <w:tcW w:w="1188" w:type="dxa"/>
            <w:shd w:val="clear" w:color="auto" w:fill="auto"/>
          </w:tcPr>
          <w:p w14:paraId="41BAEDF3"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A1A0D19" w14:textId="7E74766A" w:rsidR="008D24A6" w:rsidRPr="002A677E" w:rsidDel="005A2363" w:rsidRDefault="008D24A6" w:rsidP="002F11F3">
            <w:pPr>
              <w:rPr>
                <w:rFonts w:ascii="Times New Roman" w:hAnsi="Times New Roman"/>
                <w:sz w:val="24"/>
              </w:rPr>
            </w:pPr>
            <w:r w:rsidRPr="002A677E">
              <w:rPr>
                <w:rFonts w:ascii="Times New Roman" w:hAnsi="Times New Roman"/>
                <w:sz w:val="24"/>
              </w:rPr>
              <w:t xml:space="preserve">Breakdown of the risk weighted exposure amount after SME supporting factor for all exposures to large financial sectors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oint (5)</w:t>
            </w:r>
            <w:r w:rsidR="00402284">
              <w:rPr>
                <w:rFonts w:ascii="Times New Roman" w:hAnsi="Times New Roman"/>
                <w:sz w:val="24"/>
              </w:rPr>
              <w:t xml:space="preserve"> </w:t>
            </w:r>
            <w:r w:rsidR="002F11F3" w:rsidRPr="001235ED">
              <w:rPr>
                <w:rFonts w:ascii="Times New Roman" w:hAnsi="Times New Roman"/>
                <w:sz w:val="24"/>
                <w:lang w:val="en-US"/>
              </w:rPr>
              <w:t xml:space="preserve">of that Regulation </w:t>
            </w:r>
            <w:r w:rsidRPr="002A677E">
              <w:rPr>
                <w:rFonts w:ascii="Times New Roman" w:hAnsi="Times New Roman"/>
                <w:sz w:val="24"/>
              </w:rPr>
              <w:t xml:space="preserve">, subject to the higher coefficient of correlation determined in accordance with Article 153(2) </w:t>
            </w:r>
            <w:r w:rsidR="002F11F3" w:rsidRPr="002A677E">
              <w:rPr>
                <w:rFonts w:ascii="Times New Roman" w:hAnsi="Times New Roman"/>
                <w:sz w:val="24"/>
              </w:rPr>
              <w:t>of that Regulation</w:t>
            </w:r>
            <w:r w:rsidRPr="002A677E">
              <w:rPr>
                <w:rFonts w:ascii="Times New Roman" w:hAnsi="Times New Roman"/>
                <w:sz w:val="24"/>
              </w:rPr>
              <w:t>.</w:t>
            </w:r>
          </w:p>
        </w:tc>
      </w:tr>
      <w:tr w:rsidR="008D24A6" w:rsidRPr="002A677E" w14:paraId="20CC28DB" w14:textId="77777777" w:rsidTr="21F156CF">
        <w:tc>
          <w:tcPr>
            <w:tcW w:w="1188" w:type="dxa"/>
          </w:tcPr>
          <w:p w14:paraId="75082E91"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280</w:t>
            </w:r>
          </w:p>
        </w:tc>
        <w:tc>
          <w:tcPr>
            <w:tcW w:w="8843" w:type="dxa"/>
          </w:tcPr>
          <w:p w14:paraId="55EF5D7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EXPECTED LOSS AMOUNT</w:t>
            </w:r>
          </w:p>
          <w:p w14:paraId="5AE1BAE7" w14:textId="78C5075D" w:rsidR="008D24A6" w:rsidRPr="002A677E" w:rsidRDefault="008D24A6" w:rsidP="002F11F3">
            <w:pPr>
              <w:jc w:val="left"/>
              <w:rPr>
                <w:rFonts w:ascii="Times New Roman" w:hAnsi="Times New Roman"/>
                <w:sz w:val="24"/>
              </w:rPr>
            </w:pPr>
            <w:r w:rsidRPr="002A677E">
              <w:rPr>
                <w:rFonts w:ascii="Times New Roman" w:hAnsi="Times New Roman"/>
                <w:sz w:val="24"/>
              </w:rPr>
              <w:t xml:space="preserve">For the definition of Expected Loss, see Article 5(3)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002F11F3" w:rsidRPr="001235ED">
              <w:rPr>
                <w:rFonts w:ascii="Times New Roman" w:hAnsi="Times New Roman"/>
                <w:sz w:val="24"/>
                <w:lang w:val="en-US"/>
              </w:rPr>
              <w:t>of that Regulation</w:t>
            </w:r>
            <w:r w:rsidRPr="002A677E">
              <w:rPr>
                <w:rFonts w:ascii="Times New Roman" w:hAnsi="Times New Roman"/>
                <w:sz w:val="24"/>
              </w:rPr>
              <w:t>. For defaulted exposures, see Article 181(1)</w:t>
            </w:r>
            <w:r w:rsidR="00B83DDE">
              <w:rPr>
                <w:rFonts w:ascii="Times New Roman" w:hAnsi="Times New Roman"/>
                <w:sz w:val="24"/>
              </w:rPr>
              <w:t>, p</w:t>
            </w:r>
            <w:r w:rsidR="004127F7" w:rsidRPr="002A677E">
              <w:rPr>
                <w:rFonts w:ascii="Times New Roman" w:hAnsi="Times New Roman"/>
                <w:sz w:val="24"/>
              </w:rPr>
              <w:t>oint (h)</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expected loss amount to be reported shall be based on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D24A6" w:rsidRPr="002A677E" w14:paraId="06D27638" w14:textId="77777777" w:rsidTr="21F156CF">
        <w:tc>
          <w:tcPr>
            <w:tcW w:w="1188" w:type="dxa"/>
          </w:tcPr>
          <w:p w14:paraId="5348137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290</w:t>
            </w:r>
          </w:p>
        </w:tc>
        <w:tc>
          <w:tcPr>
            <w:tcW w:w="8843" w:type="dxa"/>
          </w:tcPr>
          <w:p w14:paraId="0F2018D3"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VALUE ADJUSTMENTS AND PROVISIONS</w:t>
            </w:r>
          </w:p>
          <w:p w14:paraId="5D650089" w14:textId="6CF597D9" w:rsidR="008D24A6" w:rsidRPr="002A677E" w:rsidRDefault="008D24A6" w:rsidP="008D24A6">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8D24A6" w:rsidRPr="002A677E" w14:paraId="4128150E" w14:textId="77777777" w:rsidTr="21F156CF">
        <w:tc>
          <w:tcPr>
            <w:tcW w:w="1188" w:type="dxa"/>
          </w:tcPr>
          <w:p w14:paraId="530DEBC7" w14:textId="77777777" w:rsidR="008D24A6" w:rsidRPr="002A677E" w:rsidRDefault="001452FC" w:rsidP="008D24A6">
            <w:pPr>
              <w:ind w:right="-288"/>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sidRPr="002A677E">
              <w:rPr>
                <w:rFonts w:ascii="Times New Roman" w:hAnsi="Times New Roman"/>
                <w:b/>
                <w:sz w:val="24"/>
                <w:u w:val="single"/>
              </w:rPr>
              <w:t>NUMBER OF OBLIGORS</w:t>
            </w:r>
          </w:p>
          <w:p w14:paraId="23192B69" w14:textId="427C33F9" w:rsidR="008D24A6" w:rsidRPr="002A677E" w:rsidRDefault="008D24A6" w:rsidP="008D24A6">
            <w:pPr>
              <w:rPr>
                <w:rFonts w:ascii="Times New Roman" w:hAnsi="Times New Roman"/>
                <w:sz w:val="24"/>
              </w:rPr>
            </w:pPr>
            <w:r w:rsidRPr="002A677E">
              <w:rPr>
                <w:rFonts w:ascii="Times New Roman" w:hAnsi="Times New Roman"/>
                <w:sz w:val="24"/>
              </w:rPr>
              <w:t>Article 172</w:t>
            </w:r>
            <w:r w:rsidR="00B83DDE">
              <w:rPr>
                <w:rFonts w:ascii="Times New Roman" w:hAnsi="Times New Roman"/>
                <w:sz w:val="24"/>
              </w:rPr>
              <w:t>, p</w:t>
            </w:r>
            <w:r w:rsidR="004127F7" w:rsidRPr="002A677E">
              <w:rPr>
                <w:rFonts w:ascii="Times New Roman" w:hAnsi="Times New Roman"/>
                <w:sz w:val="24"/>
              </w:rPr>
              <w:t xml:space="preserve">aragraphs 1 and 2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7A31D89" w14:textId="2B490D67" w:rsidR="008D24A6" w:rsidRPr="002A677E" w:rsidRDefault="008D24A6" w:rsidP="008D24A6">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B0C1B2" w14:textId="2C93EC4E" w:rsidR="008D24A6" w:rsidRPr="002A677E" w:rsidRDefault="008D24A6" w:rsidP="008D24A6">
            <w:pPr>
              <w:rPr>
                <w:rFonts w:ascii="Times New Roman" w:hAnsi="Times New Roman"/>
                <w:sz w:val="24"/>
              </w:rPr>
            </w:pPr>
            <w:r w:rsidRPr="002A677E">
              <w:rPr>
                <w:rFonts w:ascii="Times New Roman" w:hAnsi="Times New Roman"/>
                <w:sz w:val="24"/>
              </w:rPr>
              <w:t xml:space="preserve">Within the exposure class retail, or if separate exposures to the same obligor are assigned to different obligor grades in accordance with the second sentence of </w:t>
            </w:r>
            <w:r w:rsidR="004127F7" w:rsidRPr="002A677E">
              <w:rPr>
                <w:rFonts w:ascii="Times New Roman" w:hAnsi="Times New Roman"/>
                <w:sz w:val="24"/>
              </w:rPr>
              <w:t>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002F11F3"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0303BAF6" w14:textId="77777777" w:rsidR="008D24A6" w:rsidRPr="002A677E" w:rsidRDefault="008D24A6" w:rsidP="008D24A6">
            <w:pPr>
              <w:rPr>
                <w:rFonts w:ascii="Times New Roman" w:hAnsi="Times New Roman"/>
                <w:sz w:val="24"/>
              </w:rPr>
            </w:pPr>
            <w:r w:rsidRPr="002A677E">
              <w:rPr>
                <w:rStyle w:val="InstructionsTabelleText"/>
                <w:rFonts w:ascii="Times New Roman" w:hAnsi="Times New Roman"/>
                <w:sz w:val="24"/>
              </w:rPr>
              <w:t xml:space="preserve">As this column deals with an element of the structure of the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2A677E" w14:paraId="79F3D994" w14:textId="77777777" w:rsidTr="21F156CF">
        <w:tc>
          <w:tcPr>
            <w:tcW w:w="1188" w:type="dxa"/>
          </w:tcPr>
          <w:p w14:paraId="39BCA1F1" w14:textId="77777777" w:rsidR="004D45AA" w:rsidRPr="002A677E" w:rsidRDefault="001452FC" w:rsidP="004D45AA">
            <w:pPr>
              <w:ind w:right="-288"/>
              <w:rPr>
                <w:rFonts w:ascii="Times New Roman" w:hAnsi="Times New Roman"/>
                <w:sz w:val="24"/>
              </w:rPr>
            </w:pPr>
            <w:r w:rsidRPr="002A677E">
              <w:rPr>
                <w:rFonts w:ascii="Times New Roman" w:hAnsi="Times New Roman"/>
                <w:sz w:val="24"/>
              </w:rPr>
              <w:lastRenderedPageBreak/>
              <w:t>0</w:t>
            </w:r>
            <w:r w:rsidR="004D45AA" w:rsidRPr="002A677E">
              <w:rPr>
                <w:rFonts w:ascii="Times New Roman" w:hAnsi="Times New Roman"/>
                <w:sz w:val="24"/>
              </w:rPr>
              <w:t>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73CF7CCE" w14:textId="1F9DFCA4" w:rsidR="004D45AA" w:rsidRPr="002A677E" w:rsidRDefault="00BC61F2" w:rsidP="00974F0C">
            <w:pPr>
              <w:ind w:right="6"/>
              <w:rPr>
                <w:rFonts w:ascii="Times New Roman" w:hAnsi="Times New Roman"/>
                <w:b/>
                <w:sz w:val="24"/>
                <w:u w:val="single"/>
              </w:rPr>
            </w:pPr>
            <w:r w:rsidRPr="002A677E">
              <w:rPr>
                <w:rStyle w:val="InstructionsTabelleText"/>
                <w:rFonts w:ascii="Times New Roman" w:hAnsi="Times New Roman"/>
                <w:sz w:val="24"/>
              </w:rPr>
              <w:t>Institutions shall report h</w:t>
            </w:r>
            <w:r w:rsidR="004D45AA" w:rsidRPr="002A677E">
              <w:rPr>
                <w:rStyle w:val="InstructionsTabelleText"/>
                <w:rFonts w:ascii="Times New Roman" w:hAnsi="Times New Roman"/>
                <w:sz w:val="24"/>
              </w:rPr>
              <w:t xml:space="preserve">ypothetical risk weighted exposure amount </w:t>
            </w:r>
            <w:r w:rsidRPr="002A677E">
              <w:rPr>
                <w:rStyle w:val="InstructionsTabelleText"/>
                <w:rFonts w:ascii="Times New Roman" w:hAnsi="Times New Roman"/>
                <w:sz w:val="24"/>
              </w:rPr>
              <w:t xml:space="preserve">to be </w:t>
            </w:r>
            <w:r w:rsidR="004D45AA" w:rsidRPr="002A677E">
              <w:rPr>
                <w:rStyle w:val="InstructionsTabelleText"/>
                <w:rFonts w:ascii="Times New Roman" w:hAnsi="Times New Roman"/>
                <w:sz w:val="24"/>
              </w:rPr>
              <w:t>calculated</w:t>
            </w:r>
            <w:r w:rsidR="002754C0"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as </w:t>
            </w:r>
            <w:r w:rsidR="002754C0" w:rsidRPr="002A677E">
              <w:rPr>
                <w:rStyle w:val="InstructionsTabelleText"/>
                <w:rFonts w:ascii="Times New Roman" w:hAnsi="Times New Roman"/>
                <w:sz w:val="24"/>
              </w:rPr>
              <w:t>the RWEA</w:t>
            </w:r>
            <w:r w:rsidR="004D45AA" w:rsidRPr="002A677E">
              <w:rPr>
                <w:rStyle w:val="InstructionsTabelleText"/>
                <w:rFonts w:ascii="Times New Roman" w:hAnsi="Times New Roman"/>
                <w:sz w:val="24"/>
              </w:rPr>
              <w:t xml:space="preserve"> </w:t>
            </w:r>
            <w:r w:rsidR="00974F0C" w:rsidRPr="002A677E">
              <w:rPr>
                <w:rStyle w:val="InstructionsTabelleText"/>
                <w:rFonts w:ascii="Times New Roman" w:hAnsi="Times New Roman"/>
                <w:sz w:val="24"/>
              </w:rPr>
              <w:t>without the</w:t>
            </w:r>
            <w:r w:rsidR="004D45AA" w:rsidRPr="002A677E">
              <w:rPr>
                <w:rStyle w:val="InstructionsTabelleText"/>
                <w:rFonts w:ascii="Times New Roman" w:hAnsi="Times New Roman"/>
                <w:sz w:val="24"/>
              </w:rPr>
              <w:t xml:space="preserve"> recognition of the </w:t>
            </w:r>
            <w:r w:rsidR="00974F0C" w:rsidRPr="002A677E">
              <w:rPr>
                <w:rStyle w:val="InstructionsTabelleText"/>
                <w:rFonts w:ascii="Times New Roman" w:hAnsi="Times New Roman"/>
                <w:sz w:val="24"/>
              </w:rPr>
              <w:t xml:space="preserve">eligible </w:t>
            </w:r>
            <w:r w:rsidR="004D45AA" w:rsidRPr="002A677E">
              <w:rPr>
                <w:rStyle w:val="InstructionsTabelleText"/>
                <w:rFonts w:ascii="Times New Roman" w:hAnsi="Times New Roman"/>
                <w:sz w:val="24"/>
              </w:rPr>
              <w:t xml:space="preserve">credit derivative as a CRM technique as specified in Article 204 </w:t>
            </w:r>
            <w:r w:rsidR="002F11F3" w:rsidRPr="001235ED">
              <w:rPr>
                <w:rFonts w:ascii="Times New Roman" w:hAnsi="Times New Roman"/>
                <w:sz w:val="24"/>
                <w:lang w:val="en-US"/>
              </w:rPr>
              <w:t>of Regulation (EU) No 575/2013</w:t>
            </w:r>
            <w:r w:rsidR="004D45AA" w:rsidRPr="002A677E">
              <w:rPr>
                <w:rStyle w:val="InstructionsTabelleText"/>
                <w:rFonts w:ascii="Times New Roman" w:hAnsi="Times New Roman"/>
                <w:sz w:val="24"/>
              </w:rPr>
              <w:t>. The amounts shall be presented in the exposure classes relevant for the exposures to the original obligor.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72FDE0D4">
        <w:tc>
          <w:tcPr>
            <w:tcW w:w="1242" w:type="dxa"/>
            <w:shd w:val="clear" w:color="auto" w:fill="CCCCCC"/>
          </w:tcPr>
          <w:p w14:paraId="5B43D904" w14:textId="77777777" w:rsidR="001C7AB7" w:rsidRPr="002A677E" w:rsidRDefault="001C7AB7" w:rsidP="001C7AB7">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sidRPr="002A677E">
              <w:rPr>
                <w:rFonts w:ascii="Times New Roman" w:hAnsi="Times New Roman"/>
                <w:sz w:val="24"/>
              </w:rPr>
              <w:t>Instructions</w:t>
            </w:r>
          </w:p>
        </w:tc>
      </w:tr>
      <w:tr w:rsidR="001C7AB7" w:rsidRPr="002A677E" w14:paraId="2CC5EB5C" w14:textId="77777777" w:rsidTr="72FDE0D4">
        <w:tc>
          <w:tcPr>
            <w:tcW w:w="1242" w:type="dxa"/>
          </w:tcPr>
          <w:p w14:paraId="5B0EFF00"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p>
        </w:tc>
        <w:tc>
          <w:tcPr>
            <w:tcW w:w="8789" w:type="dxa"/>
          </w:tcPr>
          <w:p w14:paraId="6959956A" w14:textId="77777777" w:rsidR="00284A6D" w:rsidRPr="002A677E" w:rsidRDefault="001C7AB7" w:rsidP="004D45AA">
            <w:pPr>
              <w:rPr>
                <w:rFonts w:ascii="Times New Roman" w:hAnsi="Times New Roman"/>
                <w:sz w:val="24"/>
              </w:rPr>
            </w:pPr>
            <w:r w:rsidRPr="002A677E">
              <w:rPr>
                <w:rFonts w:ascii="Times New Roman" w:hAnsi="Times New Roman"/>
                <w:b/>
                <w:sz w:val="24"/>
                <w:u w:val="single"/>
              </w:rPr>
              <w:t>TOTAL EXPOSURES</w:t>
            </w:r>
          </w:p>
        </w:tc>
      </w:tr>
      <w:tr w:rsidR="00785F3E" w:rsidRPr="002A677E" w14:paraId="510A255C" w14:textId="67FAB6DD" w:rsidTr="72FDE0D4">
        <w:tc>
          <w:tcPr>
            <w:tcW w:w="1242" w:type="dxa"/>
          </w:tcPr>
          <w:p w14:paraId="3FE2F8D2" w14:textId="77777777" w:rsidR="00785F3E" w:rsidRPr="002A677E" w:rsidRDefault="003C3168"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15</w:t>
            </w:r>
          </w:p>
        </w:tc>
        <w:tc>
          <w:tcPr>
            <w:tcW w:w="8789" w:type="dxa"/>
          </w:tcPr>
          <w:p w14:paraId="01706650" w14:textId="77777777" w:rsidR="00785F3E" w:rsidRPr="002A677E" w:rsidRDefault="00785F3E" w:rsidP="00785F3E">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Pr="002A677E">
              <w:rPr>
                <w:rFonts w:ascii="Times New Roman" w:hAnsi="Times New Roman"/>
                <w:b/>
                <w:sz w:val="24"/>
                <w:u w:val="single"/>
              </w:rPr>
              <w:t>SME</w:t>
            </w:r>
            <w:r w:rsidR="001A217F" w:rsidRPr="002A677E">
              <w:rPr>
                <w:rFonts w:ascii="Times New Roman" w:hAnsi="Times New Roman"/>
                <w:b/>
                <w:sz w:val="24"/>
                <w:u w:val="single"/>
              </w:rPr>
              <w:t xml:space="preserve"> </w:t>
            </w:r>
            <w:r w:rsidRPr="002A677E">
              <w:rPr>
                <w:rFonts w:ascii="Times New Roman" w:hAnsi="Times New Roman"/>
                <w:b/>
                <w:sz w:val="24"/>
                <w:u w:val="single"/>
              </w:rPr>
              <w:t>supporting factor</w:t>
            </w:r>
          </w:p>
          <w:p w14:paraId="5011AC41" w14:textId="0AF1DD2C" w:rsidR="00785F3E" w:rsidRPr="002A677E" w:rsidRDefault="00785F3E" w:rsidP="00785F3E">
            <w:pPr>
              <w:rPr>
                <w:rFonts w:ascii="Times New Roman" w:hAnsi="Times New Roman"/>
                <w:sz w:val="24"/>
              </w:rPr>
            </w:pPr>
            <w:r w:rsidRPr="002A677E">
              <w:rPr>
                <w:rFonts w:ascii="Times New Roman" w:hAnsi="Times New Roman"/>
                <w:sz w:val="24"/>
              </w:rPr>
              <w:t xml:space="preserve">Only exposures which meet the requirements of Article 501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8A6DC9E" w14:textId="77777777" w:rsidTr="72FDE0D4">
        <w:tc>
          <w:tcPr>
            <w:tcW w:w="1242" w:type="dxa"/>
          </w:tcPr>
          <w:p w14:paraId="0D48275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16</w:t>
            </w:r>
          </w:p>
        </w:tc>
        <w:tc>
          <w:tcPr>
            <w:tcW w:w="8789" w:type="dxa"/>
          </w:tcPr>
          <w:p w14:paraId="241B1F09" w14:textId="77777777" w:rsidR="004D45AA" w:rsidRPr="00891B34" w:rsidRDefault="004D45AA" w:rsidP="004D45AA">
            <w:pPr>
              <w:rPr>
                <w:rFonts w:ascii="Times New Roman" w:hAnsi="Times New Roman"/>
                <w:b/>
                <w:sz w:val="24"/>
                <w:u w:val="single"/>
              </w:rPr>
            </w:pPr>
            <w:r w:rsidRPr="00891B34">
              <w:rPr>
                <w:rFonts w:ascii="Times New Roman" w:hAnsi="Times New Roman"/>
                <w:b/>
                <w:sz w:val="24"/>
                <w:u w:val="single"/>
              </w:rPr>
              <w:t xml:space="preserve">of which: Exposures subject to </w:t>
            </w:r>
            <w:r w:rsidR="00927B49" w:rsidRPr="00891B34">
              <w:rPr>
                <w:rFonts w:ascii="Times New Roman" w:hAnsi="Times New Roman"/>
                <w:b/>
                <w:sz w:val="24"/>
                <w:u w:val="single"/>
              </w:rPr>
              <w:t xml:space="preserve">the </w:t>
            </w:r>
            <w:r w:rsidR="003B05AE" w:rsidRPr="00891B34">
              <w:rPr>
                <w:rFonts w:ascii="Times New Roman" w:hAnsi="Times New Roman"/>
                <w:b/>
                <w:sz w:val="24"/>
                <w:u w:val="single"/>
              </w:rPr>
              <w:t>i</w:t>
            </w:r>
            <w:r w:rsidRPr="00891B34">
              <w:rPr>
                <w:rFonts w:ascii="Times New Roman" w:hAnsi="Times New Roman"/>
                <w:b/>
                <w:sz w:val="24"/>
                <w:u w:val="single"/>
              </w:rPr>
              <w:t xml:space="preserve">nfrastructure </w:t>
            </w:r>
            <w:r w:rsidR="003B05AE" w:rsidRPr="00891B34">
              <w:rPr>
                <w:rFonts w:ascii="Times New Roman" w:hAnsi="Times New Roman"/>
                <w:b/>
                <w:sz w:val="24"/>
                <w:u w:val="single"/>
              </w:rPr>
              <w:t>supporting factor</w:t>
            </w:r>
          </w:p>
          <w:p w14:paraId="3F826699" w14:textId="7BBEA04C" w:rsidR="004D45AA" w:rsidRPr="00B7761D" w:rsidRDefault="004D45AA" w:rsidP="004D45AA">
            <w:pPr>
              <w:rPr>
                <w:rFonts w:ascii="Times New Roman" w:hAnsi="Times New Roman"/>
                <w:bCs/>
                <w:sz w:val="24"/>
                <w:u w:val="single"/>
              </w:rPr>
            </w:pPr>
            <w:r w:rsidRPr="00891B34">
              <w:rPr>
                <w:rFonts w:ascii="Times New Roman" w:hAnsi="Times New Roman"/>
                <w:bCs/>
                <w:sz w:val="24"/>
              </w:rPr>
              <w:t xml:space="preserve">Only exposures which meet the requirements of Article 501a </w:t>
            </w:r>
            <w:r w:rsidR="002F11F3" w:rsidRPr="00891B34">
              <w:rPr>
                <w:rFonts w:ascii="Times New Roman" w:hAnsi="Times New Roman"/>
                <w:bCs/>
                <w:sz w:val="24"/>
                <w:lang w:val="en-US"/>
              </w:rPr>
              <w:t>of Regulation (EU) No 575/2013</w:t>
            </w:r>
            <w:r w:rsidRPr="00891B34">
              <w:rPr>
                <w:rFonts w:ascii="Times New Roman" w:hAnsi="Times New Roman"/>
                <w:bCs/>
                <w:sz w:val="24"/>
              </w:rPr>
              <w:t xml:space="preserve"> shall be reported here.</w:t>
            </w:r>
          </w:p>
        </w:tc>
      </w:tr>
      <w:tr w:rsidR="00E6521E" w:rsidRPr="002A677E" w14:paraId="3B94310C" w14:textId="77777777" w:rsidTr="72FDE0D4">
        <w:tc>
          <w:tcPr>
            <w:tcW w:w="1242" w:type="dxa"/>
          </w:tcPr>
          <w:p w14:paraId="61C82D64" w14:textId="5411F024" w:rsidR="00E6521E" w:rsidRPr="002A677E" w:rsidRDefault="00E6521E" w:rsidP="00E6521E">
            <w:pPr>
              <w:rPr>
                <w:rFonts w:ascii="Times New Roman" w:hAnsi="Times New Roman"/>
                <w:sz w:val="24"/>
              </w:rPr>
            </w:pPr>
            <w:r>
              <w:rPr>
                <w:rFonts w:ascii="Times New Roman" w:hAnsi="Times New Roman"/>
                <w:sz w:val="24"/>
              </w:rPr>
              <w:t>0017</w:t>
            </w:r>
          </w:p>
        </w:tc>
        <w:tc>
          <w:tcPr>
            <w:tcW w:w="8789" w:type="dxa"/>
          </w:tcPr>
          <w:p w14:paraId="121F2389" w14:textId="39763D8A" w:rsidR="00E6521E" w:rsidRDefault="001D03A6" w:rsidP="00E6521E">
            <w:pPr>
              <w:rPr>
                <w:rFonts w:ascii="Times New Roman" w:hAnsi="Times New Roman"/>
                <w:b/>
                <w:sz w:val="24"/>
                <w:u w:val="single"/>
              </w:rPr>
            </w:pPr>
            <w:r w:rsidRPr="00891B34">
              <w:rPr>
                <w:rFonts w:ascii="Times New Roman" w:hAnsi="Times New Roman"/>
                <w:b/>
                <w:sz w:val="24"/>
                <w:u w:val="single"/>
              </w:rPr>
              <w:t xml:space="preserve">of which: </w:t>
            </w:r>
            <w:r w:rsidR="00E6521E" w:rsidRPr="000059B8">
              <w:rPr>
                <w:rFonts w:ascii="Times New Roman" w:hAnsi="Times New Roman"/>
                <w:b/>
                <w:sz w:val="24"/>
                <w:u w:val="single"/>
              </w:rPr>
              <w:t>Secured by mortgages on residential immovable property - non-IPRE</w:t>
            </w:r>
            <w:r w:rsidR="00B57D32">
              <w:rPr>
                <w:rFonts w:ascii="Times New Roman" w:hAnsi="Times New Roman"/>
                <w:b/>
                <w:sz w:val="24"/>
                <w:u w:val="single"/>
              </w:rPr>
              <w:t xml:space="preserve"> (secured)</w:t>
            </w:r>
          </w:p>
          <w:p w14:paraId="578244BF" w14:textId="502A0254" w:rsidR="00456123" w:rsidRPr="00891B34" w:rsidRDefault="00456123"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B57D32" w:rsidRPr="002A677E" w14:paraId="7BAA324F" w14:textId="77777777" w:rsidTr="72FDE0D4">
        <w:tc>
          <w:tcPr>
            <w:tcW w:w="1242" w:type="dxa"/>
          </w:tcPr>
          <w:p w14:paraId="3917A922" w14:textId="0865C3C2" w:rsidR="00B57D32" w:rsidRDefault="00B57D32" w:rsidP="00B57D32">
            <w:pPr>
              <w:rPr>
                <w:rFonts w:ascii="Times New Roman" w:hAnsi="Times New Roman"/>
                <w:sz w:val="24"/>
              </w:rPr>
            </w:pPr>
            <w:r>
              <w:rPr>
                <w:rFonts w:ascii="Times New Roman" w:hAnsi="Times New Roman"/>
                <w:sz w:val="24"/>
              </w:rPr>
              <w:t>0018</w:t>
            </w:r>
          </w:p>
        </w:tc>
        <w:tc>
          <w:tcPr>
            <w:tcW w:w="8789" w:type="dxa"/>
          </w:tcPr>
          <w:p w14:paraId="5A6BD4AE" w14:textId="40540D8D" w:rsidR="00B57D32" w:rsidRDefault="00B57D32" w:rsidP="00B57D32">
            <w:pPr>
              <w:rPr>
                <w:rFonts w:ascii="Times New Roman" w:hAnsi="Times New Roman"/>
                <w:b/>
                <w:sz w:val="24"/>
                <w:u w:val="single"/>
              </w:rPr>
            </w:pPr>
            <w:r w:rsidRPr="00891B34">
              <w:rPr>
                <w:rFonts w:ascii="Times New Roman" w:hAnsi="Times New Roman"/>
                <w:b/>
                <w:sz w:val="24"/>
                <w:u w:val="single"/>
              </w:rPr>
              <w:t xml:space="preserve">Of which: </w:t>
            </w:r>
            <w:r w:rsidRPr="004C1B40">
              <w:rPr>
                <w:rFonts w:ascii="Times New Roman" w:hAnsi="Times New Roman"/>
                <w:b/>
                <w:sz w:val="24"/>
                <w:u w:val="single"/>
              </w:rPr>
              <w:t xml:space="preserve">Secured by mortgages on residential immovable property </w:t>
            </w:r>
            <w:r>
              <w:rPr>
                <w:rFonts w:ascii="Times New Roman" w:hAnsi="Times New Roman"/>
                <w:b/>
                <w:sz w:val="24"/>
                <w:u w:val="single"/>
              </w:rPr>
              <w:t>–</w:t>
            </w:r>
            <w:r w:rsidRPr="004C1B40">
              <w:rPr>
                <w:rFonts w:ascii="Times New Roman" w:hAnsi="Times New Roman"/>
                <w:b/>
                <w:sz w:val="24"/>
                <w:u w:val="single"/>
              </w:rPr>
              <w:t xml:space="preserve"> non-IPRE</w:t>
            </w:r>
            <w:r>
              <w:rPr>
                <w:rFonts w:ascii="Times New Roman" w:hAnsi="Times New Roman"/>
                <w:b/>
                <w:sz w:val="24"/>
                <w:u w:val="single"/>
              </w:rPr>
              <w:t xml:space="preserve"> (unsecured)</w:t>
            </w:r>
          </w:p>
          <w:p w14:paraId="5BC04F2C" w14:textId="75CAFCA0" w:rsidR="00B57D32" w:rsidRPr="00891B34" w:rsidRDefault="00B57D32" w:rsidP="00B57D32">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6521E" w:rsidRPr="002A677E" w14:paraId="6F15C163" w14:textId="77777777" w:rsidTr="72FDE0D4">
        <w:tc>
          <w:tcPr>
            <w:tcW w:w="1242" w:type="dxa"/>
          </w:tcPr>
          <w:p w14:paraId="5E874D70" w14:textId="31991A2B" w:rsidR="00E6521E" w:rsidRPr="002A677E" w:rsidRDefault="00E6521E" w:rsidP="00E6521E">
            <w:pPr>
              <w:rPr>
                <w:rFonts w:ascii="Times New Roman" w:hAnsi="Times New Roman"/>
                <w:sz w:val="24"/>
              </w:rPr>
            </w:pPr>
            <w:r>
              <w:rPr>
                <w:rFonts w:ascii="Times New Roman" w:hAnsi="Times New Roman"/>
                <w:sz w:val="24"/>
              </w:rPr>
              <w:t>001</w:t>
            </w:r>
            <w:r w:rsidR="001C2358">
              <w:rPr>
                <w:rFonts w:ascii="Times New Roman" w:hAnsi="Times New Roman"/>
                <w:sz w:val="24"/>
              </w:rPr>
              <w:t>9</w:t>
            </w:r>
          </w:p>
        </w:tc>
        <w:tc>
          <w:tcPr>
            <w:tcW w:w="8789" w:type="dxa"/>
          </w:tcPr>
          <w:p w14:paraId="6B584312" w14:textId="598DA362" w:rsidR="00E6521E" w:rsidRDefault="003928D4" w:rsidP="00E6521E">
            <w:pPr>
              <w:rPr>
                <w:rFonts w:ascii="Times New Roman" w:hAnsi="Times New Roman"/>
                <w:b/>
                <w:sz w:val="24"/>
                <w:u w:val="single"/>
              </w:rPr>
            </w:pPr>
            <w:r w:rsidRPr="00DD7A1F">
              <w:rPr>
                <w:rFonts w:ascii="Times New Roman" w:hAnsi="Times New Roman"/>
                <w:b/>
                <w:sz w:val="24"/>
                <w:u w:val="single"/>
              </w:rPr>
              <w:t xml:space="preserve">of which: </w:t>
            </w:r>
            <w:r w:rsidR="00E6521E" w:rsidRPr="000059B8">
              <w:rPr>
                <w:rFonts w:ascii="Times New Roman" w:hAnsi="Times New Roman"/>
                <w:b/>
                <w:sz w:val="24"/>
                <w:u w:val="single"/>
              </w:rPr>
              <w:t>Secured by mortgages on residential immovable property - IPRE</w:t>
            </w:r>
          </w:p>
          <w:p w14:paraId="07B2BD53" w14:textId="3411F403" w:rsidR="00456123" w:rsidRPr="00891B34" w:rsidRDefault="00456123"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6521E" w:rsidRPr="002A677E" w14:paraId="618A923D" w14:textId="77777777" w:rsidTr="72FDE0D4">
        <w:tc>
          <w:tcPr>
            <w:tcW w:w="1242" w:type="dxa"/>
          </w:tcPr>
          <w:p w14:paraId="7BC1C9D7" w14:textId="29C1D68C" w:rsidR="00E6521E" w:rsidRPr="002A677E" w:rsidRDefault="00E6521E" w:rsidP="00E6521E">
            <w:pPr>
              <w:rPr>
                <w:rFonts w:ascii="Times New Roman" w:hAnsi="Times New Roman"/>
                <w:sz w:val="24"/>
              </w:rPr>
            </w:pPr>
            <w:r>
              <w:rPr>
                <w:rFonts w:ascii="Times New Roman" w:hAnsi="Times New Roman"/>
                <w:sz w:val="24"/>
              </w:rPr>
              <w:t>0</w:t>
            </w:r>
            <w:r w:rsidR="003928D4">
              <w:rPr>
                <w:rFonts w:ascii="Times New Roman" w:hAnsi="Times New Roman"/>
                <w:sz w:val="24"/>
              </w:rPr>
              <w:t>900</w:t>
            </w:r>
          </w:p>
        </w:tc>
        <w:tc>
          <w:tcPr>
            <w:tcW w:w="8789" w:type="dxa"/>
          </w:tcPr>
          <w:p w14:paraId="01DB7E93" w14:textId="2DE80FCF" w:rsidR="00DD7A1F" w:rsidRDefault="00DD7A1F" w:rsidP="00E6521E">
            <w:pPr>
              <w:rPr>
                <w:rFonts w:ascii="Times New Roman" w:hAnsi="Times New Roman"/>
                <w:b/>
                <w:sz w:val="24"/>
                <w:u w:val="single"/>
              </w:rPr>
            </w:pPr>
            <w:r w:rsidRPr="00DD7A1F">
              <w:rPr>
                <w:rFonts w:ascii="Times New Roman" w:hAnsi="Times New Roman"/>
                <w:b/>
                <w:sz w:val="24"/>
                <w:u w:val="single"/>
              </w:rPr>
              <w:t>of which: Secured by mortgages on commercial immovable property - non-IPRE (secured)</w:t>
            </w:r>
          </w:p>
          <w:p w14:paraId="54692A5A" w14:textId="1D242E72" w:rsidR="00456123" w:rsidRPr="00891B34" w:rsidRDefault="00456123"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6521E" w:rsidRPr="002A677E" w14:paraId="620EAE89" w14:textId="77777777" w:rsidTr="72FDE0D4">
        <w:tc>
          <w:tcPr>
            <w:tcW w:w="1242" w:type="dxa"/>
          </w:tcPr>
          <w:p w14:paraId="29D5EFC6" w14:textId="3AB33305" w:rsidR="00E6521E" w:rsidRPr="002A677E" w:rsidRDefault="00E6521E" w:rsidP="00E6521E">
            <w:pPr>
              <w:rPr>
                <w:rFonts w:ascii="Times New Roman" w:hAnsi="Times New Roman"/>
                <w:sz w:val="24"/>
              </w:rPr>
            </w:pPr>
            <w:r>
              <w:rPr>
                <w:rFonts w:ascii="Times New Roman" w:hAnsi="Times New Roman"/>
                <w:sz w:val="24"/>
              </w:rPr>
              <w:t>0</w:t>
            </w:r>
            <w:r w:rsidR="00181610">
              <w:rPr>
                <w:rFonts w:ascii="Times New Roman" w:hAnsi="Times New Roman"/>
                <w:sz w:val="24"/>
              </w:rPr>
              <w:t>9</w:t>
            </w:r>
            <w:r w:rsidR="003928D4">
              <w:rPr>
                <w:rFonts w:ascii="Times New Roman" w:hAnsi="Times New Roman"/>
                <w:sz w:val="24"/>
              </w:rPr>
              <w:t>1</w:t>
            </w:r>
            <w:r w:rsidR="00181610">
              <w:rPr>
                <w:rFonts w:ascii="Times New Roman" w:hAnsi="Times New Roman"/>
                <w:sz w:val="24"/>
              </w:rPr>
              <w:t>0</w:t>
            </w:r>
          </w:p>
        </w:tc>
        <w:tc>
          <w:tcPr>
            <w:tcW w:w="8789" w:type="dxa"/>
          </w:tcPr>
          <w:p w14:paraId="0B6D7E35" w14:textId="1D0A0D00" w:rsidR="00DD7A1F" w:rsidRDefault="00DD7A1F" w:rsidP="00E6521E">
            <w:pPr>
              <w:rPr>
                <w:rStyle w:val="FormatvorlageInstructionsTabelleText"/>
                <w:rFonts w:ascii="Times New Roman" w:hAnsi="Times New Roman"/>
                <w:sz w:val="24"/>
              </w:rPr>
            </w:pPr>
            <w:r w:rsidRPr="00DD7A1F">
              <w:rPr>
                <w:rFonts w:ascii="Times New Roman" w:hAnsi="Times New Roman"/>
                <w:b/>
                <w:sz w:val="24"/>
                <w:u w:val="single"/>
              </w:rPr>
              <w:t>of which: Secured by mortgages on commercial immovable property - non-IPRE (</w:t>
            </w:r>
            <w:r>
              <w:rPr>
                <w:rFonts w:ascii="Times New Roman" w:hAnsi="Times New Roman"/>
                <w:b/>
                <w:sz w:val="24"/>
                <w:u w:val="single"/>
              </w:rPr>
              <w:t>un</w:t>
            </w:r>
            <w:r w:rsidRPr="00DD7A1F">
              <w:rPr>
                <w:rFonts w:ascii="Times New Roman" w:hAnsi="Times New Roman"/>
                <w:b/>
                <w:sz w:val="24"/>
                <w:u w:val="single"/>
              </w:rPr>
              <w:t>secured)</w:t>
            </w:r>
          </w:p>
          <w:p w14:paraId="0F5C46A4" w14:textId="6E2B3A6E" w:rsidR="00456123" w:rsidRPr="00891B34" w:rsidRDefault="00456123"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6521E" w:rsidRPr="002A677E" w14:paraId="4A87E5C9" w14:textId="77777777" w:rsidTr="72FDE0D4">
        <w:tc>
          <w:tcPr>
            <w:tcW w:w="1242" w:type="dxa"/>
          </w:tcPr>
          <w:p w14:paraId="62F3D13A" w14:textId="25A16B47" w:rsidR="00E6521E" w:rsidRPr="002A677E" w:rsidRDefault="00E6521E" w:rsidP="00E6521E">
            <w:pPr>
              <w:rPr>
                <w:rFonts w:ascii="Times New Roman" w:hAnsi="Times New Roman"/>
                <w:sz w:val="24"/>
              </w:rPr>
            </w:pPr>
            <w:r w:rsidRPr="72FDE0D4">
              <w:rPr>
                <w:rFonts w:ascii="Times New Roman" w:hAnsi="Times New Roman"/>
                <w:sz w:val="24"/>
              </w:rPr>
              <w:t>0</w:t>
            </w:r>
            <w:r w:rsidR="00181610">
              <w:rPr>
                <w:rFonts w:ascii="Times New Roman" w:hAnsi="Times New Roman"/>
                <w:sz w:val="24"/>
              </w:rPr>
              <w:t>9</w:t>
            </w:r>
            <w:r w:rsidR="003928D4">
              <w:rPr>
                <w:rFonts w:ascii="Times New Roman" w:hAnsi="Times New Roman"/>
                <w:sz w:val="24"/>
              </w:rPr>
              <w:t>2</w:t>
            </w:r>
            <w:r w:rsidR="00181610">
              <w:rPr>
                <w:rFonts w:ascii="Times New Roman" w:hAnsi="Times New Roman"/>
                <w:sz w:val="24"/>
              </w:rPr>
              <w:t>0</w:t>
            </w:r>
          </w:p>
        </w:tc>
        <w:tc>
          <w:tcPr>
            <w:tcW w:w="8789" w:type="dxa"/>
          </w:tcPr>
          <w:p w14:paraId="2208A03F" w14:textId="6DFECB72" w:rsidR="00ED61BB" w:rsidRDefault="002D4899" w:rsidP="00E6521E">
            <w:pPr>
              <w:rPr>
                <w:rFonts w:ascii="Times New Roman" w:hAnsi="Times New Roman"/>
                <w:b/>
                <w:sz w:val="24"/>
                <w:u w:val="single"/>
              </w:rPr>
            </w:pPr>
            <w:r w:rsidRPr="002D4899">
              <w:rPr>
                <w:rFonts w:ascii="Times New Roman" w:hAnsi="Times New Roman"/>
                <w:b/>
                <w:sz w:val="24"/>
                <w:u w:val="single"/>
              </w:rPr>
              <w:t xml:space="preserve">of which: </w:t>
            </w:r>
            <w:r w:rsidR="00E6521E" w:rsidRPr="000059B8">
              <w:rPr>
                <w:rFonts w:ascii="Times New Roman" w:hAnsi="Times New Roman"/>
                <w:b/>
                <w:sz w:val="24"/>
                <w:u w:val="single"/>
              </w:rPr>
              <w:t xml:space="preserve">Secured by mortgages on </w:t>
            </w:r>
            <w:r>
              <w:rPr>
                <w:rFonts w:ascii="Times New Roman" w:hAnsi="Times New Roman"/>
                <w:b/>
                <w:sz w:val="24"/>
                <w:u w:val="single"/>
              </w:rPr>
              <w:t>commercial</w:t>
            </w:r>
            <w:r w:rsidR="00E6521E" w:rsidRPr="000059B8">
              <w:rPr>
                <w:rFonts w:ascii="Times New Roman" w:hAnsi="Times New Roman"/>
                <w:b/>
                <w:sz w:val="24"/>
                <w:u w:val="single"/>
              </w:rPr>
              <w:t xml:space="preserve"> immovable property - IPRE</w:t>
            </w:r>
          </w:p>
          <w:p w14:paraId="3EAE949B" w14:textId="2304A1FB" w:rsidR="00E6521E" w:rsidRPr="00B97B3A" w:rsidRDefault="003A12E0"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6521E" w:rsidRPr="002A677E" w14:paraId="45199C15" w14:textId="77777777" w:rsidTr="72FDE0D4">
        <w:tc>
          <w:tcPr>
            <w:tcW w:w="1242" w:type="dxa"/>
          </w:tcPr>
          <w:p w14:paraId="3F984B8A" w14:textId="7FD4BB25" w:rsidR="00E6521E" w:rsidRPr="002A677E" w:rsidRDefault="00E6521E" w:rsidP="00E6521E">
            <w:pPr>
              <w:rPr>
                <w:rFonts w:ascii="Times New Roman" w:hAnsi="Times New Roman"/>
                <w:sz w:val="24"/>
              </w:rPr>
            </w:pPr>
            <w:r>
              <w:rPr>
                <w:rFonts w:ascii="Times New Roman" w:hAnsi="Times New Roman"/>
                <w:sz w:val="24"/>
              </w:rPr>
              <w:t>0</w:t>
            </w:r>
            <w:r w:rsidR="00181610">
              <w:rPr>
                <w:rFonts w:ascii="Times New Roman" w:hAnsi="Times New Roman"/>
                <w:sz w:val="24"/>
              </w:rPr>
              <w:t>9</w:t>
            </w:r>
            <w:r w:rsidR="003928D4">
              <w:rPr>
                <w:rFonts w:ascii="Times New Roman" w:hAnsi="Times New Roman"/>
                <w:sz w:val="24"/>
              </w:rPr>
              <w:t>3</w:t>
            </w:r>
            <w:r w:rsidR="00181610">
              <w:rPr>
                <w:rFonts w:ascii="Times New Roman" w:hAnsi="Times New Roman"/>
                <w:sz w:val="24"/>
              </w:rPr>
              <w:t>0</w:t>
            </w:r>
          </w:p>
        </w:tc>
        <w:tc>
          <w:tcPr>
            <w:tcW w:w="8789" w:type="dxa"/>
          </w:tcPr>
          <w:p w14:paraId="342F60C4" w14:textId="576F7117" w:rsidR="00ED61BB" w:rsidRDefault="002D4899" w:rsidP="00E6521E">
            <w:pPr>
              <w:rPr>
                <w:rFonts w:ascii="Times New Roman" w:hAnsi="Times New Roman"/>
                <w:b/>
                <w:sz w:val="24"/>
                <w:u w:val="single"/>
              </w:rPr>
            </w:pPr>
            <w:r w:rsidRPr="002D4899">
              <w:rPr>
                <w:rFonts w:ascii="Times New Roman" w:hAnsi="Times New Roman"/>
                <w:b/>
                <w:sz w:val="24"/>
                <w:u w:val="single"/>
              </w:rPr>
              <w:t xml:space="preserve">of which: </w:t>
            </w:r>
            <w:r w:rsidR="00E6521E" w:rsidRPr="000059B8">
              <w:rPr>
                <w:rFonts w:ascii="Times New Roman" w:hAnsi="Times New Roman"/>
                <w:b/>
                <w:sz w:val="24"/>
                <w:u w:val="single"/>
              </w:rPr>
              <w:t>Secured by mortgages on  immovable property - non-IPRE</w:t>
            </w:r>
          </w:p>
          <w:p w14:paraId="5096D296" w14:textId="453BA5D4" w:rsidR="00E6521E" w:rsidRPr="00B97B3A" w:rsidRDefault="003A12E0"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EC6129" w:rsidRPr="002A677E" w14:paraId="2682AB64" w14:textId="77777777" w:rsidTr="72FDE0D4">
        <w:tc>
          <w:tcPr>
            <w:tcW w:w="1242" w:type="dxa"/>
          </w:tcPr>
          <w:p w14:paraId="327213C0" w14:textId="46B8E3E8" w:rsidR="00EC6129" w:rsidRDefault="00EC6129" w:rsidP="00EC6129">
            <w:pPr>
              <w:rPr>
                <w:rFonts w:ascii="Times New Roman" w:hAnsi="Times New Roman"/>
                <w:sz w:val="24"/>
              </w:rPr>
            </w:pPr>
            <w:r>
              <w:rPr>
                <w:rFonts w:ascii="Times New Roman" w:hAnsi="Times New Roman"/>
                <w:sz w:val="24"/>
              </w:rPr>
              <w:t>0940</w:t>
            </w:r>
          </w:p>
        </w:tc>
        <w:tc>
          <w:tcPr>
            <w:tcW w:w="8789" w:type="dxa"/>
          </w:tcPr>
          <w:p w14:paraId="5ABB1340" w14:textId="578266A8" w:rsidR="00EC6129" w:rsidRDefault="00EC6129" w:rsidP="00EC6129">
            <w:pPr>
              <w:rPr>
                <w:rFonts w:ascii="Times New Roman" w:hAnsi="Times New Roman"/>
                <w:b/>
                <w:sz w:val="24"/>
                <w:u w:val="single"/>
              </w:rPr>
            </w:pPr>
            <w:r w:rsidRPr="002D4899">
              <w:rPr>
                <w:rFonts w:ascii="Times New Roman" w:hAnsi="Times New Roman"/>
                <w:b/>
                <w:sz w:val="24"/>
                <w:u w:val="single"/>
              </w:rPr>
              <w:t xml:space="preserve">of which: </w:t>
            </w:r>
            <w:r w:rsidR="00CC09F6" w:rsidRPr="00CC09F6">
              <w:rPr>
                <w:rFonts w:ascii="Times New Roman" w:hAnsi="Times New Roman"/>
                <w:b/>
                <w:sz w:val="24"/>
                <w:u w:val="single"/>
              </w:rPr>
              <w:t>Secured by mortgages on immovable property - Other - IPRE</w:t>
            </w:r>
          </w:p>
          <w:p w14:paraId="5D6C804B" w14:textId="55DE6A5F" w:rsidR="00EC6129" w:rsidRPr="002D4899" w:rsidRDefault="00EC6129" w:rsidP="00EC6129">
            <w:pPr>
              <w:rPr>
                <w:rFonts w:ascii="Times New Roman" w:hAnsi="Times New Roman"/>
                <w:b/>
                <w:sz w:val="24"/>
                <w:u w:val="single"/>
              </w:rPr>
            </w:pPr>
            <w:r w:rsidRPr="002A677E">
              <w:rPr>
                <w:rStyle w:val="FormatvorlageInstructionsTabelleText"/>
                <w:rFonts w:ascii="Times New Roman" w:hAnsi="Times New Roman"/>
                <w:sz w:val="24"/>
              </w:rPr>
              <w:lastRenderedPageBreak/>
              <w:t>See CR SA template</w:t>
            </w:r>
          </w:p>
        </w:tc>
      </w:tr>
      <w:tr w:rsidR="00E6521E" w:rsidRPr="002A677E" w14:paraId="47845CFC" w14:textId="77777777" w:rsidTr="72FDE0D4">
        <w:tc>
          <w:tcPr>
            <w:tcW w:w="1242" w:type="dxa"/>
          </w:tcPr>
          <w:p w14:paraId="3DD90A1F" w14:textId="1B232339" w:rsidR="00E6521E" w:rsidRPr="002A677E" w:rsidRDefault="00E6521E" w:rsidP="00E6521E">
            <w:pPr>
              <w:rPr>
                <w:rFonts w:ascii="Times New Roman" w:hAnsi="Times New Roman"/>
                <w:sz w:val="24"/>
              </w:rPr>
            </w:pPr>
            <w:r>
              <w:rPr>
                <w:rFonts w:ascii="Times New Roman" w:hAnsi="Times New Roman"/>
                <w:sz w:val="24"/>
              </w:rPr>
              <w:lastRenderedPageBreak/>
              <w:t>0</w:t>
            </w:r>
            <w:r w:rsidR="00181610">
              <w:rPr>
                <w:rFonts w:ascii="Times New Roman" w:hAnsi="Times New Roman"/>
                <w:sz w:val="24"/>
              </w:rPr>
              <w:t>9</w:t>
            </w:r>
            <w:r w:rsidR="00EC6129">
              <w:rPr>
                <w:rFonts w:ascii="Times New Roman" w:hAnsi="Times New Roman"/>
                <w:sz w:val="24"/>
              </w:rPr>
              <w:t>5</w:t>
            </w:r>
            <w:r w:rsidR="00181610">
              <w:rPr>
                <w:rFonts w:ascii="Times New Roman" w:hAnsi="Times New Roman"/>
                <w:sz w:val="24"/>
              </w:rPr>
              <w:t>0</w:t>
            </w:r>
          </w:p>
        </w:tc>
        <w:tc>
          <w:tcPr>
            <w:tcW w:w="8789" w:type="dxa"/>
          </w:tcPr>
          <w:p w14:paraId="4FC859DC" w14:textId="62C71B27" w:rsidR="00ED61BB" w:rsidRDefault="002D4899" w:rsidP="00E6521E">
            <w:pPr>
              <w:rPr>
                <w:rFonts w:ascii="Times New Roman" w:hAnsi="Times New Roman"/>
                <w:b/>
                <w:sz w:val="24"/>
                <w:u w:val="single"/>
              </w:rPr>
            </w:pPr>
            <w:r w:rsidRPr="002D4899">
              <w:rPr>
                <w:rFonts w:ascii="Times New Roman" w:hAnsi="Times New Roman"/>
                <w:b/>
                <w:sz w:val="24"/>
                <w:u w:val="single"/>
              </w:rPr>
              <w:t>of which: Acquisition, development and construction (ADC)</w:t>
            </w:r>
          </w:p>
          <w:p w14:paraId="4A66096C" w14:textId="4439A5BF" w:rsidR="00E6521E" w:rsidRPr="00B97B3A" w:rsidRDefault="003A12E0" w:rsidP="00E6521E">
            <w:pPr>
              <w:rPr>
                <w:rFonts w:ascii="Times New Roman" w:hAnsi="Times New Roman"/>
                <w:b/>
                <w:sz w:val="24"/>
                <w:u w:val="single"/>
              </w:rPr>
            </w:pPr>
            <w:r w:rsidRPr="002A677E">
              <w:rPr>
                <w:rStyle w:val="FormatvorlageInstructionsTabelleText"/>
                <w:rFonts w:ascii="Times New Roman" w:hAnsi="Times New Roman"/>
                <w:sz w:val="24"/>
              </w:rPr>
              <w:t>See CR SA template</w:t>
            </w:r>
          </w:p>
        </w:tc>
      </w:tr>
      <w:tr w:rsidR="00FA69F4" w:rsidRPr="002A677E" w14:paraId="77BC45F3" w14:textId="77777777" w:rsidTr="72FDE0D4">
        <w:tc>
          <w:tcPr>
            <w:tcW w:w="1242" w:type="dxa"/>
          </w:tcPr>
          <w:p w14:paraId="07F48E3F" w14:textId="5B3BAFBC" w:rsidR="00FA69F4" w:rsidRPr="002A677E" w:rsidRDefault="00FA69F4" w:rsidP="00FA69F4">
            <w:pPr>
              <w:rPr>
                <w:rFonts w:ascii="Times New Roman" w:hAnsi="Times New Roman"/>
                <w:sz w:val="24"/>
              </w:rPr>
            </w:pPr>
            <w:r>
              <w:rPr>
                <w:rFonts w:ascii="Times New Roman" w:hAnsi="Times New Roman"/>
                <w:sz w:val="24"/>
              </w:rPr>
              <w:t>0</w:t>
            </w:r>
            <w:r w:rsidR="00181610">
              <w:rPr>
                <w:rFonts w:ascii="Times New Roman" w:hAnsi="Times New Roman"/>
                <w:sz w:val="24"/>
              </w:rPr>
              <w:t>9</w:t>
            </w:r>
            <w:r w:rsidR="00EC6129">
              <w:rPr>
                <w:rFonts w:ascii="Times New Roman" w:hAnsi="Times New Roman"/>
                <w:sz w:val="24"/>
              </w:rPr>
              <w:t>6</w:t>
            </w:r>
            <w:r w:rsidR="00181610">
              <w:rPr>
                <w:rFonts w:ascii="Times New Roman" w:hAnsi="Times New Roman"/>
                <w:sz w:val="24"/>
              </w:rPr>
              <w:t>0</w:t>
            </w:r>
          </w:p>
        </w:tc>
        <w:tc>
          <w:tcPr>
            <w:tcW w:w="8789" w:type="dxa"/>
          </w:tcPr>
          <w:p w14:paraId="13E292DC" w14:textId="539EDD5E" w:rsidR="00720CA2" w:rsidRDefault="00FA69F4" w:rsidP="00720CA2">
            <w:pPr>
              <w:rPr>
                <w:rFonts w:ascii="Times New Roman" w:hAnsi="Times New Roman"/>
                <w:b/>
                <w:sz w:val="24"/>
                <w:u w:val="single"/>
              </w:rPr>
            </w:pPr>
            <w:r w:rsidRPr="00B7761D">
              <w:rPr>
                <w:rFonts w:ascii="Times New Roman" w:hAnsi="Times New Roman"/>
                <w:b/>
                <w:sz w:val="24"/>
                <w:u w:val="single"/>
              </w:rPr>
              <w:t xml:space="preserve">of which: Large Corporates </w:t>
            </w:r>
          </w:p>
          <w:p w14:paraId="4C01AFA6" w14:textId="5344ED70" w:rsidR="00B97B3A" w:rsidRPr="00B97B3A" w:rsidRDefault="00C043B0" w:rsidP="003B31BA">
            <w:pPr>
              <w:rPr>
                <w:rFonts w:ascii="Times New Roman" w:hAnsi="Times New Roman"/>
                <w:b/>
                <w:sz w:val="24"/>
                <w:u w:val="single"/>
              </w:rPr>
            </w:pPr>
            <w:r>
              <w:rPr>
                <w:rFonts w:ascii="Times New Roman" w:hAnsi="Times New Roman"/>
                <w:sz w:val="24"/>
                <w:lang w:eastAsia="de-DE"/>
              </w:rPr>
              <w:t>Exposures which meet</w:t>
            </w:r>
            <w:r w:rsidRPr="002A677E">
              <w:rPr>
                <w:rFonts w:ascii="Times New Roman" w:hAnsi="Times New Roman"/>
                <w:sz w:val="24"/>
                <w:lang w:eastAsia="de-DE"/>
              </w:rPr>
              <w:t xml:space="preserve"> the</w:t>
            </w:r>
            <w:r>
              <w:rPr>
                <w:rFonts w:ascii="Times New Roman" w:hAnsi="Times New Roman"/>
                <w:sz w:val="24"/>
                <w:lang w:eastAsia="de-DE"/>
              </w:rPr>
              <w:t xml:space="preserve"> definition of Large Corporate</w:t>
            </w:r>
            <w:r w:rsidRPr="008E2AFE">
              <w:rPr>
                <w:rFonts w:ascii="Times New Roman" w:hAnsi="Times New Roman"/>
                <w:sz w:val="24"/>
                <w:lang w:eastAsia="de-DE"/>
              </w:rPr>
              <w:t xml:space="preserve"> </w:t>
            </w:r>
            <w:r>
              <w:rPr>
                <w:rFonts w:ascii="Times New Roman" w:hAnsi="Times New Roman"/>
                <w:sz w:val="24"/>
                <w:lang w:eastAsia="de-DE"/>
              </w:rPr>
              <w:t xml:space="preserve">in Article 142 (1), point (5a) </w:t>
            </w:r>
            <w:r w:rsidRPr="001235ED">
              <w:rPr>
                <w:rFonts w:ascii="Times New Roman" w:hAnsi="Times New Roman"/>
                <w:sz w:val="24"/>
                <w:lang w:val="en-US"/>
              </w:rPr>
              <w:t>of Regulation (EU) No 575/2013</w:t>
            </w:r>
            <w:r w:rsidR="003B31BA">
              <w:rPr>
                <w:rFonts w:ascii="Times New Roman" w:hAnsi="Times New Roman"/>
                <w:sz w:val="24"/>
                <w:lang w:val="en-US"/>
              </w:rPr>
              <w:t>.</w:t>
            </w:r>
            <w:r w:rsidR="00560F6C">
              <w:rPr>
                <w:rFonts w:ascii="Times New Roman" w:hAnsi="Times New Roman"/>
                <w:sz w:val="24"/>
                <w:lang w:val="en-US"/>
              </w:rPr>
              <w:t xml:space="preserve"> This row shall only be reported for the </w:t>
            </w:r>
            <w:r w:rsidR="00560F6C">
              <w:rPr>
                <w:rFonts w:ascii="Times New Roman" w:hAnsi="Times New Roman"/>
                <w:sz w:val="24"/>
                <w:lang w:eastAsia="de-DE"/>
              </w:rPr>
              <w:t xml:space="preserve">“Corporates – </w:t>
            </w:r>
            <w:r w:rsidR="00720CA2">
              <w:rPr>
                <w:rFonts w:ascii="Times New Roman" w:hAnsi="Times New Roman"/>
                <w:sz w:val="24"/>
                <w:lang w:eastAsia="de-DE"/>
              </w:rPr>
              <w:t xml:space="preserve">Specialised Lending” and </w:t>
            </w:r>
            <w:r w:rsidR="00560F6C">
              <w:rPr>
                <w:rFonts w:ascii="Times New Roman" w:hAnsi="Times New Roman"/>
                <w:sz w:val="24"/>
                <w:lang w:eastAsia="de-DE"/>
              </w:rPr>
              <w:t xml:space="preserve">“Corporates – </w:t>
            </w:r>
            <w:r w:rsidR="00E87925">
              <w:rPr>
                <w:rFonts w:ascii="Times New Roman" w:hAnsi="Times New Roman"/>
                <w:sz w:val="24"/>
                <w:lang w:eastAsia="de-DE"/>
              </w:rPr>
              <w:t>Purchased Receivables</w:t>
            </w:r>
            <w:r w:rsidR="00560F6C">
              <w:rPr>
                <w:rFonts w:ascii="Times New Roman" w:hAnsi="Times New Roman"/>
                <w:sz w:val="24"/>
                <w:lang w:eastAsia="de-DE"/>
              </w:rPr>
              <w:t>” exposure class</w:t>
            </w:r>
            <w:r w:rsidR="00720CA2">
              <w:rPr>
                <w:rFonts w:ascii="Times New Roman" w:hAnsi="Times New Roman"/>
                <w:sz w:val="24"/>
                <w:lang w:eastAsia="de-DE"/>
              </w:rPr>
              <w:t>es</w:t>
            </w:r>
            <w:r w:rsidR="00560F6C">
              <w:rPr>
                <w:rFonts w:ascii="Times New Roman" w:hAnsi="Times New Roman"/>
                <w:sz w:val="24"/>
                <w:lang w:eastAsia="de-DE"/>
              </w:rPr>
              <w:t>.</w:t>
            </w:r>
            <w:r w:rsidR="003B31BA">
              <w:rPr>
                <w:rFonts w:ascii="Times New Roman" w:hAnsi="Times New Roman"/>
                <w:sz w:val="24"/>
                <w:lang w:val="en-US"/>
              </w:rPr>
              <w:t xml:space="preserve"> </w:t>
            </w:r>
            <w:r w:rsidR="00FF49BE">
              <w:rPr>
                <w:rFonts w:ascii="Times New Roman" w:hAnsi="Times New Roman"/>
                <w:sz w:val="24"/>
                <w:lang w:val="en-US"/>
              </w:rPr>
              <w:t xml:space="preserve">Large corporate exposures shall not be reported under the A-IRB exposure classes, except for  Specialised lending. </w:t>
            </w:r>
          </w:p>
        </w:tc>
      </w:tr>
      <w:tr w:rsidR="004D45AA" w:rsidRPr="002A677E" w14:paraId="0CCDDA2E" w14:textId="77777777" w:rsidTr="72FDE0D4">
        <w:tc>
          <w:tcPr>
            <w:tcW w:w="1242" w:type="dxa"/>
          </w:tcPr>
          <w:p w14:paraId="046A55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7E5E902C" w14:textId="77777777" w:rsidR="004D45AA" w:rsidRPr="00B7761D" w:rsidRDefault="004D45AA" w:rsidP="004D45AA">
            <w:pPr>
              <w:rPr>
                <w:rFonts w:ascii="Times New Roman" w:hAnsi="Times New Roman"/>
                <w:b/>
                <w:sz w:val="24"/>
                <w:u w:val="single"/>
              </w:rPr>
            </w:pPr>
            <w:r w:rsidRPr="00B7761D">
              <w:rPr>
                <w:rFonts w:ascii="Times New Roman" w:hAnsi="Times New Roman"/>
                <w:b/>
                <w:sz w:val="24"/>
                <w:u w:val="single"/>
              </w:rPr>
              <w:t>BREAKDOWN OF TOTAL EXPOSURES BY EXPOSURE TYPES:</w:t>
            </w:r>
          </w:p>
        </w:tc>
      </w:tr>
      <w:tr w:rsidR="004D45AA" w:rsidRPr="002A677E" w14:paraId="6507B8B9" w14:textId="77777777" w:rsidTr="72FDE0D4">
        <w:tc>
          <w:tcPr>
            <w:tcW w:w="1242" w:type="dxa"/>
          </w:tcPr>
          <w:p w14:paraId="5037C34B"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89" w:type="dxa"/>
          </w:tcPr>
          <w:p w14:paraId="064BF103"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2A69AE9F" w14:textId="5B18701B"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335CDBE2"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reported in this row.</w:t>
            </w:r>
          </w:p>
          <w:p w14:paraId="315D580D" w14:textId="43E39226"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tc>
      </w:tr>
      <w:tr w:rsidR="004D45AA" w:rsidRPr="002A677E" w14:paraId="4497F22E" w14:textId="77777777" w:rsidTr="72FDE0D4">
        <w:tc>
          <w:tcPr>
            <w:tcW w:w="1242" w:type="dxa"/>
          </w:tcPr>
          <w:p w14:paraId="74466E6A"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89" w:type="dxa"/>
          </w:tcPr>
          <w:p w14:paraId="4D06D73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1A7B1274" w14:textId="45ABE956"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w:t>
            </w:r>
            <w:r w:rsidR="009265F9" w:rsidRPr="002A677E">
              <w:rPr>
                <w:rStyle w:val="InstructionsTabelleText"/>
                <w:rFonts w:ascii="Times New Roman" w:hAnsi="Times New Roman"/>
                <w:sz w:val="24"/>
              </w:rPr>
              <w:t xml:space="preserve">items </w:t>
            </w:r>
            <w:r w:rsidR="00EA1F5A" w:rsidRPr="002A677E">
              <w:rPr>
                <w:rStyle w:val="InstructionsTabelleText"/>
                <w:rFonts w:ascii="Times New Roman" w:hAnsi="Times New Roman"/>
                <w:sz w:val="24"/>
              </w:rPr>
              <w:t>in accordance with</w:t>
            </w:r>
            <w:r w:rsidR="009265F9" w:rsidRPr="002A677E">
              <w:rPr>
                <w:rStyle w:val="InstructionsTabelleText"/>
                <w:rFonts w:ascii="Times New Roman" w:hAnsi="Times New Roman"/>
                <w:sz w:val="24"/>
              </w:rPr>
              <w:t xml:space="preserve"> Article 166</w:t>
            </w:r>
            <w:r w:rsidR="0044539D"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002F11F3"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02EFCCFF" w14:textId="2AAF6B83"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Exposures that are subject to counterparty credit risk</w:t>
            </w:r>
            <w:r w:rsidR="00284A6D"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in this row.</w:t>
            </w:r>
          </w:p>
        </w:tc>
      </w:tr>
      <w:tr w:rsidR="004D45AA" w:rsidRPr="002A677E" w14:paraId="30582BBB" w14:textId="77777777" w:rsidTr="72FDE0D4">
        <w:tc>
          <w:tcPr>
            <w:tcW w:w="1242" w:type="dxa"/>
          </w:tcPr>
          <w:p w14:paraId="1432BA9D" w14:textId="77777777"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6DFA2486" w14:textId="77777777" w:rsidR="004D45AA" w:rsidRPr="002A677E" w:rsidRDefault="004D45AA" w:rsidP="004D45AA">
            <w:pPr>
              <w:rPr>
                <w:rFonts w:ascii="Times New Roman" w:hAnsi="Times New Roman"/>
                <w:b/>
                <w:sz w:val="24"/>
                <w:u w:val="single"/>
              </w:rPr>
            </w:pPr>
            <w:r w:rsidRPr="002A677E">
              <w:rPr>
                <w:rFonts w:ascii="Times New Roman" w:hAnsi="Times New Roman"/>
                <w:sz w:val="24"/>
              </w:rPr>
              <w:t>See the corresponding CR SA instructions</w:t>
            </w:r>
            <w:r w:rsidR="00834E93" w:rsidRPr="002A677E">
              <w:rPr>
                <w:rFonts w:ascii="Times New Roman" w:hAnsi="Times New Roman"/>
                <w:sz w:val="24"/>
              </w:rPr>
              <w:t xml:space="preserve"> in rows 0090-0130</w:t>
            </w:r>
            <w:r w:rsidRPr="002A677E">
              <w:rPr>
                <w:rFonts w:ascii="Times New Roman" w:hAnsi="Times New Roman"/>
                <w:sz w:val="24"/>
              </w:rPr>
              <w:t>.</w:t>
            </w:r>
          </w:p>
        </w:tc>
      </w:tr>
      <w:tr w:rsidR="004D45AA" w:rsidRPr="002A677E" w14:paraId="4E6A8C0B" w14:textId="77777777" w:rsidTr="72FDE0D4">
        <w:tc>
          <w:tcPr>
            <w:tcW w:w="1242" w:type="dxa"/>
          </w:tcPr>
          <w:p w14:paraId="419272E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4D2CE56E" w14:textId="06BBB55C"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090.</w:t>
            </w:r>
          </w:p>
        </w:tc>
      </w:tr>
      <w:tr w:rsidR="004D45AA" w:rsidRPr="002A677E" w14:paraId="2945983E" w14:textId="77777777" w:rsidTr="72FDE0D4">
        <w:tc>
          <w:tcPr>
            <w:tcW w:w="1242" w:type="dxa"/>
          </w:tcPr>
          <w:p w14:paraId="688B6F1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89" w:type="dxa"/>
          </w:tcPr>
          <w:p w14:paraId="4831B12D"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49A3BAE4" w14:textId="3446EA08" w:rsidR="004D45AA" w:rsidRPr="002A677E" w:rsidRDefault="004D45AA" w:rsidP="00B7761D">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110.</w:t>
            </w:r>
          </w:p>
        </w:tc>
      </w:tr>
      <w:tr w:rsidR="004D45AA" w:rsidRPr="002A677E" w14:paraId="0FDA87CC" w14:textId="77777777" w:rsidTr="72FDE0D4">
        <w:tc>
          <w:tcPr>
            <w:tcW w:w="1242" w:type="dxa"/>
          </w:tcPr>
          <w:p w14:paraId="6DEE4D13"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6A0FC7D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From Contractual Cross Product netting sets</w:t>
            </w:r>
          </w:p>
          <w:p w14:paraId="7A72595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130.</w:t>
            </w:r>
          </w:p>
        </w:tc>
      </w:tr>
      <w:tr w:rsidR="004D45AA" w:rsidRPr="002A677E" w14:paraId="3A09B323" w14:textId="77777777" w:rsidTr="72FDE0D4">
        <w:tc>
          <w:tcPr>
            <w:tcW w:w="1242" w:type="dxa"/>
          </w:tcPr>
          <w:p w14:paraId="4D98564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89" w:type="dxa"/>
          </w:tcPr>
          <w:p w14:paraId="6832D255"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00BC0058" w14:textId="747DB797" w:rsidR="004D45AA" w:rsidRPr="002A677E" w:rsidRDefault="004D45AA" w:rsidP="004D45AA">
            <w:pPr>
              <w:rPr>
                <w:rFonts w:ascii="Times New Roman" w:hAnsi="Times New Roman"/>
                <w:sz w:val="24"/>
              </w:rPr>
            </w:pPr>
            <w:r w:rsidRPr="002A677E">
              <w:rPr>
                <w:rFonts w:ascii="Times New Roman" w:hAnsi="Times New Roman"/>
                <w:sz w:val="24"/>
              </w:rPr>
              <w:lastRenderedPageBreak/>
              <w:t>For exposures to corporates, institutions and central governments and central banks, see Article 142(1)</w:t>
            </w:r>
            <w:r w:rsidR="00B83DDE">
              <w:rPr>
                <w:rFonts w:ascii="Times New Roman" w:hAnsi="Times New Roman"/>
                <w:sz w:val="24"/>
              </w:rPr>
              <w:t>, p</w:t>
            </w:r>
            <w:r w:rsidR="00E1685B" w:rsidRPr="002A677E">
              <w:rPr>
                <w:rFonts w:ascii="Times New Roman" w:hAnsi="Times New Roman"/>
                <w:sz w:val="24"/>
              </w:rPr>
              <w:t xml:space="preserve">oint (6) </w:t>
            </w:r>
            <w:r w:rsidRPr="002A677E">
              <w:rPr>
                <w:rFonts w:ascii="Times New Roman" w:hAnsi="Times New Roman"/>
                <w:sz w:val="24"/>
              </w:rPr>
              <w:t>and Article 170(1)</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4765CDF1" w14:textId="15E104B1" w:rsidR="004D45AA" w:rsidRPr="002A677E" w:rsidRDefault="004D45AA" w:rsidP="004D45AA">
            <w:pPr>
              <w:rPr>
                <w:rFonts w:ascii="Times New Roman" w:hAnsi="Times New Roman"/>
                <w:sz w:val="24"/>
              </w:rPr>
            </w:pPr>
            <w:r w:rsidRPr="002A677E">
              <w:rPr>
                <w:rFonts w:ascii="Times New Roman" w:hAnsi="Times New Roman"/>
                <w:sz w:val="24"/>
              </w:rPr>
              <w:t>For retail exposures see Article 170(3)</w:t>
            </w:r>
            <w:r w:rsidR="00B83DDE">
              <w:rPr>
                <w:rFonts w:ascii="Times New Roman" w:hAnsi="Times New Roman"/>
                <w:sz w:val="24"/>
              </w:rPr>
              <w:t>, p</w:t>
            </w:r>
            <w:r w:rsidR="00E1685B" w:rsidRPr="002A677E">
              <w:rPr>
                <w:rFonts w:ascii="Times New Roman" w:hAnsi="Times New Roman"/>
                <w:sz w:val="24"/>
              </w:rPr>
              <w:t>oint (b)</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279A6335"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Exposures for dilution risk of purchased receivables shall not be reported by obligor grades or pools and shall be reported in row </w:t>
            </w:r>
            <w:r w:rsidR="001452FC" w:rsidRPr="002A677E">
              <w:rPr>
                <w:rFonts w:ascii="Times New Roman" w:hAnsi="Times New Roman"/>
                <w:sz w:val="24"/>
              </w:rPr>
              <w:t>0</w:t>
            </w:r>
            <w:r w:rsidRPr="002A677E">
              <w:rPr>
                <w:rFonts w:ascii="Times New Roman" w:hAnsi="Times New Roman"/>
                <w:sz w:val="24"/>
              </w:rPr>
              <w:t>180.</w:t>
            </w:r>
          </w:p>
          <w:p w14:paraId="68DCA039"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72FB9ED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4D45AA" w:rsidRPr="002A677E" w14:paraId="703686FA" w14:textId="77777777" w:rsidTr="72FDE0D4">
        <w:tc>
          <w:tcPr>
            <w:tcW w:w="1242" w:type="dxa"/>
          </w:tcPr>
          <w:p w14:paraId="212A2A7F"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80</w:t>
            </w:r>
          </w:p>
        </w:tc>
        <w:tc>
          <w:tcPr>
            <w:tcW w:w="8789" w:type="dxa"/>
          </w:tcPr>
          <w:p w14:paraId="69AD0960" w14:textId="77777777" w:rsidR="004D45AA" w:rsidRPr="002A677E" w:rsidRDefault="004D45AA" w:rsidP="004D45AA">
            <w:pPr>
              <w:rPr>
                <w:rFonts w:ascii="Times New Roman" w:hAnsi="Times New Roman"/>
                <w:sz w:val="24"/>
              </w:rPr>
            </w:pPr>
            <w:r w:rsidRPr="002A677E">
              <w:rPr>
                <w:rFonts w:ascii="Times New Roman" w:hAnsi="Times New Roman"/>
                <w:b/>
                <w:sz w:val="24"/>
                <w:u w:val="single"/>
              </w:rPr>
              <w:t xml:space="preserve">SPECIALISED LENDING SLOTTING </w:t>
            </w:r>
            <w:r w:rsidR="00AC6619" w:rsidRPr="002A677E">
              <w:rPr>
                <w:rFonts w:ascii="Times New Roman" w:hAnsi="Times New Roman"/>
                <w:b/>
                <w:sz w:val="24"/>
                <w:u w:val="single"/>
              </w:rPr>
              <w:t>APPROACH</w:t>
            </w:r>
            <w:r w:rsidRPr="002A677E">
              <w:rPr>
                <w:rFonts w:ascii="Times New Roman" w:hAnsi="Times New Roman"/>
                <w:b/>
                <w:sz w:val="24"/>
                <w:u w:val="single"/>
              </w:rPr>
              <w:t>: TOTAL</w:t>
            </w:r>
          </w:p>
          <w:p w14:paraId="2E4D8D67" w14:textId="7374E7DD" w:rsidR="004D45AA" w:rsidRPr="002A677E" w:rsidRDefault="004D45AA" w:rsidP="00AC6619">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w:t>
            </w:r>
            <w:r w:rsidR="00AC6619" w:rsidRPr="002A677E">
              <w:rPr>
                <w:rFonts w:ascii="Times New Roman" w:hAnsi="Times New Roman"/>
                <w:sz w:val="24"/>
              </w:rPr>
              <w:t xml:space="preserve"> – specialised lending.</w:t>
            </w:r>
            <w:r w:rsidR="00402284">
              <w:rPr>
                <w:rFonts w:ascii="Times New Roman" w:hAnsi="Times New Roman"/>
                <w:sz w:val="24"/>
              </w:rPr>
              <w:t xml:space="preserve"> </w:t>
            </w:r>
          </w:p>
        </w:tc>
      </w:tr>
      <w:tr w:rsidR="004D45AA" w:rsidRPr="002A677E" w14:paraId="5514354E" w14:textId="77777777" w:rsidTr="72FDE0D4">
        <w:tc>
          <w:tcPr>
            <w:tcW w:w="1242" w:type="dxa"/>
          </w:tcPr>
          <w:p w14:paraId="76E5077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6131F39B" w14:textId="6E1869D7" w:rsidR="004D45AA" w:rsidRPr="002A677E" w:rsidRDefault="004D45AA" w:rsidP="004D45AA">
            <w:pPr>
              <w:rPr>
                <w:rFonts w:ascii="Times New Roman" w:hAnsi="Times New Roman"/>
                <w:sz w:val="24"/>
              </w:rPr>
            </w:pPr>
            <w:r w:rsidRPr="002A677E">
              <w:rPr>
                <w:rFonts w:ascii="Times New Roman" w:hAnsi="Times New Roman"/>
                <w:sz w:val="24"/>
              </w:rPr>
              <w:t>Article 193</w:t>
            </w:r>
            <w:r w:rsidR="00B83DDE">
              <w:rPr>
                <w:rFonts w:ascii="Times New Roman" w:hAnsi="Times New Roman"/>
                <w:sz w:val="24"/>
              </w:rPr>
              <w:t>, p</w:t>
            </w:r>
            <w:r w:rsidR="00E1685B" w:rsidRPr="002A677E">
              <w:rPr>
                <w:rFonts w:ascii="Times New Roman" w:hAnsi="Times New Roman"/>
                <w:sz w:val="24"/>
              </w:rPr>
              <w:t xml:space="preserve">aragraphs 1 and 2, </w:t>
            </w:r>
            <w:r w:rsidRPr="002A677E">
              <w:rPr>
                <w:rFonts w:ascii="Times New Roman" w:hAnsi="Times New Roman"/>
                <w:sz w:val="24"/>
              </w:rPr>
              <w:t>Article 194</w:t>
            </w:r>
            <w:r w:rsidR="00B83DDE">
              <w:rPr>
                <w:rFonts w:ascii="Times New Roman" w:hAnsi="Times New Roman"/>
                <w:sz w:val="24"/>
              </w:rPr>
              <w:t>, p</w:t>
            </w:r>
            <w:r w:rsidR="00E1685B" w:rsidRPr="002A677E">
              <w:rPr>
                <w:rFonts w:ascii="Times New Roman" w:hAnsi="Times New Roman"/>
                <w:sz w:val="24"/>
              </w:rPr>
              <w:t xml:space="preserve">aragraphs 1 to 7 </w:t>
            </w:r>
            <w:r w:rsidRPr="002A677E">
              <w:rPr>
                <w:rFonts w:ascii="Times New Roman" w:hAnsi="Times New Roman"/>
                <w:sz w:val="24"/>
              </w:rPr>
              <w:t xml:space="preserve">and Article 230(3)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45B7E96" w14:textId="77777777" w:rsidR="004D45AA" w:rsidRPr="002A677E" w:rsidRDefault="004D45AA" w:rsidP="004D45AA">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4D45AA" w:rsidRPr="002A677E" w14:paraId="6BA4F4EE" w14:textId="77777777" w:rsidTr="72FDE0D4">
        <w:tc>
          <w:tcPr>
            <w:tcW w:w="1242" w:type="dxa"/>
          </w:tcPr>
          <w:p w14:paraId="034DD1F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rsidR="00B856D5">
              <w:t> </w:t>
            </w:r>
            <w:r w:rsidRPr="002A677E">
              <w:rPr>
                <w:rStyle w:val="InstructionsTabelleberschrift"/>
                <w:rFonts w:ascii="Times New Roman" w:hAnsi="Times New Roman"/>
                <w:sz w:val="24"/>
              </w:rPr>
              <w:t>% AND OTHER EXPOSURES SUBJECT TO RISK WEIGHTS</w:t>
            </w:r>
          </w:p>
          <w:p w14:paraId="0783F043" w14:textId="77311876" w:rsidR="004D45AA" w:rsidRPr="002A677E" w:rsidRDefault="004D45AA" w:rsidP="00E1685B">
            <w:pPr>
              <w:rPr>
                <w:rFonts w:ascii="Times New Roman" w:hAnsi="Times New Roman"/>
                <w:sz w:val="24"/>
              </w:rPr>
            </w:pPr>
            <w:r w:rsidRPr="002A677E">
              <w:rPr>
                <w:rFonts w:ascii="Times New Roman" w:hAnsi="Times New Roman"/>
                <w:sz w:val="24"/>
              </w:rPr>
              <w:t>Exposures arising from free deliveries for which the alternative treatment referred to in the last sentence of the Article 379(2)</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first subparagraph </w:t>
            </w:r>
            <w:r w:rsidR="002F11F3"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rsidR="00B856D5">
              <w:t> </w:t>
            </w:r>
            <w:r w:rsidRPr="002A677E">
              <w:rPr>
                <w:rFonts w:ascii="Times New Roman" w:hAnsi="Times New Roman"/>
                <w:sz w:val="24"/>
              </w:rPr>
              <w:t xml:space="preserve">% risk weight is applied in accordance with the last subparagraph of Article 379(2) </w:t>
            </w:r>
            <w:r w:rsidR="002F11F3"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4D45AA" w:rsidRPr="002A677E" w14:paraId="39FEBFCF" w14:textId="77777777" w:rsidTr="72FDE0D4">
        <w:tc>
          <w:tcPr>
            <w:tcW w:w="1242" w:type="dxa"/>
          </w:tcPr>
          <w:p w14:paraId="32555050"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7C3FE345" w14:textId="47D262AE" w:rsidR="004D45AA" w:rsidRPr="002A677E" w:rsidRDefault="004D45AA" w:rsidP="004D45AA">
            <w:pPr>
              <w:rPr>
                <w:rFonts w:ascii="Times New Roman" w:hAnsi="Times New Roman"/>
                <w:sz w:val="24"/>
              </w:rPr>
            </w:pPr>
            <w:r w:rsidRPr="002A677E">
              <w:rPr>
                <w:rFonts w:ascii="Times New Roman" w:hAnsi="Times New Roman"/>
                <w:sz w:val="24"/>
              </w:rPr>
              <w:t>See Article 4(1)</w:t>
            </w:r>
            <w:r w:rsidR="00B83DDE">
              <w:rPr>
                <w:rFonts w:ascii="Times New Roman" w:hAnsi="Times New Roman"/>
                <w:sz w:val="24"/>
              </w:rPr>
              <w:t>, p</w:t>
            </w:r>
            <w:r w:rsidR="00E1685B" w:rsidRPr="002A677E">
              <w:rPr>
                <w:rFonts w:ascii="Times New Roman" w:hAnsi="Times New Roman"/>
                <w:sz w:val="24"/>
              </w:rPr>
              <w:t>oint (53)</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w:t>
            </w:r>
            <w:r w:rsidR="008151A6" w:rsidRPr="002A677E">
              <w:rPr>
                <w:rFonts w:ascii="Times New Roman" w:hAnsi="Times New Roman"/>
                <w:sz w:val="24"/>
              </w:rPr>
              <w:t>ed exposure amounts</w:t>
            </w:r>
            <w:r w:rsidRPr="002A677E">
              <w:rPr>
                <w:rFonts w:ascii="Times New Roman" w:hAnsi="Times New Roman"/>
                <w:sz w:val="24"/>
              </w:rPr>
              <w:t xml:space="preserve"> for dilution risk see Article 157</w:t>
            </w:r>
            <w:r w:rsidR="008151A6"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r w:rsidR="008151A6" w:rsidRPr="002A677E">
              <w:rPr>
                <w:rFonts w:ascii="Times New Roman" w:hAnsi="Times New Roman"/>
                <w:sz w:val="24"/>
              </w:rPr>
              <w:t xml:space="preserve"> Dilution risk shall be reported for corporate and retail purchased receivables.</w:t>
            </w:r>
          </w:p>
        </w:tc>
      </w:tr>
      <w:tr w:rsidR="006D1E2E" w:rsidRPr="002A677E" w14:paraId="590AE41F" w14:textId="77777777" w:rsidTr="72FDE0D4">
        <w:trPr>
          <w:trHeight w:val="300"/>
        </w:trPr>
        <w:tc>
          <w:tcPr>
            <w:tcW w:w="1242" w:type="dxa"/>
          </w:tcPr>
          <w:p w14:paraId="4F02EA21" w14:textId="6D20980F" w:rsidR="006D1E2E" w:rsidRPr="00B75318" w:rsidRDefault="006D1E2E">
            <w:pPr>
              <w:rPr>
                <w:rFonts w:ascii="Times New Roman" w:hAnsi="Times New Roman"/>
                <w:sz w:val="24"/>
              </w:rPr>
            </w:pPr>
            <w:r w:rsidRPr="00B75318">
              <w:rPr>
                <w:rFonts w:ascii="Times New Roman" w:hAnsi="Times New Roman"/>
                <w:sz w:val="24"/>
              </w:rPr>
              <w:t>0190-02</w:t>
            </w:r>
            <w:r w:rsidR="00FE2397">
              <w:rPr>
                <w:rFonts w:ascii="Times New Roman" w:hAnsi="Times New Roman"/>
                <w:sz w:val="24"/>
              </w:rPr>
              <w:t>1</w:t>
            </w:r>
            <w:r w:rsidRPr="00B75318">
              <w:rPr>
                <w:rFonts w:ascii="Times New Roman" w:hAnsi="Times New Roman"/>
                <w:sz w:val="24"/>
              </w:rPr>
              <w:t>0</w:t>
            </w:r>
          </w:p>
        </w:tc>
        <w:tc>
          <w:tcPr>
            <w:tcW w:w="8789" w:type="dxa"/>
          </w:tcPr>
          <w:p w14:paraId="3DDCC1FD" w14:textId="73B32541" w:rsidR="006D1E2E" w:rsidRPr="00B75318" w:rsidRDefault="7A543C55" w:rsidP="72FDE0D4">
            <w:pPr>
              <w:rPr>
                <w:rFonts w:ascii="Times New Roman" w:hAnsi="Times New Roman"/>
                <w:b/>
                <w:bCs/>
                <w:sz w:val="24"/>
                <w:u w:val="single"/>
              </w:rPr>
            </w:pPr>
            <w:r w:rsidRPr="00B75318">
              <w:rPr>
                <w:rFonts w:ascii="Times New Roman" w:hAnsi="Times New Roman"/>
                <w:b/>
                <w:bCs/>
                <w:sz w:val="24"/>
                <w:u w:val="single"/>
              </w:rPr>
              <w:t xml:space="preserve">MEMORANDUM ITEMS - </w:t>
            </w:r>
            <w:r w:rsidR="6841FBF8" w:rsidRPr="00B75318">
              <w:rPr>
                <w:rFonts w:ascii="Times New Roman" w:hAnsi="Times New Roman"/>
                <w:b/>
                <w:bCs/>
                <w:sz w:val="24"/>
                <w:u w:val="single"/>
              </w:rPr>
              <w:t>BREAKDOWN OF TOTAL EXPOSURES BY APPROACH (CIU):</w:t>
            </w:r>
          </w:p>
        </w:tc>
      </w:tr>
      <w:tr w:rsidR="00AB4173" w:rsidRPr="002A677E" w14:paraId="50312B00" w14:textId="77777777" w:rsidTr="72FDE0D4">
        <w:trPr>
          <w:trHeight w:val="300"/>
        </w:trPr>
        <w:tc>
          <w:tcPr>
            <w:tcW w:w="1242" w:type="dxa"/>
          </w:tcPr>
          <w:p w14:paraId="3C4B092E" w14:textId="7CD58DA7" w:rsidR="00AB4173" w:rsidRPr="00B75318" w:rsidRDefault="00AB4173" w:rsidP="00AB4173">
            <w:pPr>
              <w:rPr>
                <w:rFonts w:ascii="Times New Roman" w:hAnsi="Times New Roman"/>
                <w:sz w:val="24"/>
              </w:rPr>
            </w:pPr>
            <w:r w:rsidRPr="00B75318">
              <w:rPr>
                <w:rFonts w:ascii="Times New Roman" w:hAnsi="Times New Roman"/>
                <w:sz w:val="24"/>
              </w:rPr>
              <w:t>0190</w:t>
            </w:r>
          </w:p>
        </w:tc>
        <w:tc>
          <w:tcPr>
            <w:tcW w:w="8789" w:type="dxa"/>
          </w:tcPr>
          <w:p w14:paraId="1E8CFD8B" w14:textId="55EDE0A0" w:rsidR="00AB4173" w:rsidRPr="00B75318" w:rsidRDefault="008C184C" w:rsidP="72FDE0D4">
            <w:pPr>
              <w:rPr>
                <w:rStyle w:val="InstructionsTabelleberschrift"/>
                <w:rFonts w:ascii="Times New Roman" w:hAnsi="Times New Roman"/>
                <w:sz w:val="24"/>
              </w:rPr>
            </w:pPr>
            <w:r>
              <w:rPr>
                <w:rFonts w:ascii="Times New Roman" w:hAnsi="Times New Roman"/>
                <w:b/>
                <w:bCs/>
                <w:sz w:val="24"/>
                <w:u w:val="single"/>
              </w:rPr>
              <w:t>Look-through approach</w:t>
            </w:r>
          </w:p>
          <w:p w14:paraId="5BE8B3EA" w14:textId="0672BE0C" w:rsidR="00AB4173" w:rsidRPr="00B75318" w:rsidRDefault="7DD8A045" w:rsidP="72FDE0D4">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w:t>
            </w:r>
            <w:r w:rsidR="7D8217E7" w:rsidRPr="00B75318">
              <w:rPr>
                <w:rFonts w:ascii="Times New Roman" w:eastAsia="Calibri" w:hAnsi="Times New Roman"/>
                <w:color w:val="000000" w:themeColor="text1"/>
                <w:sz w:val="24"/>
              </w:rPr>
              <w:t>5</w:t>
            </w:r>
            <w:r w:rsidRPr="00B75318">
              <w:rPr>
                <w:rFonts w:ascii="Times New Roman" w:eastAsia="Calibri" w:hAnsi="Times New Roman"/>
                <w:color w:val="000000" w:themeColor="text1"/>
                <w:sz w:val="24"/>
              </w:rPr>
              <w:t>2</w:t>
            </w:r>
            <w:r w:rsidRPr="00B75318">
              <w:rPr>
                <w:rFonts w:ascii="Times New Roman" w:eastAsia="Calibri" w:hAnsi="Times New Roman"/>
                <w:sz w:val="24"/>
              </w:rPr>
              <w:t>(</w:t>
            </w:r>
            <w:r w:rsidR="6593035A" w:rsidRPr="00B75318">
              <w:rPr>
                <w:rFonts w:ascii="Times New Roman" w:eastAsia="Calibri" w:hAnsi="Times New Roman"/>
                <w:sz w:val="24"/>
              </w:rPr>
              <w:t>2</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p>
          <w:p w14:paraId="25ABF05F" w14:textId="34AF2E5B" w:rsidR="00AB4173" w:rsidRPr="00B75318" w:rsidRDefault="0FE63D9D" w:rsidP="72FDE0D4">
            <w:pPr>
              <w:rPr>
                <w:rFonts w:ascii="Times New Roman" w:hAnsi="Times New Roman"/>
                <w:sz w:val="24"/>
              </w:rPr>
            </w:pPr>
            <w:r w:rsidRPr="00B75318">
              <w:rPr>
                <w:rFonts w:ascii="Times New Roman" w:hAnsi="Times New Roman"/>
                <w:sz w:val="24"/>
              </w:rPr>
              <w:t xml:space="preserve">This row shall not be reported </w:t>
            </w:r>
            <w:r w:rsidR="0F6211C9" w:rsidRPr="00B75318">
              <w:rPr>
                <w:rFonts w:ascii="Times New Roman" w:hAnsi="Times New Roman"/>
                <w:sz w:val="24"/>
              </w:rPr>
              <w:t xml:space="preserve">for the exposure class </w:t>
            </w:r>
            <w:r w:rsidR="7BA2F054" w:rsidRPr="00B75318">
              <w:rPr>
                <w:rFonts w:ascii="Times New Roman" w:hAnsi="Times New Roman"/>
                <w:sz w:val="24"/>
              </w:rPr>
              <w:t>'</w:t>
            </w:r>
            <w:r w:rsidR="0F6211C9" w:rsidRPr="00B75318">
              <w:rPr>
                <w:rFonts w:ascii="Times New Roman" w:hAnsi="Times New Roman"/>
                <w:sz w:val="24"/>
              </w:rPr>
              <w:t>Collective investments undertakings (CIU)</w:t>
            </w:r>
            <w:r w:rsidR="5F9750B3" w:rsidRPr="00B75318">
              <w:rPr>
                <w:rFonts w:ascii="Times New Roman" w:hAnsi="Times New Roman"/>
                <w:sz w:val="24"/>
              </w:rPr>
              <w:t>'</w:t>
            </w:r>
            <w:r w:rsidR="38BC151B" w:rsidRPr="00B75318">
              <w:rPr>
                <w:rFonts w:ascii="Times New Roman" w:hAnsi="Times New Roman"/>
                <w:sz w:val="24"/>
              </w:rPr>
              <w:t>.</w:t>
            </w:r>
          </w:p>
        </w:tc>
      </w:tr>
      <w:tr w:rsidR="00AB4173" w:rsidRPr="002A677E" w14:paraId="1CE7F587" w14:textId="77777777" w:rsidTr="72FDE0D4">
        <w:trPr>
          <w:trHeight w:val="300"/>
        </w:trPr>
        <w:tc>
          <w:tcPr>
            <w:tcW w:w="1242" w:type="dxa"/>
          </w:tcPr>
          <w:p w14:paraId="76AB2854" w14:textId="4665F3A8" w:rsidR="00AB4173" w:rsidRPr="00B75318" w:rsidRDefault="00AB4173" w:rsidP="00AB4173">
            <w:pPr>
              <w:rPr>
                <w:rFonts w:ascii="Times New Roman" w:hAnsi="Times New Roman"/>
                <w:sz w:val="24"/>
              </w:rPr>
            </w:pPr>
            <w:r w:rsidRPr="00B75318">
              <w:rPr>
                <w:rFonts w:ascii="Times New Roman" w:hAnsi="Times New Roman"/>
                <w:sz w:val="24"/>
              </w:rPr>
              <w:lastRenderedPageBreak/>
              <w:t>0200</w:t>
            </w:r>
          </w:p>
        </w:tc>
        <w:tc>
          <w:tcPr>
            <w:tcW w:w="8789" w:type="dxa"/>
          </w:tcPr>
          <w:p w14:paraId="4A800E13" w14:textId="242086E1" w:rsidR="00AB4173" w:rsidRPr="00B75318" w:rsidRDefault="14B09CD1" w:rsidP="72FDE0D4">
            <w:pPr>
              <w:rPr>
                <w:rStyle w:val="InstructionsTabelleberschrift"/>
                <w:rFonts w:ascii="Times New Roman" w:hAnsi="Times New Roman"/>
                <w:sz w:val="24"/>
              </w:rPr>
            </w:pPr>
            <w:r w:rsidRPr="00B75318">
              <w:rPr>
                <w:rFonts w:ascii="Times New Roman" w:hAnsi="Times New Roman"/>
                <w:b/>
                <w:bCs/>
                <w:sz w:val="24"/>
                <w:u w:val="single"/>
              </w:rPr>
              <w:t>Mandate-based approach</w:t>
            </w:r>
          </w:p>
          <w:p w14:paraId="72453A8B" w14:textId="518C93B6" w:rsidR="00AB4173" w:rsidRPr="00B75318" w:rsidRDefault="463CA73F" w:rsidP="72FDE0D4">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w:t>
            </w:r>
            <w:r w:rsidR="3529AFFB" w:rsidRPr="00B75318">
              <w:rPr>
                <w:rFonts w:ascii="Times New Roman" w:eastAsia="Calibri" w:hAnsi="Times New Roman"/>
                <w:color w:val="000000" w:themeColor="text1"/>
                <w:sz w:val="24"/>
              </w:rPr>
              <w:t>52</w:t>
            </w:r>
            <w:r w:rsidRPr="00B75318">
              <w:rPr>
                <w:rFonts w:ascii="Times New Roman" w:eastAsia="Calibri" w:hAnsi="Times New Roman"/>
                <w:sz w:val="24"/>
              </w:rPr>
              <w:t>(</w:t>
            </w:r>
            <w:r w:rsidR="20B3546C" w:rsidRPr="00B75318">
              <w:rPr>
                <w:rFonts w:ascii="Times New Roman" w:eastAsia="Calibri" w:hAnsi="Times New Roman"/>
                <w:sz w:val="24"/>
              </w:rPr>
              <w:t>5</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p>
          <w:p w14:paraId="1F3705D8" w14:textId="589B40F5" w:rsidR="00AB4173" w:rsidRPr="00B75318" w:rsidRDefault="1A31741A" w:rsidP="72FDE0D4">
            <w:pPr>
              <w:rPr>
                <w:rFonts w:ascii="Times New Roman" w:hAnsi="Times New Roman"/>
                <w:sz w:val="24"/>
              </w:rPr>
            </w:pPr>
            <w:r w:rsidRPr="00B75318">
              <w:rPr>
                <w:rFonts w:ascii="Times New Roman" w:hAnsi="Times New Roman"/>
                <w:sz w:val="24"/>
              </w:rPr>
              <w:t xml:space="preserve">This row shall not be reported for the exposure class </w:t>
            </w:r>
            <w:r w:rsidR="5FF14103" w:rsidRPr="00B75318">
              <w:rPr>
                <w:rFonts w:ascii="Times New Roman" w:hAnsi="Times New Roman"/>
                <w:sz w:val="24"/>
              </w:rPr>
              <w:t>'</w:t>
            </w:r>
            <w:r w:rsidRPr="00B75318">
              <w:rPr>
                <w:rFonts w:ascii="Times New Roman" w:hAnsi="Times New Roman"/>
                <w:sz w:val="24"/>
              </w:rPr>
              <w:t>Collective investments undertakings (CIU)</w:t>
            </w:r>
            <w:r w:rsidR="2B758952" w:rsidRPr="00B75318">
              <w:rPr>
                <w:rFonts w:ascii="Times New Roman" w:hAnsi="Times New Roman"/>
                <w:sz w:val="24"/>
              </w:rPr>
              <w:t>'</w:t>
            </w:r>
            <w:r w:rsidR="5B045A33" w:rsidRPr="00B75318">
              <w:rPr>
                <w:rFonts w:ascii="Times New Roman" w:hAnsi="Times New Roman"/>
                <w:sz w:val="24"/>
              </w:rPr>
              <w:t>.</w:t>
            </w:r>
          </w:p>
        </w:tc>
      </w:tr>
      <w:tr w:rsidR="00AB4173" w:rsidRPr="002A677E" w14:paraId="660DE954" w14:textId="77777777" w:rsidTr="72FDE0D4">
        <w:trPr>
          <w:trHeight w:val="300"/>
        </w:trPr>
        <w:tc>
          <w:tcPr>
            <w:tcW w:w="1242" w:type="dxa"/>
          </w:tcPr>
          <w:p w14:paraId="1DF44885" w14:textId="0D977FD0" w:rsidR="00AB4173" w:rsidRPr="00B75318" w:rsidRDefault="00AB4173" w:rsidP="00AB4173">
            <w:pPr>
              <w:rPr>
                <w:rFonts w:ascii="Times New Roman" w:hAnsi="Times New Roman"/>
                <w:sz w:val="24"/>
              </w:rPr>
            </w:pPr>
            <w:r w:rsidRPr="00B75318">
              <w:rPr>
                <w:rFonts w:ascii="Times New Roman" w:hAnsi="Times New Roman"/>
                <w:sz w:val="24"/>
              </w:rPr>
              <w:t>0210</w:t>
            </w:r>
          </w:p>
        </w:tc>
        <w:tc>
          <w:tcPr>
            <w:tcW w:w="8789" w:type="dxa"/>
          </w:tcPr>
          <w:p w14:paraId="34EBCDCE" w14:textId="3D41D700" w:rsidR="00AB4173" w:rsidRPr="00B75318" w:rsidRDefault="14B09CD1" w:rsidP="72FDE0D4">
            <w:pPr>
              <w:rPr>
                <w:rStyle w:val="InstructionsTabelleberschrift"/>
                <w:rFonts w:ascii="Times New Roman" w:hAnsi="Times New Roman"/>
                <w:sz w:val="24"/>
              </w:rPr>
            </w:pPr>
            <w:r w:rsidRPr="00B75318">
              <w:rPr>
                <w:rFonts w:ascii="Times New Roman" w:hAnsi="Times New Roman"/>
                <w:b/>
                <w:bCs/>
                <w:sz w:val="24"/>
                <w:u w:val="single"/>
              </w:rPr>
              <w:t>Fall-back approach</w:t>
            </w:r>
          </w:p>
          <w:p w14:paraId="3C1FC006" w14:textId="30B5BE65" w:rsidR="00AB4173" w:rsidRPr="00B75318" w:rsidRDefault="5998C029" w:rsidP="72FDE0D4">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w:t>
            </w:r>
            <w:r w:rsidR="0D2975A4" w:rsidRPr="00B75318">
              <w:rPr>
                <w:rFonts w:ascii="Times New Roman" w:eastAsia="Calibri" w:hAnsi="Times New Roman"/>
                <w:color w:val="000000" w:themeColor="text1"/>
                <w:sz w:val="24"/>
              </w:rPr>
              <w:t>52</w:t>
            </w:r>
            <w:r w:rsidRPr="00B75318">
              <w:rPr>
                <w:rFonts w:ascii="Times New Roman" w:eastAsia="Calibri" w:hAnsi="Times New Roman"/>
                <w:color w:val="000000" w:themeColor="text1"/>
                <w:sz w:val="24"/>
              </w:rPr>
              <w:t>(</w:t>
            </w:r>
            <w:r w:rsidR="269CF400" w:rsidRPr="00B75318">
              <w:rPr>
                <w:rFonts w:ascii="Times New Roman" w:eastAsia="Calibri" w:hAnsi="Times New Roman"/>
                <w:color w:val="000000" w:themeColor="text1"/>
                <w:sz w:val="24"/>
              </w:rPr>
              <w:t>6</w:t>
            </w:r>
            <w:r w:rsidRPr="00B75318">
              <w:rPr>
                <w:rFonts w:ascii="Times New Roman" w:eastAsia="Calibri" w:hAnsi="Times New Roman"/>
                <w:color w:val="000000" w:themeColor="text1"/>
                <w:sz w:val="24"/>
              </w:rPr>
              <w:t xml:space="preserve">) </w:t>
            </w:r>
            <w:r w:rsidRPr="00B75318">
              <w:rPr>
                <w:rFonts w:ascii="Times New Roman" w:eastAsia="Calibri" w:hAnsi="Times New Roman"/>
                <w:color w:val="000000" w:themeColor="text1"/>
                <w:sz w:val="24"/>
                <w:lang w:val="en-US"/>
              </w:rPr>
              <w:t>of Regulation (EU) No 575/2013</w:t>
            </w:r>
          </w:p>
          <w:p w14:paraId="3F8ED854" w14:textId="3C820AB9" w:rsidR="00AB4173" w:rsidRPr="00B75318" w:rsidRDefault="7A315054" w:rsidP="72FDE0D4">
            <w:pPr>
              <w:rPr>
                <w:rFonts w:ascii="Times New Roman" w:hAnsi="Times New Roman"/>
                <w:sz w:val="24"/>
              </w:rPr>
            </w:pPr>
            <w:r w:rsidRPr="00B75318">
              <w:rPr>
                <w:rFonts w:ascii="Times New Roman" w:hAnsi="Times New Roman"/>
                <w:sz w:val="24"/>
              </w:rPr>
              <w:t xml:space="preserve">This row shall only be reported </w:t>
            </w:r>
            <w:r w:rsidR="5FCB8A86" w:rsidRPr="00B75318">
              <w:rPr>
                <w:rFonts w:ascii="Times New Roman" w:hAnsi="Times New Roman"/>
                <w:sz w:val="24"/>
              </w:rPr>
              <w:t xml:space="preserve">for the exposure class </w:t>
            </w:r>
            <w:r w:rsidR="46C0BA53" w:rsidRPr="00B75318">
              <w:rPr>
                <w:rFonts w:ascii="Times New Roman" w:hAnsi="Times New Roman"/>
                <w:sz w:val="24"/>
              </w:rPr>
              <w:t>'</w:t>
            </w:r>
            <w:r w:rsidR="5FCB8A86" w:rsidRPr="00B75318">
              <w:rPr>
                <w:rFonts w:ascii="Times New Roman" w:hAnsi="Times New Roman"/>
                <w:sz w:val="24"/>
              </w:rPr>
              <w:t>Collective investments undertakings (CIU)</w:t>
            </w:r>
            <w:r w:rsidR="6652DCFA" w:rsidRPr="00B75318">
              <w:rPr>
                <w:rFonts w:ascii="Times New Roman" w:hAnsi="Times New Roman"/>
                <w:sz w:val="24"/>
              </w:rPr>
              <w:t>'</w:t>
            </w:r>
            <w:r w:rsidR="3D963089" w:rsidRPr="00B75318">
              <w:rPr>
                <w:rFonts w:ascii="Times New Roman" w:hAnsi="Times New Roman"/>
                <w:sz w:val="24"/>
              </w:rPr>
              <w:t xml:space="preserve"> and in the total shee</w:t>
            </w:r>
            <w:r w:rsidR="3D8E5664" w:rsidRPr="00B75318">
              <w:rPr>
                <w:rFonts w:ascii="Times New Roman" w:hAnsi="Times New Roman"/>
                <w:sz w:val="24"/>
              </w:rPr>
              <w:t>t</w:t>
            </w:r>
            <w:r w:rsidR="672BF11F" w:rsidRPr="00B75318">
              <w:rPr>
                <w:rFonts w:ascii="Times New Roman" w:hAnsi="Times New Roman"/>
                <w:sz w:val="24"/>
              </w:rPr>
              <w:t>.</w:t>
            </w: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lang w:eastAsia="de-DE"/>
        </w:rPr>
      </w:pPr>
      <w:bookmarkStart w:id="239" w:name="_Toc120327823"/>
      <w:bookmarkStart w:id="240" w:name="_Toc120072325"/>
      <w:bookmarkStart w:id="241" w:name="_Toc294280272"/>
      <w:bookmarkStart w:id="242" w:name="_Toc294281597"/>
      <w:bookmarkStart w:id="243" w:name="_Toc294281817"/>
      <w:bookmarkStart w:id="244" w:name="_Toc294282031"/>
      <w:bookmarkStart w:id="245" w:name="_Toc294282234"/>
      <w:bookmarkStart w:id="246" w:name="_Toc294714169"/>
      <w:bookmarkStart w:id="247" w:name="_Toc295314195"/>
      <w:bookmarkStart w:id="248" w:name="_Toc295829584"/>
      <w:bookmarkStart w:id="249" w:name="_Toc295829867"/>
      <w:bookmarkStart w:id="250" w:name="_Toc301772755"/>
      <w:bookmarkStart w:id="251" w:name="_Toc301772833"/>
      <w:bookmarkStart w:id="252" w:name="_Toc302657772"/>
      <w:bookmarkStart w:id="253" w:name="_Toc302657891"/>
      <w:bookmarkStart w:id="254" w:name="_Toc294280294"/>
      <w:bookmarkStart w:id="255" w:name="_Toc294281619"/>
      <w:bookmarkStart w:id="256" w:name="_Toc294281839"/>
      <w:bookmarkStart w:id="257" w:name="_Toc294282053"/>
      <w:bookmarkStart w:id="258" w:name="_Toc294282256"/>
      <w:bookmarkStart w:id="259" w:name="_Toc294714191"/>
      <w:bookmarkStart w:id="260" w:name="_Toc295314217"/>
      <w:bookmarkStart w:id="261" w:name="_Toc295829606"/>
      <w:bookmarkStart w:id="262" w:name="_Toc295829889"/>
      <w:bookmarkStart w:id="263" w:name="_Toc301772777"/>
      <w:bookmarkStart w:id="264" w:name="_Toc301772855"/>
      <w:bookmarkStart w:id="265" w:name="_Toc302657794"/>
      <w:bookmarkStart w:id="266" w:name="_Toc302657913"/>
      <w:bookmarkStart w:id="267" w:name="_Toc294280312"/>
      <w:bookmarkStart w:id="268" w:name="_Toc294281637"/>
      <w:bookmarkStart w:id="269" w:name="_Toc294281857"/>
      <w:bookmarkStart w:id="270" w:name="_Toc294282071"/>
      <w:bookmarkStart w:id="271" w:name="_Toc294282274"/>
      <w:bookmarkStart w:id="272" w:name="_Toc294714209"/>
      <w:bookmarkStart w:id="273" w:name="_Toc295314235"/>
      <w:bookmarkStart w:id="274" w:name="_Toc295829624"/>
      <w:bookmarkStart w:id="275" w:name="_Toc295829907"/>
      <w:bookmarkStart w:id="276" w:name="_Toc301772795"/>
      <w:bookmarkStart w:id="277" w:name="_Toc301772873"/>
      <w:bookmarkStart w:id="278" w:name="_Toc302657812"/>
      <w:bookmarkStart w:id="279" w:name="_Toc302657931"/>
      <w:bookmarkStart w:id="280" w:name="_Toc294280316"/>
      <w:bookmarkStart w:id="281" w:name="_Toc294281641"/>
      <w:bookmarkStart w:id="282" w:name="_Toc294281861"/>
      <w:bookmarkStart w:id="283" w:name="_Toc294282075"/>
      <w:bookmarkStart w:id="284" w:name="_Toc294282278"/>
      <w:bookmarkStart w:id="285" w:name="_Toc294714213"/>
      <w:bookmarkStart w:id="286" w:name="_Toc295314239"/>
      <w:bookmarkStart w:id="287" w:name="_Toc295829628"/>
      <w:bookmarkStart w:id="288" w:name="_Toc295829911"/>
      <w:bookmarkStart w:id="289" w:name="_Toc301772799"/>
      <w:bookmarkStart w:id="290" w:name="_Toc301772877"/>
      <w:bookmarkStart w:id="291" w:name="_Toc302657816"/>
      <w:bookmarkStart w:id="292" w:name="_Toc302657935"/>
      <w:bookmarkStart w:id="293" w:name="_Toc294280319"/>
      <w:bookmarkStart w:id="294" w:name="_Toc294281644"/>
      <w:bookmarkStart w:id="295" w:name="_Toc294281864"/>
      <w:bookmarkStart w:id="296" w:name="_Toc294282078"/>
      <w:bookmarkStart w:id="297" w:name="_Toc294282281"/>
      <w:bookmarkStart w:id="298" w:name="_Toc294714216"/>
      <w:bookmarkStart w:id="299" w:name="_Toc295314242"/>
      <w:bookmarkStart w:id="300" w:name="_Toc295829631"/>
      <w:bookmarkStart w:id="301" w:name="_Toc295829914"/>
      <w:bookmarkStart w:id="302" w:name="_Toc301772802"/>
      <w:bookmarkStart w:id="303" w:name="_Toc301772880"/>
      <w:bookmarkStart w:id="304" w:name="_Toc302657819"/>
      <w:bookmarkStart w:id="305" w:name="_Toc302657938"/>
      <w:bookmarkStart w:id="306" w:name="_Toc294280322"/>
      <w:bookmarkStart w:id="307" w:name="_Toc294281647"/>
      <w:bookmarkStart w:id="308" w:name="_Toc294281867"/>
      <w:bookmarkStart w:id="309" w:name="_Toc294282081"/>
      <w:bookmarkStart w:id="310" w:name="_Toc294282284"/>
      <w:bookmarkStart w:id="311" w:name="_Toc294714219"/>
      <w:bookmarkStart w:id="312" w:name="_Toc295314245"/>
      <w:bookmarkStart w:id="313" w:name="_Toc295829634"/>
      <w:bookmarkStart w:id="314" w:name="_Toc295829917"/>
      <w:bookmarkStart w:id="315" w:name="_Toc301772805"/>
      <w:bookmarkStart w:id="316" w:name="_Toc301772883"/>
      <w:bookmarkStart w:id="317" w:name="_Toc302657822"/>
      <w:bookmarkStart w:id="318" w:name="_Toc30265794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19" w:name="_Toc473560911"/>
      <w:bookmarkStart w:id="320" w:name="_Toc151714398"/>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08.02 - </w:t>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a</w:t>
      </w:r>
      <w:r w:rsidR="008241B9" w:rsidRPr="002A677E">
        <w:rPr>
          <w:rFonts w:ascii="Times New Roman" w:hAnsi="Times New Roman" w:cs="Times New Roman"/>
          <w:sz w:val="24"/>
          <w:lang w:val="en-GB"/>
        </w:rPr>
        <w:t>pproach</w:t>
      </w:r>
      <w:r w:rsidR="001C7AB7" w:rsidRPr="002A677E">
        <w:rPr>
          <w:rFonts w:ascii="Times New Roman" w:hAnsi="Times New Roman" w:cs="Times New Roman"/>
          <w:sz w:val="24"/>
          <w:lang w:val="en-GB"/>
        </w:rPr>
        <w:t xml:space="preserve"> to capital requirements</w:t>
      </w:r>
      <w:r w:rsidR="00F855D5" w:rsidRPr="002A677E">
        <w:rPr>
          <w:rFonts w:ascii="Times New Roman" w:hAnsi="Times New Roman" w:cs="Times New Roman"/>
          <w:sz w:val="24"/>
          <w:lang w:val="en-GB"/>
        </w:rPr>
        <w:t xml:space="preserve">: </w:t>
      </w:r>
      <w:r w:rsidR="001C7AB7" w:rsidRPr="002A677E">
        <w:rPr>
          <w:rFonts w:ascii="Times New Roman" w:hAnsi="Times New Roman" w:cs="Times New Roman"/>
          <w:sz w:val="24"/>
          <w:lang w:val="en-GB"/>
        </w:rPr>
        <w:t>breakdown by obligor grades or pools</w:t>
      </w:r>
      <w:r w:rsidR="009769DE" w:rsidRPr="002A677E">
        <w:rPr>
          <w:rFonts w:ascii="Times New Roman" w:hAnsi="Times New Roman" w:cs="Times New Roman"/>
          <w:sz w:val="24"/>
          <w:lang w:val="en-GB"/>
        </w:rPr>
        <w:t xml:space="preserve"> (CR IRB 2 template)</w:t>
      </w:r>
      <w:bookmarkEnd w:id="319"/>
      <w:bookmarkEnd w:id="32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sidRPr="002A677E">
              <w:rPr>
                <w:rFonts w:ascii="Times New Roman" w:hAnsi="Times New Roman"/>
                <w:sz w:val="24"/>
              </w:rPr>
              <w:t>0</w:t>
            </w:r>
            <w:r w:rsidR="00E97CD2" w:rsidRPr="002A677E">
              <w:rPr>
                <w:rFonts w:ascii="Times New Roman" w:hAnsi="Times New Roman"/>
                <w:sz w:val="24"/>
              </w:rPr>
              <w:t>005</w:t>
            </w:r>
          </w:p>
        </w:tc>
        <w:tc>
          <w:tcPr>
            <w:tcW w:w="7804" w:type="dxa"/>
          </w:tcPr>
          <w:p w14:paraId="599834F4" w14:textId="77777777" w:rsidR="00E97CD2" w:rsidRPr="002A677E" w:rsidRDefault="00E97CD2" w:rsidP="001C7AB7">
            <w:pPr>
              <w:rPr>
                <w:rFonts w:ascii="Times New Roman" w:hAnsi="Times New Roman"/>
                <w:b/>
                <w:sz w:val="24"/>
                <w:u w:val="single"/>
              </w:rPr>
            </w:pPr>
            <w:r w:rsidRPr="002A677E">
              <w:rPr>
                <w:rFonts w:ascii="Times New Roman" w:hAnsi="Times New Roman"/>
                <w:b/>
                <w:sz w:val="24"/>
                <w:u w:val="single"/>
              </w:rPr>
              <w:t>Obligor grade</w:t>
            </w:r>
            <w:r w:rsidR="006D3B1A" w:rsidRPr="002A677E">
              <w:rPr>
                <w:rFonts w:ascii="Times New Roman" w:hAnsi="Times New Roman"/>
                <w:b/>
                <w:sz w:val="24"/>
                <w:u w:val="single"/>
              </w:rPr>
              <w:t xml:space="preserve"> (row identifier)</w:t>
            </w:r>
          </w:p>
          <w:p w14:paraId="3F34567F" w14:textId="77777777" w:rsidR="00E97CD2" w:rsidRPr="002A677E" w:rsidRDefault="00E97CD2" w:rsidP="00133396">
            <w:pPr>
              <w:rPr>
                <w:rFonts w:ascii="Times New Roman" w:hAnsi="Times New Roman"/>
                <w:sz w:val="24"/>
              </w:rPr>
            </w:pPr>
            <w:r w:rsidRPr="002A677E">
              <w:rPr>
                <w:rFonts w:ascii="Times New Roman" w:hAnsi="Times New Roman"/>
                <w:sz w:val="24"/>
              </w:rPr>
              <w:t xml:space="preserve">This is a row identifier and </w:t>
            </w:r>
            <w:r w:rsidR="003F05A0" w:rsidRPr="002A677E">
              <w:rPr>
                <w:rFonts w:ascii="Times New Roman" w:hAnsi="Times New Roman"/>
                <w:sz w:val="24"/>
              </w:rPr>
              <w:t>shall</w:t>
            </w:r>
            <w:r w:rsidRPr="002A677E">
              <w:rPr>
                <w:rFonts w:ascii="Times New Roman" w:hAnsi="Times New Roman"/>
                <w:sz w:val="24"/>
              </w:rPr>
              <w:t xml:space="preserve"> be unique for each row on a particular sheet of the </w:t>
            </w:r>
            <w:r w:rsidR="00133396" w:rsidRPr="002A677E">
              <w:rPr>
                <w:rFonts w:ascii="Times New Roman" w:hAnsi="Times New Roman"/>
                <w:sz w:val="24"/>
              </w:rPr>
              <w:t>template</w:t>
            </w:r>
            <w:r w:rsidRPr="002A677E">
              <w:rPr>
                <w:rFonts w:ascii="Times New Roman" w:hAnsi="Times New Roman"/>
                <w:sz w:val="24"/>
              </w:rPr>
              <w:t>.</w:t>
            </w:r>
            <w:r w:rsidR="006D3B1A" w:rsidRPr="002A677E">
              <w:rPr>
                <w:rFonts w:ascii="Times New Roman" w:hAnsi="Times New Roman"/>
                <w:sz w:val="24"/>
              </w:rPr>
              <w:t xml:space="preserve"> It shall follow the numerical order 1,</w:t>
            </w:r>
            <w:r w:rsidR="001959EF" w:rsidRPr="002A677E">
              <w:rPr>
                <w:rFonts w:ascii="Times New Roman" w:hAnsi="Times New Roman"/>
                <w:sz w:val="24"/>
              </w:rPr>
              <w:t xml:space="preserve"> </w:t>
            </w:r>
            <w:r w:rsidR="006D3B1A" w:rsidRPr="002A677E">
              <w:rPr>
                <w:rFonts w:ascii="Times New Roman" w:hAnsi="Times New Roman"/>
                <w:sz w:val="24"/>
              </w:rPr>
              <w:t>2,</w:t>
            </w:r>
            <w:r w:rsidR="001959EF" w:rsidRPr="002A677E">
              <w:rPr>
                <w:rFonts w:ascii="Times New Roman" w:hAnsi="Times New Roman"/>
                <w:sz w:val="24"/>
              </w:rPr>
              <w:t xml:space="preserve"> </w:t>
            </w:r>
            <w:r w:rsidR="006D3B1A" w:rsidRPr="002A677E">
              <w:rPr>
                <w:rFonts w:ascii="Times New Roman" w:hAnsi="Times New Roman"/>
                <w:sz w:val="24"/>
              </w:rPr>
              <w:t>3</w:t>
            </w:r>
            <w:r w:rsidR="001C7F2A" w:rsidRPr="002A677E">
              <w:rPr>
                <w:rFonts w:ascii="Times New Roman" w:hAnsi="Times New Roman"/>
                <w:sz w:val="24"/>
              </w:rPr>
              <w:t>,</w:t>
            </w:r>
            <w:r w:rsidR="006D3B1A" w:rsidRPr="002A677E">
              <w:rPr>
                <w:rFonts w:ascii="Times New Roman" w:hAnsi="Times New Roman"/>
                <w:sz w:val="24"/>
              </w:rPr>
              <w:t xml:space="preserve"> etc.</w:t>
            </w:r>
          </w:p>
          <w:p w14:paraId="55E72884" w14:textId="77777777" w:rsidR="008151A6" w:rsidRPr="002A677E" w:rsidRDefault="008151A6" w:rsidP="00133396">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r w:rsidRPr="002A677E">
              <w:rPr>
                <w:rFonts w:ascii="Times New Roman" w:hAnsi="Times New Roman"/>
                <w:sz w:val="24"/>
              </w:rPr>
              <w:t>0</w:t>
            </w:r>
            <w:r w:rsidR="001C7AB7" w:rsidRPr="002A677E">
              <w:rPr>
                <w:rFonts w:ascii="Times New Roman" w:hAnsi="Times New Roman"/>
                <w:sz w:val="24"/>
              </w:rPr>
              <w:t>300</w:t>
            </w:r>
          </w:p>
        </w:tc>
        <w:tc>
          <w:tcPr>
            <w:tcW w:w="7804" w:type="dxa"/>
          </w:tcPr>
          <w:p w14:paraId="1FB5E29A" w14:textId="77777777" w:rsidR="001C7AB7" w:rsidRPr="002A677E" w:rsidRDefault="001C7AB7" w:rsidP="00133396">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w:t>
            </w:r>
            <w:r w:rsidR="00133396" w:rsidRPr="002A677E">
              <w:rPr>
                <w:rFonts w:ascii="Times New Roman" w:hAnsi="Times New Roman"/>
                <w:sz w:val="24"/>
              </w:rPr>
              <w:t xml:space="preserve"> template</w:t>
            </w:r>
            <w:r w:rsidRPr="002A677E">
              <w:rPr>
                <w:rFonts w:ascii="Times New Roman" w:hAnsi="Times New Roman"/>
                <w:sz w:val="24"/>
              </w:rPr>
              <w: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10-00</w:t>
            </w:r>
            <w:r w:rsidR="001452FC" w:rsidRPr="002A677E">
              <w:rPr>
                <w:rFonts w:ascii="Times New Roman" w:hAnsi="Times New Roman"/>
                <w:sz w:val="24"/>
              </w:rPr>
              <w:t>0</w:t>
            </w:r>
            <w:r w:rsidRPr="002A677E">
              <w:rPr>
                <w:rFonts w:ascii="Times New Roman" w:hAnsi="Times New Roman"/>
                <w:sz w:val="24"/>
              </w:rPr>
              <w:t xml:space="preserve">1 – </w:t>
            </w:r>
            <w:r w:rsidR="001452FC" w:rsidRPr="002A677E">
              <w:rPr>
                <w:rFonts w:ascii="Times New Roman" w:hAnsi="Times New Roman"/>
                <w:sz w:val="24"/>
              </w:rPr>
              <w:t>0</w:t>
            </w:r>
            <w:r w:rsidRPr="002A677E">
              <w:rPr>
                <w:rFonts w:ascii="Times New Roman" w:hAnsi="Times New Roman"/>
                <w:sz w:val="24"/>
              </w:rPr>
              <w:t>010-</w:t>
            </w:r>
            <w:r w:rsidR="001452FC" w:rsidRPr="002A677E">
              <w:rPr>
                <w:rFonts w:ascii="Times New Roman" w:hAnsi="Times New Roman"/>
                <w:sz w:val="24"/>
              </w:rPr>
              <w:t>N</w:t>
            </w:r>
            <w:r w:rsidRPr="002A677E">
              <w:rPr>
                <w:rFonts w:ascii="Times New Roman" w:hAnsi="Times New Roman"/>
                <w:sz w:val="24"/>
              </w:rPr>
              <w:t>NNN</w:t>
            </w:r>
          </w:p>
        </w:tc>
        <w:tc>
          <w:tcPr>
            <w:tcW w:w="7804" w:type="dxa"/>
          </w:tcPr>
          <w:p w14:paraId="7FA42CDA" w14:textId="31846E30" w:rsidR="001C7AB7" w:rsidRPr="002A677E" w:rsidRDefault="001C7AB7" w:rsidP="00763B4B">
            <w:pPr>
              <w:rPr>
                <w:rFonts w:ascii="Times New Roman" w:hAnsi="Times New Roman"/>
                <w:sz w:val="24"/>
              </w:rPr>
            </w:pPr>
            <w:r w:rsidRPr="002A677E">
              <w:rPr>
                <w:rFonts w:ascii="Times New Roman" w:hAnsi="Times New Roman"/>
                <w:sz w:val="24"/>
              </w:rPr>
              <w:t xml:space="preserve">Values reported in these rows must be </w:t>
            </w:r>
            <w:r w:rsidR="008151A6" w:rsidRPr="002A677E">
              <w:rPr>
                <w:rFonts w:ascii="Times New Roman" w:hAnsi="Times New Roman"/>
                <w:sz w:val="24"/>
              </w:rPr>
              <w:t>filled in in the order corresponding to the PD</w:t>
            </w:r>
            <w:r w:rsidRPr="002A677E">
              <w:rPr>
                <w:rFonts w:ascii="Times New Roman" w:hAnsi="Times New Roman"/>
                <w:sz w:val="24"/>
              </w:rPr>
              <w:t xml:space="preserve"> assigned to the obligor grade or pool. PD of obligors in default shall be 100</w:t>
            </w:r>
            <w:r w:rsidR="00B856D5">
              <w:t> </w:t>
            </w:r>
            <w:r w:rsidRPr="002A677E">
              <w:rPr>
                <w:rFonts w:ascii="Times New Roman" w:hAnsi="Times New Roman"/>
                <w:sz w:val="24"/>
              </w:rPr>
              <w:t xml:space="preserve">%. Exposures subject to the alternative treatment for real estate collateral (only available when not using own estimates for the LGD) </w:t>
            </w:r>
            <w:r w:rsidR="00B811B0" w:rsidRPr="002A677E">
              <w:rPr>
                <w:rFonts w:ascii="Times New Roman" w:hAnsi="Times New Roman"/>
                <w:sz w:val="24"/>
              </w:rPr>
              <w:t>shall</w:t>
            </w:r>
            <w:r w:rsidRPr="002A677E">
              <w:rPr>
                <w:rFonts w:ascii="Times New Roman" w:hAnsi="Times New Roman"/>
                <w:sz w:val="24"/>
              </w:rPr>
              <w:t xml:space="preserve"> not be assigned </w:t>
            </w:r>
            <w:r w:rsidR="00BB22D4" w:rsidRPr="002A677E">
              <w:rPr>
                <w:rFonts w:ascii="Times New Roman" w:hAnsi="Times New Roman"/>
                <w:sz w:val="24"/>
              </w:rPr>
              <w:t>in accordance with</w:t>
            </w:r>
            <w:r w:rsidRPr="002A677E">
              <w:rPr>
                <w:rFonts w:ascii="Times New Roman" w:hAnsi="Times New Roman"/>
                <w:sz w:val="24"/>
              </w:rPr>
              <w:t xml:space="preserve"> the PD of the obligor and </w:t>
            </w:r>
            <w:r w:rsidR="008151A6" w:rsidRPr="002A677E">
              <w:rPr>
                <w:rFonts w:ascii="Times New Roman" w:hAnsi="Times New Roman"/>
                <w:sz w:val="24"/>
              </w:rPr>
              <w:t xml:space="preserve">shall </w:t>
            </w:r>
            <w:r w:rsidRPr="002A677E">
              <w:rPr>
                <w:rFonts w:ascii="Times New Roman" w:hAnsi="Times New Roman"/>
                <w:sz w:val="24"/>
              </w:rPr>
              <w:t xml:space="preserve">not </w:t>
            </w:r>
            <w:r w:rsidR="008151A6" w:rsidRPr="002A677E">
              <w:rPr>
                <w:rFonts w:ascii="Times New Roman" w:hAnsi="Times New Roman"/>
                <w:sz w:val="24"/>
              </w:rPr>
              <w:t xml:space="preserve">be </w:t>
            </w:r>
            <w:r w:rsidRPr="002A677E">
              <w:rPr>
                <w:rFonts w:ascii="Times New Roman" w:hAnsi="Times New Roman"/>
                <w:sz w:val="24"/>
              </w:rPr>
              <w:t>reported in this template.</w:t>
            </w:r>
          </w:p>
        </w:tc>
      </w:tr>
    </w:tbl>
    <w:p w14:paraId="04D08AB4" w14:textId="77777777" w:rsidR="004357B9" w:rsidRPr="002A677E" w:rsidRDefault="004357B9" w:rsidP="00B055FF">
      <w:pPr>
        <w:pStyle w:val="InstructionsText"/>
      </w:pPr>
    </w:p>
    <w:p w14:paraId="4F65BD1C" w14:textId="6799F0E4"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21" w:name="_Toc19715755"/>
      <w:bookmarkStart w:id="322" w:name="_Toc151714399"/>
      <w:r w:rsidRPr="002A677E">
        <w:rPr>
          <w:rFonts w:ascii="Times New Roman" w:hAnsi="Times New Roman" w:cs="Times New Roman"/>
          <w:sz w:val="24"/>
          <w:lang w:val="en-GB"/>
        </w:rPr>
        <w:t xml:space="preserve">C 08.03 -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(breakdown by PD ranges (CR IRB 3))</w:t>
      </w:r>
      <w:bookmarkEnd w:id="321"/>
      <w:bookmarkEnd w:id="322"/>
    </w:p>
    <w:p w14:paraId="0D14AAF9" w14:textId="77777777" w:rsidR="008151A6" w:rsidRPr="002A677E" w:rsidRDefault="008151A6" w:rsidP="001435E2">
      <w:pPr>
        <w:pStyle w:val="Instructionsberschrift2"/>
        <w:numPr>
          <w:ilvl w:val="3"/>
          <w:numId w:val="36"/>
        </w:numPr>
        <w:rPr>
          <w:rFonts w:ascii="Times New Roman" w:hAnsi="Times New Roman" w:cs="Times New Roman"/>
          <w:sz w:val="24"/>
          <w:lang w:val="en-GB"/>
        </w:rPr>
      </w:pPr>
      <w:bookmarkStart w:id="323" w:name="_Toc19715756"/>
      <w:bookmarkStart w:id="324" w:name="_Toc151714400"/>
      <w:r w:rsidRPr="002A677E">
        <w:rPr>
          <w:rFonts w:ascii="Times New Roman" w:hAnsi="Times New Roman" w:cs="Times New Roman"/>
          <w:sz w:val="24"/>
          <w:lang w:val="en-GB"/>
        </w:rPr>
        <w:t>General remarks</w:t>
      </w:r>
      <w:bookmarkEnd w:id="323"/>
      <w:bookmarkEnd w:id="324"/>
    </w:p>
    <w:p w14:paraId="6CEFD717" w14:textId="21E1F777"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77</w:t>
      </w:r>
      <w:r>
        <w:fldChar w:fldCharType="end"/>
      </w:r>
      <w:r w:rsidR="008151A6" w:rsidRPr="002A677E">
        <w:t>. Institutions shall report the information included in this template in applica</w:t>
      </w:r>
      <w:r w:rsidR="009265F9" w:rsidRPr="002A677E">
        <w:t>tion of Article 452(g)</w:t>
      </w:r>
      <w:r w:rsidR="00B83DDE">
        <w:t>, p</w:t>
      </w:r>
      <w:r w:rsidR="00E1685B" w:rsidRPr="002A677E">
        <w:rPr>
          <w:noProof/>
        </w:rPr>
        <w:t>oints (i) to (v)</w:t>
      </w:r>
      <w:r w:rsidR="002E7287">
        <w:rPr>
          <w:noProof/>
        </w:rPr>
        <w:t>,</w:t>
      </w:r>
      <w:r w:rsidR="00E1685B" w:rsidRPr="002A677E">
        <w:rPr>
          <w:noProof/>
        </w:rPr>
        <w:t xml:space="preserve"> </w:t>
      </w:r>
      <w:r w:rsidR="002F11F3" w:rsidRPr="001235ED">
        <w:rPr>
          <w:lang w:val="en-US"/>
        </w:rPr>
        <w:t>of Regulation (EU) No 575/2013</w:t>
      </w:r>
      <w:r w:rsidR="008151A6" w:rsidRPr="002A677E">
        <w:t>, in order to pro</w:t>
      </w:r>
      <w:r w:rsidR="008151A6" w:rsidRPr="002A677E">
        <w:lastRenderedPageBreak/>
        <w:t xml:space="preserve">vide information on the main parameters used for the calculation of capital requirements for IRB approach. Information reported in this template shall not include data on specialised lending referred </w:t>
      </w:r>
      <w:r w:rsidR="009265F9" w:rsidRPr="002A677E">
        <w:t xml:space="preserve">to in </w:t>
      </w:r>
      <w:r w:rsidR="00E1685B" w:rsidRPr="002A677E">
        <w:t>A</w:t>
      </w:r>
      <w:r w:rsidR="009265F9" w:rsidRPr="002A677E">
        <w:t xml:space="preserve">rticle 153(5) </w:t>
      </w:r>
      <w:r w:rsidR="002F11F3" w:rsidRPr="001235ED">
        <w:rPr>
          <w:lang w:val="en-US"/>
        </w:rPr>
        <w:t>of Regulation (EU) No 575/2013</w:t>
      </w:r>
      <w:r w:rsidR="008151A6" w:rsidRPr="002A677E">
        <w:t>, which is included in template C 08.06. This template excludes counterparty credit risk (CCR) exposures (Par</w:t>
      </w:r>
      <w:r w:rsidR="009265F9" w:rsidRPr="002A677E">
        <w:t>t</w:t>
      </w:r>
      <w:r w:rsidR="00AF6F2C" w:rsidRPr="002A677E">
        <w:t xml:space="preserve"> Three</w:t>
      </w:r>
      <w:r w:rsidR="002F11F3" w:rsidRPr="002A677E">
        <w:t>,</w:t>
      </w:r>
      <w:r w:rsidR="00AF6F2C" w:rsidRPr="002A677E">
        <w:t xml:space="preserve"> </w:t>
      </w:r>
      <w:r w:rsidR="002F11F3" w:rsidRPr="002A677E">
        <w:t xml:space="preserve">Title II, Chapter 6 </w:t>
      </w:r>
      <w:r w:rsidR="002F11F3" w:rsidRPr="001235ED">
        <w:rPr>
          <w:lang w:val="en-US"/>
        </w:rPr>
        <w:t>of Regulation (EU) No 575/2013</w:t>
      </w:r>
      <w:r w:rsidR="008151A6" w:rsidRPr="002A677E">
        <w:t>)</w:t>
      </w:r>
      <w:r w:rsidR="00284A6D" w:rsidRPr="002A677E">
        <w:t>.</w:t>
      </w:r>
    </w:p>
    <w:p w14:paraId="481B75E1" w14:textId="30B6065A"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25" w:name="_Toc19715757"/>
      <w:bookmarkStart w:id="326" w:name="_Toc151714401"/>
      <w:r w:rsidRPr="002A677E">
        <w:rPr>
          <w:rFonts w:ascii="Times New Roman" w:hAnsi="Times New Roman" w:cs="Times New Roman"/>
          <w:sz w:val="24"/>
          <w:lang w:val="en-GB"/>
        </w:rPr>
        <w:t>Instructions concerning specific positions</w:t>
      </w:r>
      <w:bookmarkEnd w:id="325"/>
      <w:bookmarkEnd w:id="32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ON-BALANCE SHEET EXPOSURES</w:t>
            </w:r>
          </w:p>
          <w:p w14:paraId="4A8FAFE3" w14:textId="66012EBB" w:rsidR="008151A6" w:rsidRPr="002A677E" w:rsidRDefault="008151A6" w:rsidP="00A44410">
            <w:pPr>
              <w:rPr>
                <w:rFonts w:ascii="Times New Roman" w:hAnsi="Times New Roman"/>
                <w:sz w:val="24"/>
              </w:rPr>
            </w:pPr>
            <w:r w:rsidRPr="002A677E">
              <w:rPr>
                <w:rFonts w:ascii="Times New Roman" w:hAnsi="Times New Roman"/>
                <w:sz w:val="24"/>
              </w:rPr>
              <w:t>Exposure value calculated in accordan</w:t>
            </w:r>
            <w:r w:rsidR="00AF6F2C" w:rsidRPr="002A677E">
              <w:rPr>
                <w:rFonts w:ascii="Times New Roman" w:hAnsi="Times New Roman"/>
                <w:sz w:val="24"/>
              </w:rPr>
              <w:t>ce with Article 166(1) to (7)</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7DE32B0B" w14:textId="372191B7"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w:t>
            </w:r>
            <w:r w:rsidR="00AF6F2C" w:rsidRPr="002A677E">
              <w:rPr>
                <w:rFonts w:ascii="Times New Roman" w:hAnsi="Times New Roman"/>
                <w:sz w:val="24"/>
              </w:rPr>
              <w:t>Article 166</w:t>
            </w:r>
            <w:r w:rsidR="00B83DDE">
              <w:rPr>
                <w:rFonts w:ascii="Times New Roman" w:hAnsi="Times New Roman"/>
                <w:sz w:val="24"/>
              </w:rPr>
              <w:t>, p</w:t>
            </w:r>
            <w:r w:rsidR="00E1685B" w:rsidRPr="002A677E">
              <w:rPr>
                <w:rFonts w:ascii="Times New Roman" w:hAnsi="Times New Roman"/>
                <w:sz w:val="24"/>
              </w:rPr>
              <w:t xml:space="preserve">aragraphs (1) to (7) </w:t>
            </w:r>
            <w:r w:rsidR="002F11F3"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002F11F3" w:rsidRPr="001235ED">
              <w:rPr>
                <w:rFonts w:ascii="Times New Roman" w:hAnsi="Times New Roman"/>
                <w:sz w:val="24"/>
                <w:lang w:val="en-US"/>
              </w:rPr>
              <w:t>of Regulation (EU) No 575/2013</w:t>
            </w:r>
            <w:r w:rsidRPr="002A677E">
              <w:rPr>
                <w:rFonts w:ascii="Times New Roman" w:hAnsi="Times New Roman"/>
                <w:sz w:val="24"/>
              </w:rPr>
              <w:t>, or any percentages specified i</w:t>
            </w:r>
            <w:r w:rsidR="00AF6F2C" w:rsidRPr="002A677E">
              <w:rPr>
                <w:rFonts w:ascii="Times New Roman" w:hAnsi="Times New Roman"/>
                <w:sz w:val="24"/>
              </w:rPr>
              <w:t xml:space="preserve">n Article 166(10) </w:t>
            </w:r>
            <w:r w:rsidR="002F11F3" w:rsidRPr="001235ED">
              <w:rPr>
                <w:rFonts w:ascii="Times New Roman" w:hAnsi="Times New Roman"/>
                <w:sz w:val="24"/>
                <w:lang w:val="en-US"/>
              </w:rPr>
              <w:t xml:space="preserve">of that Regulation </w:t>
            </w:r>
          </w:p>
          <w:p w14:paraId="0EF7359E" w14:textId="1DDFF139" w:rsidR="008151A6" w:rsidRPr="002A677E" w:rsidRDefault="008151A6" w:rsidP="00664874">
            <w:pPr>
              <w:rPr>
                <w:rFonts w:ascii="Times New Roman" w:hAnsi="Times New Roman"/>
                <w:sz w:val="24"/>
              </w:rPr>
            </w:pPr>
            <w:r w:rsidRPr="002A677E">
              <w:rPr>
                <w:rFonts w:ascii="Times New Roman" w:hAnsi="Times New Roman"/>
                <w:sz w:val="24"/>
              </w:rPr>
              <w:t xml:space="preserve">Off balance sheet exposures </w:t>
            </w:r>
            <w:r w:rsidR="00A44410" w:rsidRPr="002A677E">
              <w:rPr>
                <w:rFonts w:ascii="Times New Roman" w:hAnsi="Times New Roman"/>
                <w:sz w:val="24"/>
              </w:rPr>
              <w:t xml:space="preserve">shall </w:t>
            </w:r>
            <w:r w:rsidRPr="002A677E">
              <w:rPr>
                <w:rFonts w:ascii="Times New Roman" w:hAnsi="Times New Roman"/>
                <w:sz w:val="24"/>
              </w:rPr>
              <w:t>comprise all committed but undrawn amounts and all off-balance sheet</w:t>
            </w:r>
            <w:r w:rsidR="0044539D" w:rsidRPr="002A677E">
              <w:rPr>
                <w:rFonts w:ascii="Times New Roman" w:hAnsi="Times New Roman"/>
                <w:sz w:val="24"/>
              </w:rPr>
              <w:t xml:space="preserve"> items, as listed in Annex I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CONVERSION FACTORS</w:t>
            </w:r>
          </w:p>
          <w:p w14:paraId="7D88A5C8" w14:textId="77777777" w:rsidR="008151A6" w:rsidRPr="002A677E" w:rsidRDefault="008151A6" w:rsidP="00A44410">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2389923D" w14:textId="3335E615"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Article 166 </w:t>
            </w:r>
            <w:r w:rsidR="002F11F3" w:rsidRPr="001235ED">
              <w:rPr>
                <w:rFonts w:ascii="Times New Roman" w:hAnsi="Times New Roman"/>
                <w:sz w:val="24"/>
                <w:lang w:val="en-US"/>
              </w:rPr>
              <w:t>of Regulation (EU) No 575/2013</w:t>
            </w:r>
          </w:p>
          <w:p w14:paraId="6FBBE395" w14:textId="57B966ED" w:rsidR="008151A6" w:rsidRPr="002A677E" w:rsidRDefault="008151A6" w:rsidP="00E1685B">
            <w:pPr>
              <w:rPr>
                <w:rFonts w:ascii="Times New Roman" w:hAnsi="Times New Roman"/>
                <w:sz w:val="24"/>
              </w:rPr>
            </w:pPr>
            <w:r w:rsidRPr="002A677E">
              <w:rPr>
                <w:rFonts w:ascii="Times New Roman" w:hAnsi="Times New Roman"/>
                <w:sz w:val="24"/>
              </w:rPr>
              <w:t xml:space="preserve">This column </w:t>
            </w:r>
            <w:r w:rsidR="00A44410" w:rsidRPr="002A677E">
              <w:rPr>
                <w:rFonts w:ascii="Times New Roman" w:hAnsi="Times New Roman"/>
                <w:sz w:val="24"/>
              </w:rPr>
              <w:t xml:space="preserve">shall </w:t>
            </w:r>
            <w:r w:rsidRPr="002A677E">
              <w:rPr>
                <w:rFonts w:ascii="Times New Roman" w:hAnsi="Times New Roman"/>
                <w:sz w:val="24"/>
              </w:rPr>
              <w:t>include the sum of exposure value of on-balance sheet exposures and off-balance sheet exposures post conversion factors in accordance</w:t>
            </w:r>
            <w:r w:rsidR="00AF6F2C" w:rsidRPr="002A677E">
              <w:rPr>
                <w:rFonts w:ascii="Times New Roman" w:hAnsi="Times New Roman"/>
                <w:sz w:val="24"/>
              </w:rPr>
              <w:t xml:space="preserve"> with Article 166</w:t>
            </w:r>
            <w:r w:rsidR="00B83DDE">
              <w:rPr>
                <w:rFonts w:ascii="Times New Roman" w:hAnsi="Times New Roman"/>
                <w:sz w:val="24"/>
              </w:rPr>
              <w:t>, p</w:t>
            </w:r>
            <w:r w:rsidR="00E1685B" w:rsidRPr="002A677E">
              <w:rPr>
                <w:rFonts w:ascii="Times New Roman" w:hAnsi="Times New Roman"/>
                <w:sz w:val="24"/>
              </w:rPr>
              <w:t xml:space="preserve">aragraphs (8) to (10)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PD (%)</w:t>
            </w:r>
          </w:p>
          <w:p w14:paraId="56D6AA16" w14:textId="77777777" w:rsidR="008151A6" w:rsidRDefault="008151A6" w:rsidP="00A44410">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sidR="00121BFD">
              <w:rPr>
                <w:rFonts w:ascii="Times New Roman" w:hAnsi="Times New Roman"/>
                <w:sz w:val="24"/>
              </w:rPr>
              <w:t>.</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NUMBER OF OBLIGORS</w:t>
            </w:r>
          </w:p>
          <w:p w14:paraId="5A4B79B4" w14:textId="77777777" w:rsidR="00463F88" w:rsidRPr="002A677E" w:rsidRDefault="008151A6" w:rsidP="001A370B">
            <w:pPr>
              <w:rPr>
                <w:rFonts w:ascii="Times New Roman" w:hAnsi="Times New Roman"/>
                <w:sz w:val="24"/>
              </w:rPr>
            </w:pPr>
            <w:r w:rsidRPr="002A677E">
              <w:rPr>
                <w:rFonts w:ascii="Times New Roman" w:hAnsi="Times New Roman"/>
                <w:sz w:val="24"/>
              </w:rPr>
              <w:t>The number of legal entities or obligors allocated to each bucket of the fixed PD range</w:t>
            </w:r>
            <w:r w:rsidR="00463F88" w:rsidRPr="002A677E">
              <w:rPr>
                <w:rFonts w:ascii="Times New Roman" w:hAnsi="Times New Roman"/>
                <w:sz w:val="24"/>
              </w:rPr>
              <w:t xml:space="preserve"> </w:t>
            </w:r>
          </w:p>
          <w:p w14:paraId="1C88C53C" w14:textId="77777777" w:rsidR="001A370B" w:rsidRPr="002A677E" w:rsidRDefault="001A370B" w:rsidP="001A370B">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w:t>
            </w:r>
            <w:r w:rsidR="00463F88" w:rsidRPr="002A677E">
              <w:rPr>
                <w:rFonts w:ascii="Times New Roman" w:hAnsi="Times New Roman"/>
                <w:sz w:val="24"/>
              </w:rPr>
              <w:t xml:space="preserve"> </w:t>
            </w:r>
            <w:r w:rsidRPr="002A677E">
              <w:rPr>
                <w:rFonts w:ascii="Times New Roman" w:hAnsi="Times New Roman"/>
                <w:sz w:val="24"/>
              </w:rPr>
              <w:t>Joint obligors shall be treated the same as for the purpose of PD calibration.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LGD (%)</w:t>
            </w:r>
          </w:p>
          <w:p w14:paraId="184DDD1C"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w:t>
            </w:r>
            <w:r w:rsidR="001A370B" w:rsidRPr="002A677E">
              <w:rPr>
                <w:rFonts w:ascii="Times New Roman" w:hAnsi="Times New Roman"/>
                <w:sz w:val="24"/>
              </w:rPr>
              <w:t xml:space="preserve"> of the</w:t>
            </w:r>
            <w:r w:rsidRPr="002A677E">
              <w:rPr>
                <w:rFonts w:ascii="Times New Roman" w:hAnsi="Times New Roman"/>
                <w:sz w:val="24"/>
              </w:rPr>
              <w:t xml:space="preserve"> LGD estimate</w:t>
            </w:r>
            <w:r w:rsidR="001A370B" w:rsidRPr="002A677E">
              <w:rPr>
                <w:rFonts w:ascii="Times New Roman" w:hAnsi="Times New Roman"/>
                <w:sz w:val="24"/>
              </w:rPr>
              <w:t>s for</w:t>
            </w:r>
            <w:r w:rsidRPr="002A677E">
              <w:rPr>
                <w:rFonts w:ascii="Times New Roman" w:hAnsi="Times New Roman"/>
                <w:sz w:val="24"/>
              </w:rPr>
              <w:t xml:space="preserve"> each exposure, weighted by the exposure value post-CCF and post-CRM as reported in column 0040</w:t>
            </w:r>
          </w:p>
          <w:p w14:paraId="7E28335D" w14:textId="7EAE8748" w:rsidR="008151A6" w:rsidRPr="002A677E" w:rsidRDefault="008151A6" w:rsidP="00664874">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2A677E">
              <w:rPr>
                <w:rFonts w:ascii="Times New Roman" w:hAnsi="Times New Roman"/>
                <w:sz w:val="24"/>
              </w:rPr>
              <w:t>s specified in Article 164(4)</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97FA337" w14:textId="39B86209" w:rsidR="008151A6" w:rsidRDefault="008151A6" w:rsidP="00E1685B">
            <w:pPr>
              <w:rPr>
                <w:rFonts w:ascii="Times New Roman" w:hAnsi="Times New Roman"/>
                <w:sz w:val="24"/>
              </w:rPr>
            </w:pPr>
            <w:r w:rsidRPr="002A677E">
              <w:rPr>
                <w:rFonts w:ascii="Times New Roman" w:hAnsi="Times New Roman"/>
                <w:sz w:val="24"/>
              </w:rPr>
              <w:t xml:space="preserve">For defaulted exposures under A-IRB </w:t>
            </w:r>
            <w:r w:rsidR="00AC6619" w:rsidRPr="002A677E">
              <w:rPr>
                <w:rFonts w:ascii="Times New Roman" w:hAnsi="Times New Roman"/>
                <w:sz w:val="24"/>
              </w:rPr>
              <w:t>a</w:t>
            </w:r>
            <w:r w:rsidRPr="002A677E">
              <w:rPr>
                <w:rFonts w:ascii="Times New Roman" w:hAnsi="Times New Roman"/>
                <w:sz w:val="24"/>
              </w:rPr>
              <w:t>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E1685B" w:rsidRPr="002A677E">
              <w:rPr>
                <w:rFonts w:ascii="Times New Roman" w:hAnsi="Times New Roman"/>
                <w:sz w:val="24"/>
              </w:rPr>
              <w:t>oint (h)</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This column does not need to be filled in for the total of all exposures classes.</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EXPOSURE-WEIGHTED AVERAGE MATURITY (YEARS)</w:t>
            </w:r>
          </w:p>
          <w:p w14:paraId="78A0978E"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43E30C16" w14:textId="1200D251" w:rsidR="008151A6" w:rsidRPr="002A677E" w:rsidRDefault="008151A6" w:rsidP="00664874">
            <w:pPr>
              <w:rPr>
                <w:rFonts w:ascii="Times New Roman" w:hAnsi="Times New Roman"/>
                <w:sz w:val="24"/>
              </w:rPr>
            </w:pPr>
            <w:r w:rsidRPr="002A677E">
              <w:rPr>
                <w:rFonts w:ascii="Times New Roman" w:hAnsi="Times New Roman"/>
                <w:sz w:val="24"/>
              </w:rPr>
              <w:t>The</w:t>
            </w:r>
            <w:r w:rsidR="00402284">
              <w:rPr>
                <w:rFonts w:ascii="Times New Roman" w:hAnsi="Times New Roman"/>
                <w:sz w:val="24"/>
              </w:rPr>
              <w:t xml:space="preserve"> </w:t>
            </w:r>
            <w:r w:rsidRPr="002A677E">
              <w:rPr>
                <w:rFonts w:ascii="Times New Roman" w:hAnsi="Times New Roman"/>
                <w:sz w:val="24"/>
              </w:rPr>
              <w:t>maturity</w:t>
            </w:r>
            <w:r w:rsidR="00F66DFB" w:rsidRPr="002A677E">
              <w:rPr>
                <w:rFonts w:ascii="Times New Roman" w:hAnsi="Times New Roman"/>
                <w:sz w:val="24"/>
              </w:rPr>
              <w:t xml:space="preserve"> value</w:t>
            </w:r>
            <w:r w:rsidRPr="002A677E">
              <w:rPr>
                <w:rFonts w:ascii="Times New Roman" w:hAnsi="Times New Roman"/>
                <w:sz w:val="24"/>
              </w:rPr>
              <w:t xml:space="preserve"> reported </w:t>
            </w:r>
            <w:r w:rsidR="00EE690D" w:rsidRPr="002A677E">
              <w:rPr>
                <w:rFonts w:ascii="Times New Roman" w:hAnsi="Times New Roman"/>
                <w:sz w:val="24"/>
              </w:rPr>
              <w:t xml:space="preserve">shall </w:t>
            </w:r>
            <w:r w:rsidR="00A44410" w:rsidRPr="002A677E">
              <w:rPr>
                <w:rFonts w:ascii="Times New Roman" w:hAnsi="Times New Roman"/>
                <w:sz w:val="24"/>
              </w:rPr>
              <w:t xml:space="preserve">be </w:t>
            </w:r>
            <w:r w:rsidR="00CE51FF" w:rsidRPr="002A677E">
              <w:rPr>
                <w:rFonts w:ascii="Times New Roman" w:hAnsi="Times New Roman"/>
                <w:sz w:val="24"/>
              </w:rPr>
              <w:t xml:space="preserve">determined </w:t>
            </w:r>
            <w:r w:rsidR="00A44410" w:rsidRPr="002A677E">
              <w:rPr>
                <w:rFonts w:ascii="Times New Roman" w:hAnsi="Times New Roman"/>
                <w:sz w:val="24"/>
              </w:rPr>
              <w:t>in</w:t>
            </w:r>
            <w:r w:rsidR="00CE51FF" w:rsidRPr="002A677E">
              <w:rPr>
                <w:rFonts w:ascii="Times New Roman" w:hAnsi="Times New Roman"/>
                <w:sz w:val="24"/>
              </w:rPr>
              <w:t xml:space="preserve"> accordance with</w:t>
            </w:r>
            <w:r w:rsidR="00A44410" w:rsidRPr="002A677E">
              <w:rPr>
                <w:rFonts w:ascii="Times New Roman" w:hAnsi="Times New Roman"/>
                <w:sz w:val="24"/>
              </w:rPr>
              <w:t xml:space="preserve"> </w:t>
            </w:r>
            <w:r w:rsidRPr="002A677E">
              <w:rPr>
                <w:rFonts w:ascii="Times New Roman" w:hAnsi="Times New Roman"/>
                <w:sz w:val="24"/>
              </w:rPr>
              <w:t xml:space="preserve">Article 162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853783D"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average maturity </w:t>
            </w:r>
            <w:r w:rsidR="00A44410" w:rsidRPr="002A677E">
              <w:rPr>
                <w:rFonts w:ascii="Times New Roman" w:hAnsi="Times New Roman"/>
                <w:sz w:val="24"/>
              </w:rPr>
              <w:t xml:space="preserve">shall be </w:t>
            </w:r>
            <w:r w:rsidRPr="002A677E">
              <w:rPr>
                <w:rFonts w:ascii="Times New Roman" w:hAnsi="Times New Roman"/>
                <w:sz w:val="24"/>
              </w:rPr>
              <w:t>reported in years.</w:t>
            </w:r>
          </w:p>
          <w:p w14:paraId="3538AA9B" w14:textId="4E1B7038" w:rsidR="008151A6" w:rsidRPr="002A677E" w:rsidRDefault="008151A6" w:rsidP="002F11F3">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in accordance with Part Three</w:t>
            </w:r>
            <w:r w:rsidR="002F11F3" w:rsidRPr="002A677E">
              <w:rPr>
                <w:rFonts w:ascii="Times New Roman" w:hAnsi="Times New Roman"/>
                <w:sz w:val="24"/>
              </w:rPr>
              <w:t>,</w:t>
            </w:r>
            <w:r w:rsidRPr="002A677E">
              <w:rPr>
                <w:rFonts w:ascii="Times New Roman" w:hAnsi="Times New Roman"/>
                <w:sz w:val="24"/>
              </w:rPr>
              <w:t xml:space="preserve"> </w:t>
            </w:r>
            <w:r w:rsidR="002F11F3" w:rsidRPr="002A677E">
              <w:rPr>
                <w:rFonts w:ascii="Times New Roman" w:hAnsi="Times New Roman"/>
                <w:sz w:val="24"/>
              </w:rPr>
              <w:t xml:space="preserve">Title II, Chapter 3 </w:t>
            </w:r>
            <w:r w:rsidR="002F11F3"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D40BF94" w14:textId="03A118D9" w:rsidR="008151A6" w:rsidRPr="002A677E" w:rsidRDefault="008151A6" w:rsidP="00664874">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sidR="00B83DDE">
              <w:rPr>
                <w:rFonts w:ascii="Times New Roman" w:hAnsi="Times New Roman"/>
                <w:sz w:val="24"/>
              </w:rPr>
              <w:t>, p</w:t>
            </w:r>
            <w:r w:rsidR="00E1685B" w:rsidRPr="002A677E">
              <w:rPr>
                <w:rFonts w:ascii="Times New Roman" w:hAnsi="Times New Roman"/>
                <w:sz w:val="24"/>
              </w:rPr>
              <w:t>aragraphs (1) to (4)</w:t>
            </w:r>
            <w:r w:rsidR="00A44410" w:rsidRPr="002A677E">
              <w:rPr>
                <w:rFonts w:ascii="Times New Roman" w:hAnsi="Times New Roman"/>
                <w:sz w:val="24"/>
              </w:rPr>
              <w:t>;</w:t>
            </w:r>
            <w:r w:rsidRPr="002A677E">
              <w:rPr>
                <w:rFonts w:ascii="Times New Roman" w:hAnsi="Times New Roman"/>
                <w:sz w:val="24"/>
              </w:rPr>
              <w:t xml:space="preserve"> </w:t>
            </w:r>
            <w:r w:rsidR="00A44410" w:rsidRPr="002A677E">
              <w:rPr>
                <w:rFonts w:ascii="Times New Roman" w:hAnsi="Times New Roman"/>
                <w:sz w:val="24"/>
              </w:rPr>
              <w:t>f</w:t>
            </w:r>
            <w:r w:rsidRPr="002A677E">
              <w:rPr>
                <w:rFonts w:ascii="Times New Roman" w:hAnsi="Times New Roman"/>
                <w:sz w:val="24"/>
              </w:rPr>
              <w:t>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with</w:t>
            </w:r>
            <w:r w:rsidR="00AF6F2C" w:rsidRPr="002A677E">
              <w:rPr>
                <w:rFonts w:ascii="Times New Roman" w:hAnsi="Times New Roman"/>
                <w:sz w:val="24"/>
              </w:rPr>
              <w:t xml:space="preserve"> Article 154 </w:t>
            </w:r>
            <w:r w:rsidR="002F11F3" w:rsidRPr="001235ED">
              <w:rPr>
                <w:rFonts w:ascii="Times New Roman" w:hAnsi="Times New Roman"/>
                <w:sz w:val="24"/>
                <w:lang w:val="en-US"/>
              </w:rPr>
              <w:t>of Regulation (EU) No 575/2013</w:t>
            </w:r>
          </w:p>
          <w:p w14:paraId="78026103" w14:textId="5642FBC5" w:rsidR="008151A6" w:rsidRPr="002A677E" w:rsidRDefault="008151A6"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Style w:val="InstructionsTabelleText"/>
                <w:rFonts w:ascii="Times New Roman" w:hAnsi="Times New Roman"/>
                <w:sz w:val="24"/>
              </w:rPr>
              <w:t>laid down</w:t>
            </w:r>
            <w:r w:rsidRPr="002A677E">
              <w:rPr>
                <w:rFonts w:ascii="Times New Roman" w:hAnsi="Times New Roman"/>
                <w:sz w:val="24"/>
              </w:rPr>
              <w:t xml:space="preserve"> </w:t>
            </w:r>
            <w:r w:rsidR="00F66DFB" w:rsidRPr="002A677E">
              <w:rPr>
                <w:rFonts w:ascii="Times New Roman" w:hAnsi="Times New Roman"/>
                <w:sz w:val="24"/>
              </w:rPr>
              <w:t xml:space="preserve">in </w:t>
            </w:r>
            <w:r w:rsidRPr="002A677E">
              <w:rPr>
                <w:rFonts w:ascii="Times New Roman" w:hAnsi="Times New Roman"/>
                <w:sz w:val="24"/>
              </w:rPr>
              <w:t>Article</w:t>
            </w:r>
            <w:r w:rsidR="00F66DFB" w:rsidRPr="002A677E">
              <w:rPr>
                <w:rFonts w:ascii="Times New Roman" w:hAnsi="Times New Roman"/>
                <w:sz w:val="24"/>
              </w:rPr>
              <w:t>s</w:t>
            </w:r>
            <w:r w:rsidRPr="002A677E">
              <w:rPr>
                <w:rFonts w:ascii="Times New Roman" w:hAnsi="Times New Roman"/>
                <w:sz w:val="24"/>
              </w:rPr>
              <w:t xml:space="preserve"> 501</w:t>
            </w:r>
            <w:r w:rsidR="00927B49" w:rsidRPr="002A677E">
              <w:rPr>
                <w:rFonts w:ascii="Times New Roman" w:hAnsi="Times New Roman"/>
                <w:sz w:val="24"/>
              </w:rPr>
              <w:t xml:space="preserve"> and</w:t>
            </w:r>
            <w:r w:rsidR="00AF6F2C" w:rsidRPr="002A677E">
              <w:rPr>
                <w:rFonts w:ascii="Times New Roman" w:hAnsi="Times New Roman"/>
                <w:sz w:val="24"/>
              </w:rPr>
              <w:t xml:space="preserve"> Article 501a</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0</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4832D8CA" w14:textId="62C1A495" w:rsidR="008151A6" w:rsidRPr="002A677E" w:rsidRDefault="008151A6" w:rsidP="00664874">
            <w:pPr>
              <w:rPr>
                <w:rFonts w:ascii="Times New Roman" w:hAnsi="Times New Roman"/>
                <w:sz w:val="24"/>
              </w:rPr>
            </w:pPr>
            <w:r w:rsidRPr="002A677E">
              <w:rPr>
                <w:rFonts w:ascii="Times New Roman" w:hAnsi="Times New Roman"/>
                <w:sz w:val="24"/>
              </w:rPr>
              <w:t>The expected loss amount calculated in accordance with Artic</w:t>
            </w:r>
            <w:r w:rsidR="00AF6F2C" w:rsidRPr="002A677E">
              <w:rPr>
                <w:rFonts w:ascii="Times New Roman" w:hAnsi="Times New Roman"/>
                <w:sz w:val="24"/>
              </w:rPr>
              <w:t>le 158</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61B3A6E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expected loss amount to be reported shall be based on the actual risk parameters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1</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sidRPr="002A677E">
              <w:rPr>
                <w:rFonts w:ascii="Times New Roman" w:hAnsi="Times New Roman"/>
                <w:b/>
                <w:sz w:val="24"/>
                <w:u w:val="single"/>
              </w:rPr>
              <w:t xml:space="preserve">(-) </w:t>
            </w:r>
            <w:r w:rsidR="008151A6" w:rsidRPr="002A677E">
              <w:rPr>
                <w:rFonts w:ascii="Times New Roman" w:hAnsi="Times New Roman"/>
                <w:b/>
                <w:sz w:val="24"/>
                <w:u w:val="single"/>
              </w:rPr>
              <w:t>VALUE ADJUSTMENTS AND PROVISIONS</w:t>
            </w:r>
          </w:p>
          <w:p w14:paraId="6ABA875A" w14:textId="39D3D72C" w:rsidR="00A44410" w:rsidRPr="002A677E" w:rsidRDefault="008151A6" w:rsidP="00664874">
            <w:pPr>
              <w:rPr>
                <w:rFonts w:ascii="Times New Roman" w:hAnsi="Times New Roman"/>
                <w:sz w:val="24"/>
              </w:rPr>
            </w:pPr>
            <w:r w:rsidRPr="002A677E">
              <w:rPr>
                <w:rFonts w:ascii="Times New Roman" w:hAnsi="Times New Roman"/>
                <w:sz w:val="24"/>
              </w:rPr>
              <w:t>Specific and general credit risk adjustments in accordance with the Commission Delegated Regulation (EU) No 183/2014, additional value adjustments in accorda</w:t>
            </w:r>
            <w:r w:rsidR="00AF6F2C" w:rsidRPr="002A677E">
              <w:rPr>
                <w:rFonts w:ascii="Times New Roman" w:hAnsi="Times New Roman"/>
                <w:sz w:val="24"/>
              </w:rPr>
              <w:t xml:space="preserve">nce with Articles </w:t>
            </w:r>
            <w:r w:rsidR="00AF6F2C" w:rsidRPr="002A677E">
              <w:rPr>
                <w:rFonts w:ascii="Times New Roman" w:hAnsi="Times New Roman"/>
                <w:sz w:val="24"/>
              </w:rPr>
              <w:lastRenderedPageBreak/>
              <w:t xml:space="preserve">34 and 110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10E77039" w14:textId="0EF2942B" w:rsidR="008151A6" w:rsidRPr="002A677E" w:rsidRDefault="008151A6" w:rsidP="00664874">
            <w:pPr>
              <w:rPr>
                <w:rFonts w:ascii="Times New Roman" w:hAnsi="Times New Roman"/>
                <w:sz w:val="24"/>
              </w:rPr>
            </w:pPr>
            <w:r w:rsidRPr="002A677E">
              <w:rPr>
                <w:rFonts w:ascii="Times New Roman" w:hAnsi="Times New Roman"/>
                <w:sz w:val="24"/>
              </w:rPr>
              <w:t xml:space="preserve">These value adjustments and provisions </w:t>
            </w:r>
            <w:r w:rsidR="00A44410" w:rsidRPr="002A677E">
              <w:rPr>
                <w:rFonts w:ascii="Times New Roman" w:hAnsi="Times New Roman"/>
                <w:sz w:val="24"/>
              </w:rPr>
              <w:t xml:space="preserve">shall be </w:t>
            </w:r>
            <w:r w:rsidRPr="002A677E">
              <w:rPr>
                <w:rFonts w:ascii="Times New Roman" w:hAnsi="Times New Roman"/>
                <w:sz w:val="24"/>
              </w:rPr>
              <w:t xml:space="preserve">those considered for the </w:t>
            </w:r>
            <w:r w:rsidR="00AF6F2C" w:rsidRPr="002A677E">
              <w:rPr>
                <w:rFonts w:ascii="Times New Roman" w:hAnsi="Times New Roman"/>
                <w:sz w:val="24"/>
              </w:rPr>
              <w:t>implementation of Article 159</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9C8FD19" w14:textId="6E42F4A4" w:rsidR="008151A6" w:rsidRPr="002A677E" w:rsidRDefault="008151A6" w:rsidP="00664874">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sidR="00402284">
              <w:rPr>
                <w:rFonts w:ascii="Times New Roman" w:hAnsi="Times New Roman"/>
                <w:sz w:val="24"/>
              </w:rPr>
              <w:t xml:space="preserve"> </w:t>
            </w:r>
          </w:p>
        </w:tc>
      </w:tr>
    </w:tbl>
    <w:p w14:paraId="453D9305" w14:textId="77777777" w:rsidR="008151A6" w:rsidRPr="002A677E" w:rsidRDefault="008151A6" w:rsidP="00B055F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4CF82B4D">
        <w:tc>
          <w:tcPr>
            <w:tcW w:w="1271" w:type="dxa"/>
            <w:shd w:val="clear" w:color="auto" w:fill="auto"/>
          </w:tcPr>
          <w:p w14:paraId="663DF2DE"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719B167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17B0EE0E" w14:textId="602D92A3" w:rsidR="008151A6" w:rsidRDefault="008151A6" w:rsidP="00AC6619">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for each obligor assigned to this exposure class (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4C13CC82"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27" w:name="_Toc19715758"/>
      <w:bookmarkStart w:id="328" w:name="_Toc151714402"/>
      <w:r w:rsidRPr="002A677E">
        <w:rPr>
          <w:rFonts w:ascii="Times New Roman" w:hAnsi="Times New Roman" w:cs="Times New Roman"/>
          <w:sz w:val="24"/>
          <w:lang w:val="en-GB"/>
        </w:rPr>
        <w:t xml:space="preserve">C 08.04 - </w:t>
      </w:r>
      <w:r w:rsidR="00626A88" w:rsidRPr="002A677E">
        <w:rPr>
          <w:rFonts w:ascii="Times New Roman" w:hAnsi="Times New Roman" w:cs="Times New Roman"/>
          <w:sz w:val="24"/>
          <w:lang w:val="en-GB"/>
        </w:rPr>
        <w:t>C</w:t>
      </w:r>
      <w:r w:rsidRPr="002A677E">
        <w:rPr>
          <w:rFonts w:ascii="Times New Roman" w:hAnsi="Times New Roman" w:cs="Times New Roman"/>
          <w:sz w:val="24"/>
          <w:lang w:val="en-GB"/>
        </w:rPr>
        <w:t xml:space="preserve">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(RWEA flow statements (CR IRB 4))</w:t>
      </w:r>
      <w:bookmarkEnd w:id="327"/>
      <w:bookmarkEnd w:id="328"/>
    </w:p>
    <w:p w14:paraId="2E998094"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29" w:name="_Toc19715759"/>
      <w:bookmarkStart w:id="330" w:name="_Toc151714403"/>
      <w:r w:rsidRPr="002A677E">
        <w:rPr>
          <w:rFonts w:ascii="Times New Roman" w:hAnsi="Times New Roman" w:cs="Times New Roman"/>
          <w:sz w:val="24"/>
          <w:lang w:val="en-GB"/>
        </w:rPr>
        <w:t>General remarks</w:t>
      </w:r>
      <w:bookmarkEnd w:id="329"/>
      <w:bookmarkEnd w:id="330"/>
    </w:p>
    <w:p w14:paraId="51E67014" w14:textId="4F5F5E3E"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78</w:t>
      </w:r>
      <w:r>
        <w:fldChar w:fldCharType="end"/>
      </w:r>
      <w:r w:rsidR="008151A6" w:rsidRPr="002A677E">
        <w:t>. Institutions shall report the information included in this template i</w:t>
      </w:r>
      <w:r w:rsidR="00AF6F2C" w:rsidRPr="002A677E">
        <w:t>n application of Article 438</w:t>
      </w:r>
      <w:r w:rsidR="00B83DDE">
        <w:t>, p</w:t>
      </w:r>
      <w:r w:rsidR="00E1685B" w:rsidRPr="002A677E">
        <w:t>oint (h)</w:t>
      </w:r>
      <w:r w:rsidR="00BE1277">
        <w:t>,</w:t>
      </w:r>
      <w:r w:rsidR="00E1685B" w:rsidRPr="002A677E">
        <w:t xml:space="preserve"> </w:t>
      </w:r>
      <w:r w:rsidR="002F11F3" w:rsidRPr="001235ED">
        <w:rPr>
          <w:lang w:val="en-US"/>
        </w:rPr>
        <w:t>of Regulation (EU) No 575/2013 of Regulation (EU) No 575/2013</w:t>
      </w:r>
      <w:r w:rsidR="008151A6" w:rsidRPr="002A677E">
        <w:t>. This template excludes counterparty credit risk (CCR) exposures (</w:t>
      </w:r>
      <w:r w:rsidR="00AF6F2C" w:rsidRPr="002A677E">
        <w:t xml:space="preserve"> </w:t>
      </w:r>
      <w:r w:rsidR="008151A6" w:rsidRPr="002A677E">
        <w:t>Part Three</w:t>
      </w:r>
      <w:r w:rsidR="002F11F3" w:rsidRPr="002A677E">
        <w:t xml:space="preserve">, Title II, Chapter 6 </w:t>
      </w:r>
      <w:r w:rsidR="002F11F3" w:rsidRPr="001235ED">
        <w:rPr>
          <w:lang w:val="en-US"/>
        </w:rPr>
        <w:t>of Regulation (EU) No 575/2013</w:t>
      </w:r>
      <w:r w:rsidR="008151A6" w:rsidRPr="002A677E">
        <w:t>).</w:t>
      </w:r>
    </w:p>
    <w:p w14:paraId="10667F98" w14:textId="18AF4100" w:rsidR="002F29AF" w:rsidRPr="002A677E" w:rsidRDefault="002F29AF" w:rsidP="0047337A">
      <w:pPr>
        <w:pStyle w:val="InstructionsText2"/>
        <w:numPr>
          <w:ilvl w:val="0"/>
          <w:numId w:val="0"/>
        </w:numPr>
        <w:ind w:left="993"/>
      </w:pPr>
      <w:r w:rsidRPr="00624117">
        <w:rPr>
          <w:noProof/>
        </w:rPr>
        <w:fldChar w:fldCharType="begin"/>
      </w:r>
      <w:r w:rsidRPr="002A677E">
        <w:rPr>
          <w:noProof/>
        </w:rPr>
        <w:instrText xml:space="preserve"> seq paragraphs </w:instrText>
      </w:r>
      <w:r w:rsidRPr="00624117">
        <w:rPr>
          <w:noProof/>
        </w:rPr>
        <w:fldChar w:fldCharType="separate"/>
      </w:r>
      <w:r w:rsidR="005E3D5A">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00E32BAE" w:rsidRPr="002A677E">
        <w:t xml:space="preserve">prior </w:t>
      </w:r>
      <w:r w:rsidR="00E32BAE" w:rsidRPr="001235ED">
        <w:rPr>
          <w:rFonts w:eastAsiaTheme="minorEastAsia"/>
          <w:bCs/>
          <w:noProof/>
        </w:rPr>
        <w:t>reference date. In the case of quarterly reporting, end-of-</w:t>
      </w:r>
      <w:r w:rsidR="00E32BAE" w:rsidRPr="001235ED">
        <w:rPr>
          <w:rFonts w:eastAsiaTheme="minorEastAsia"/>
          <w:noProof/>
        </w:rPr>
        <w:t xml:space="preserve">quarter </w:t>
      </w:r>
      <w:r w:rsidRPr="002A677E">
        <w:rPr>
          <w:noProof/>
        </w:rPr>
        <w:t>prior to the quarter of the reporting reference date</w:t>
      </w:r>
      <w:r w:rsidR="00E32BAE" w:rsidRPr="002A677E">
        <w:rPr>
          <w:noProof/>
        </w:rPr>
        <w:t xml:space="preserve"> shall be reported</w:t>
      </w:r>
      <w:r w:rsidRPr="002A677E">
        <w:rPr>
          <w:noProof/>
        </w:rPr>
        <w:t xml:space="preserve">. </w:t>
      </w:r>
    </w:p>
    <w:p w14:paraId="473992E8" w14:textId="09B020D9" w:rsidR="008151A6" w:rsidRPr="002A677E" w:rsidRDefault="002F29AF" w:rsidP="001435E2">
      <w:pPr>
        <w:pStyle w:val="Instructionsberschrift2"/>
        <w:numPr>
          <w:ilvl w:val="3"/>
          <w:numId w:val="36"/>
        </w:numPr>
        <w:ind w:left="709"/>
        <w:rPr>
          <w:rFonts w:ascii="Times New Roman" w:hAnsi="Times New Roman" w:cs="Times New Roman"/>
          <w:sz w:val="24"/>
          <w:lang w:val="en-GB"/>
        </w:rPr>
      </w:pPr>
      <w:bookmarkStart w:id="331" w:name="_Toc19715760"/>
      <w:bookmarkStart w:id="332" w:name="_Toc151714404"/>
      <w:r w:rsidRPr="002A677E">
        <w:rPr>
          <w:rFonts w:ascii="Times New Roman" w:hAnsi="Times New Roman" w:cs="Times New Roman"/>
          <w:sz w:val="24"/>
          <w:lang w:val="en-GB"/>
        </w:rPr>
        <w:t>I</w:t>
      </w:r>
      <w:r w:rsidR="008151A6" w:rsidRPr="002A677E">
        <w:rPr>
          <w:rFonts w:ascii="Times New Roman" w:hAnsi="Times New Roman" w:cs="Times New Roman"/>
          <w:sz w:val="24"/>
          <w:lang w:val="en-GB"/>
        </w:rPr>
        <w:t>nstructions concerning specific positions</w:t>
      </w:r>
      <w:bookmarkEnd w:id="331"/>
      <w:bookmarkEnd w:id="33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w:t>
            </w:r>
          </w:p>
          <w:p w14:paraId="1B8885D3" w14:textId="5E9FA64B" w:rsidR="008151A6" w:rsidRPr="002A677E" w:rsidRDefault="008151A6" w:rsidP="00AC6619">
            <w:pPr>
              <w:rPr>
                <w:rFonts w:ascii="Times New Roman" w:hAnsi="Times New Roman"/>
                <w:sz w:val="24"/>
              </w:rPr>
            </w:pPr>
            <w:r w:rsidRPr="002A677E">
              <w:rPr>
                <w:rFonts w:ascii="Times New Roman" w:hAnsi="Times New Roman"/>
                <w:sz w:val="24"/>
              </w:rPr>
              <w:t xml:space="preserve">Total risk weighted exposure amount for credit risk calculated under the IRB </w:t>
            </w:r>
            <w:r w:rsidR="00AC6619" w:rsidRPr="002A677E">
              <w:rPr>
                <w:rFonts w:ascii="Times New Roman" w:hAnsi="Times New Roman"/>
                <w:sz w:val="24"/>
              </w:rPr>
              <w:t>a</w:t>
            </w:r>
            <w:r w:rsidRPr="002A677E">
              <w:rPr>
                <w:rFonts w:ascii="Times New Roman" w:hAnsi="Times New Roman"/>
                <w:sz w:val="24"/>
              </w:rPr>
              <w:t>pproach, taking into account supporting factors in accordan</w:t>
            </w:r>
            <w:r w:rsidR="00AF6F2C" w:rsidRPr="002A677E">
              <w:rPr>
                <w:rFonts w:ascii="Times New Roman" w:hAnsi="Times New Roman"/>
                <w:sz w:val="24"/>
              </w:rPr>
              <w:t xml:space="preserve">ce with Article 501 and 501a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22828C6F" w14:textId="2DBB68FC" w:rsidR="008151A6" w:rsidRPr="002A677E" w:rsidRDefault="008151A6" w:rsidP="00F66DFB">
            <w:pPr>
              <w:rPr>
                <w:rFonts w:ascii="Times New Roman" w:hAnsi="Times New Roman"/>
                <w:sz w:val="24"/>
              </w:rPr>
            </w:pPr>
            <w:r w:rsidRPr="002A677E">
              <w:rPr>
                <w:rFonts w:ascii="Times New Roman" w:hAnsi="Times New Roman"/>
                <w:sz w:val="24"/>
              </w:rPr>
              <w:t xml:space="preserve">Risk weighted exposure amount </w:t>
            </w:r>
            <w:r w:rsidR="00F66DFB" w:rsidRPr="002A677E">
              <w:rPr>
                <w:rFonts w:ascii="Times New Roman" w:hAnsi="Times New Roman"/>
                <w:sz w:val="24"/>
              </w:rPr>
              <w:t>at the end of</w:t>
            </w:r>
            <w:r w:rsidRPr="002A677E">
              <w:rPr>
                <w:rFonts w:ascii="Times New Roman" w:hAnsi="Times New Roman"/>
                <w:sz w:val="24"/>
              </w:rPr>
              <w:t xml:space="preserve"> the previous reporting period after </w:t>
            </w:r>
            <w:r w:rsidR="00E50750" w:rsidRPr="002A677E">
              <w:rPr>
                <w:rFonts w:ascii="Times New Roman" w:hAnsi="Times New Roman"/>
                <w:sz w:val="24"/>
              </w:rPr>
              <w:t>the application of</w:t>
            </w:r>
            <w:r w:rsidR="00F66DFB" w:rsidRPr="002A677E">
              <w:rPr>
                <w:rFonts w:ascii="Times New Roman" w:hAnsi="Times New Roman"/>
                <w:sz w:val="24"/>
              </w:rPr>
              <w:t xml:space="preserve"> the</w:t>
            </w:r>
            <w:r w:rsidR="00E50750" w:rsidRPr="002A677E">
              <w:rPr>
                <w:rFonts w:ascii="Times New Roman" w:hAnsi="Times New Roman"/>
                <w:sz w:val="24"/>
              </w:rPr>
              <w:t xml:space="preserv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lang w:val="en-US"/>
              </w:rPr>
              <w:t>of Regulation (EU) No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SIZE (+/-)</w:t>
            </w:r>
          </w:p>
          <w:p w14:paraId="12B2D7D1"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720E19C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QUALITY (+/-)</w:t>
            </w:r>
          </w:p>
          <w:p w14:paraId="6A88FF18"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24AF3901"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MODEL UPDATES (+/-)</w:t>
            </w:r>
          </w:p>
          <w:p w14:paraId="1E1E2DE0"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06D2AE7D"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METHODOLOGY AND POLICY (+/-)</w:t>
            </w:r>
          </w:p>
          <w:p w14:paraId="4784A797"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2A677E">
              <w:rPr>
                <w:rFonts w:ascii="Times New Roman" w:hAnsi="Times New Roman"/>
                <w:sz w:val="24"/>
              </w:rPr>
              <w:t>00</w:t>
            </w:r>
            <w:r w:rsidRPr="002A677E">
              <w:rPr>
                <w:rFonts w:ascii="Times New Roman" w:hAnsi="Times New Roman"/>
                <w:sz w:val="24"/>
              </w:rPr>
              <w:t>4</w:t>
            </w:r>
            <w:r w:rsidR="005E7377" w:rsidRPr="002A677E">
              <w:rPr>
                <w:rFonts w:ascii="Times New Roman" w:hAnsi="Times New Roman"/>
                <w:sz w:val="24"/>
              </w:rPr>
              <w:t>0</w:t>
            </w:r>
            <w:r w:rsidRPr="002A677E">
              <w:rPr>
                <w:rFonts w:ascii="Times New Roman" w:hAnsi="Times New Roman"/>
                <w:sz w:val="24"/>
              </w:rPr>
              <w:t xml:space="preserve"> </w:t>
            </w:r>
          </w:p>
          <w:p w14:paraId="471E350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ACQUISITIONS AND DISPOSALS (+/-)</w:t>
            </w:r>
          </w:p>
          <w:p w14:paraId="5F2DE96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7F5FFA64"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FOREIGN EXCHANGE MOVEMENTS (+/-)</w:t>
            </w:r>
          </w:p>
          <w:p w14:paraId="018AAA5D"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FB6626A"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OTHER (+/-)</w:t>
            </w:r>
          </w:p>
          <w:p w14:paraId="051040A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5B8CFF9D" w14:textId="77777777" w:rsidR="0044539D" w:rsidRPr="002A677E" w:rsidRDefault="008151A6" w:rsidP="0044539D">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4B3705AC" w14:textId="77777777" w:rsidR="008151A6" w:rsidRPr="002A677E" w:rsidRDefault="008151A6" w:rsidP="0044539D">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35E1C96E" w14:textId="09B747F1" w:rsidR="008151A6" w:rsidRPr="002A677E" w:rsidRDefault="008151A6" w:rsidP="003F19BA">
            <w:pPr>
              <w:pStyle w:val="CommentText"/>
            </w:pPr>
            <w:r w:rsidRPr="002A677E">
              <w:rPr>
                <w:rFonts w:ascii="Times New Roman" w:hAnsi="Times New Roman"/>
                <w:sz w:val="24"/>
              </w:rPr>
              <w:t xml:space="preserve">Risk weighted exposure amount in the reporting period after </w:t>
            </w:r>
            <w:r w:rsidR="00E50750" w:rsidRPr="002A677E">
              <w:rPr>
                <w:rFonts w:ascii="Times New Roman" w:hAnsi="Times New Roman"/>
                <w:sz w:val="24"/>
              </w:rPr>
              <w:t xml:space="preserve">the application of </w:t>
            </w:r>
            <w:r w:rsidR="00F66DFB" w:rsidRPr="002A677E">
              <w:rPr>
                <w:rFonts w:ascii="Times New Roman" w:hAnsi="Times New Roman"/>
                <w:sz w:val="24"/>
              </w:rPr>
              <w:t xml:space="preserve">the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rPr>
              <w:t>of Regulation (EU) No 575/2013</w:t>
            </w:r>
          </w:p>
        </w:tc>
      </w:tr>
    </w:tbl>
    <w:p w14:paraId="44AA6CD4"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3" w:name="_Toc19715761"/>
      <w:bookmarkStart w:id="334" w:name="_Toc151714405"/>
      <w:r w:rsidRPr="002A677E">
        <w:rPr>
          <w:rFonts w:ascii="Times New Roman" w:hAnsi="Times New Roman" w:cs="Times New Roman"/>
          <w:sz w:val="24"/>
          <w:lang w:val="en-GB"/>
        </w:rPr>
        <w:t xml:space="preserve">C 08.05 -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(Back-testing of PD (CR IRB 5))</w:t>
      </w:r>
      <w:bookmarkEnd w:id="333"/>
      <w:bookmarkEnd w:id="334"/>
    </w:p>
    <w:p w14:paraId="591DD4EF"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5" w:name="_Toc19715762"/>
      <w:bookmarkStart w:id="336" w:name="_Toc151714406"/>
      <w:r w:rsidRPr="002A677E">
        <w:rPr>
          <w:rFonts w:ascii="Times New Roman" w:hAnsi="Times New Roman" w:cs="Times New Roman"/>
          <w:sz w:val="24"/>
          <w:lang w:val="en-GB"/>
        </w:rPr>
        <w:t>General remarks</w:t>
      </w:r>
      <w:bookmarkEnd w:id="335"/>
      <w:bookmarkEnd w:id="336"/>
    </w:p>
    <w:p w14:paraId="687EBF72" w14:textId="165D53A0"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80</w:t>
      </w:r>
      <w:r>
        <w:fldChar w:fldCharType="end"/>
      </w:r>
      <w:r w:rsidR="008151A6" w:rsidRPr="002A677E">
        <w:t>. Institutions shall report the information included in this template in a</w:t>
      </w:r>
      <w:r w:rsidR="00AF6F2C" w:rsidRPr="002A677E">
        <w:t>pplication of Article 452</w:t>
      </w:r>
      <w:r w:rsidR="00B83DDE">
        <w:t>, p</w:t>
      </w:r>
      <w:r w:rsidR="00E1685B" w:rsidRPr="002A677E">
        <w:t>oint (h)</w:t>
      </w:r>
      <w:r w:rsidR="00BE1277">
        <w:t>,</w:t>
      </w:r>
      <w:r w:rsidR="00E1685B" w:rsidRPr="002A677E">
        <w:t xml:space="preserve"> </w:t>
      </w:r>
      <w:r w:rsidR="002F11F3" w:rsidRPr="001235ED">
        <w:rPr>
          <w:lang w:val="en-US"/>
        </w:rPr>
        <w:t>of Regulation (EU) No 575/2013</w:t>
      </w:r>
      <w:r w:rsidR="008151A6" w:rsidRPr="002A677E">
        <w:t>.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w:t>
      </w:r>
      <w:r w:rsidR="002F11F3" w:rsidRPr="002A677E">
        <w:t>,</w:t>
      </w:r>
      <w:r w:rsidR="008151A6" w:rsidRPr="002A677E">
        <w:t xml:space="preserve"> </w:t>
      </w:r>
      <w:r w:rsidR="002F11F3" w:rsidRPr="002A677E">
        <w:t xml:space="preserve">Title II, Chapter 6 </w:t>
      </w:r>
      <w:r w:rsidR="002F11F3" w:rsidRPr="001235ED">
        <w:rPr>
          <w:lang w:val="en-US"/>
        </w:rPr>
        <w:t>of Regulation (EU) No 575/2013</w:t>
      </w:r>
      <w:r w:rsidR="008151A6" w:rsidRPr="002A677E">
        <w:t>).</w:t>
      </w:r>
    </w:p>
    <w:p w14:paraId="61836475" w14:textId="3AA4C8C2"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7" w:name="_Toc19715763"/>
      <w:bookmarkStart w:id="338" w:name="_Toc151714407"/>
      <w:r w:rsidRPr="002A677E">
        <w:rPr>
          <w:rFonts w:ascii="Times New Roman" w:hAnsi="Times New Roman" w:cs="Times New Roman"/>
          <w:sz w:val="24"/>
          <w:lang w:val="en-GB"/>
        </w:rPr>
        <w:t>Instructions concerning specific positions</w:t>
      </w:r>
      <w:bookmarkEnd w:id="337"/>
      <w:bookmarkEnd w:id="33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sidRPr="002A677E">
              <w:rPr>
                <w:rFonts w:ascii="Times New Roman" w:hAnsi="Times New Roman"/>
                <w:b/>
                <w:sz w:val="24"/>
                <w:u w:val="single"/>
              </w:rPr>
              <w:t>ARITHMETIC AVERAGE PD (%)</w:t>
            </w:r>
          </w:p>
          <w:p w14:paraId="40F24620" w14:textId="77777777" w:rsidR="008151A6" w:rsidRPr="002A677E" w:rsidRDefault="00463F88" w:rsidP="00E50FA0">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2</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xml:space="preserve">NUMBER OF OBLIGORS AT THE END OF THE </w:t>
            </w:r>
            <w:r w:rsidR="001A370B" w:rsidRPr="002A677E">
              <w:rPr>
                <w:rFonts w:ascii="Times New Roman" w:hAnsi="Times New Roman"/>
                <w:b/>
                <w:sz w:val="24"/>
                <w:u w:val="single"/>
              </w:rPr>
              <w:t xml:space="preserve">PREVIOUS </w:t>
            </w:r>
            <w:r w:rsidRPr="002A677E">
              <w:rPr>
                <w:rFonts w:ascii="Times New Roman" w:hAnsi="Times New Roman"/>
                <w:b/>
                <w:sz w:val="24"/>
                <w:u w:val="single"/>
              </w:rPr>
              <w:t>YEAR</w:t>
            </w:r>
          </w:p>
          <w:p w14:paraId="05E936FE" w14:textId="77777777" w:rsidR="00E50FA0" w:rsidRPr="002A677E" w:rsidRDefault="008151A6" w:rsidP="00463F88">
            <w:pPr>
              <w:rPr>
                <w:rFonts w:ascii="Times New Roman" w:hAnsi="Times New Roman"/>
                <w:sz w:val="24"/>
              </w:rPr>
            </w:pPr>
            <w:r w:rsidRPr="002A677E">
              <w:rPr>
                <w:rFonts w:ascii="Times New Roman" w:hAnsi="Times New Roman"/>
                <w:sz w:val="24"/>
              </w:rPr>
              <w:t xml:space="preserve">Number of obligors at the end of the </w:t>
            </w:r>
            <w:r w:rsidR="001A370B" w:rsidRPr="002A677E">
              <w:rPr>
                <w:rFonts w:ascii="Times New Roman" w:hAnsi="Times New Roman"/>
                <w:sz w:val="24"/>
              </w:rPr>
              <w:t xml:space="preserve">previous </w:t>
            </w:r>
            <w:r w:rsidRPr="002A677E">
              <w:rPr>
                <w:rFonts w:ascii="Times New Roman" w:hAnsi="Times New Roman"/>
                <w:sz w:val="24"/>
              </w:rPr>
              <w:t xml:space="preserve">year subject to reporting </w:t>
            </w:r>
          </w:p>
          <w:p w14:paraId="5EEF69D7" w14:textId="77777777" w:rsidR="00463F88" w:rsidRPr="002A677E" w:rsidRDefault="008151A6" w:rsidP="00463F88">
            <w:pPr>
              <w:rPr>
                <w:rFonts w:ascii="Times New Roman" w:hAnsi="Times New Roman"/>
                <w:sz w:val="24"/>
              </w:rPr>
            </w:pPr>
            <w:r w:rsidRPr="002A677E">
              <w:rPr>
                <w:rFonts w:ascii="Times New Roman" w:hAnsi="Times New Roman"/>
                <w:sz w:val="24"/>
              </w:rPr>
              <w:lastRenderedPageBreak/>
              <w:t xml:space="preserve">All obligors carrying a credit obligation at the relevant point in time shall be included. </w:t>
            </w:r>
          </w:p>
          <w:p w14:paraId="21BC54D4" w14:textId="77777777" w:rsidR="008151A6" w:rsidRPr="002A677E" w:rsidRDefault="008A0983" w:rsidP="008A0983">
            <w:pPr>
              <w:rPr>
                <w:rFonts w:ascii="Times New Roman" w:hAnsi="Times New Roman"/>
                <w:sz w:val="24"/>
              </w:rPr>
            </w:pPr>
            <w:r w:rsidRPr="002A677E">
              <w:rPr>
                <w:rFonts w:ascii="Times New Roman" w:hAnsi="Times New Roman"/>
                <w:sz w:val="24"/>
              </w:rPr>
              <w:t xml:space="preserve">The number of obligors shall be counted in accordance with the instructions in column </w:t>
            </w:r>
            <w:r w:rsidR="001452FC" w:rsidRPr="002A677E">
              <w:rPr>
                <w:rFonts w:ascii="Times New Roman" w:hAnsi="Times New Roman"/>
                <w:sz w:val="24"/>
              </w:rPr>
              <w:t>0</w:t>
            </w:r>
            <w:r w:rsidRPr="002A677E">
              <w:rPr>
                <w:rFonts w:ascii="Times New Roman" w:hAnsi="Times New Roman"/>
                <w:sz w:val="24"/>
              </w:rPr>
              <w:t>300 of template C 08.01.</w:t>
            </w:r>
            <w:r w:rsidR="001A370B" w:rsidRPr="002A677E">
              <w:rPr>
                <w:rFonts w:ascii="Times New Roman" w:hAnsi="Times New Roman"/>
                <w:sz w:val="24"/>
              </w:rPr>
              <w:t xml:space="preserve"> Joint obligors shall be treated the same as for the purpose of PD calibration.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sidRPr="002A677E">
              <w:rPr>
                <w:rFonts w:ascii="Times New Roman" w:hAnsi="Times New Roman"/>
                <w:sz w:val="24"/>
              </w:rPr>
              <w:lastRenderedPageBreak/>
              <w:t>00</w:t>
            </w:r>
            <w:r w:rsidR="00F66371"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 WHICH: DEFAULTED DURING THE YEAR</w:t>
            </w:r>
          </w:p>
          <w:p w14:paraId="093B6F35" w14:textId="77777777" w:rsidR="00E50FA0"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8260464" w14:textId="2459A94A"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5835CBF" w14:textId="77777777" w:rsidR="008151A6" w:rsidRPr="002A677E" w:rsidRDefault="008151A6" w:rsidP="00664874">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OBSERVED AVERAGE DEFAULT RATE (%)</w:t>
            </w:r>
          </w:p>
          <w:p w14:paraId="0E98A019" w14:textId="1DD0DEA8"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sidR="00B83DDE">
              <w:rPr>
                <w:rFonts w:ascii="Times New Roman" w:hAnsi="Times New Roman"/>
                <w:sz w:val="24"/>
              </w:rPr>
              <w:t>, p</w:t>
            </w:r>
            <w:r w:rsidR="00E1685B" w:rsidRPr="002A677E">
              <w:rPr>
                <w:rFonts w:ascii="Times New Roman" w:hAnsi="Times New Roman"/>
                <w:sz w:val="24"/>
              </w:rPr>
              <w:t>oint (78)</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1042A405"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679B0B7C"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w:t>
            </w:r>
            <w:r w:rsidR="002754C0" w:rsidRPr="002A677E">
              <w:rPr>
                <w:rFonts w:ascii="Times New Roman" w:hAnsi="Times New Roman"/>
                <w:sz w:val="24"/>
              </w:rPr>
              <w:t xml:space="preserve"> (</w:t>
            </w:r>
            <w:r w:rsidR="00A5427A" w:rsidRPr="002A677E">
              <w:rPr>
                <w:rFonts w:ascii="Times New Roman" w:hAnsi="Times New Roman"/>
                <w:sz w:val="24"/>
              </w:rPr>
              <w:t>i.e. beginning of the year prior to the reporting reference date</w:t>
            </w:r>
            <w:r w:rsidR="002754C0" w:rsidRPr="002A677E">
              <w:rPr>
                <w:rFonts w:ascii="Times New Roman" w:hAnsi="Times New Roman"/>
                <w:sz w:val="24"/>
              </w:rPr>
              <w:t>)</w:t>
            </w:r>
            <w:r w:rsidRPr="002A677E">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421492AD" w14:textId="77777777" w:rsidR="008151A6" w:rsidRPr="002A677E" w:rsidRDefault="008151A6" w:rsidP="00664874">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w:t>
            </w:r>
            <w:r w:rsidR="002754C0" w:rsidRPr="002A677E">
              <w:rPr>
                <w:rFonts w:ascii="Times New Roman" w:hAnsi="Times New Roman"/>
                <w:sz w:val="24"/>
              </w:rPr>
              <w:t xml:space="preserve"> (year prior to the </w:t>
            </w:r>
            <w:r w:rsidR="0079311D" w:rsidRPr="002A677E">
              <w:rPr>
                <w:rFonts w:ascii="Times New Roman" w:hAnsi="Times New Roman"/>
                <w:sz w:val="24"/>
              </w:rPr>
              <w:t>reporting</w:t>
            </w:r>
            <w:r w:rsidR="002754C0" w:rsidRPr="002A677E">
              <w:rPr>
                <w:rFonts w:ascii="Times New Roman" w:hAnsi="Times New Roman"/>
                <w:sz w:val="24"/>
              </w:rPr>
              <w:t xml:space="preserve"> reference date)</w:t>
            </w:r>
            <w:r w:rsidRPr="002A677E">
              <w:rPr>
                <w:rFonts w:ascii="Times New Roman" w:hAnsi="Times New Roman"/>
                <w:sz w:val="24"/>
              </w:rPr>
              <w:t>.</w:t>
            </w:r>
          </w:p>
          <w:p w14:paraId="2A4BCFA4" w14:textId="77777777" w:rsidR="008151A6" w:rsidRPr="002A677E" w:rsidRDefault="008151A6" w:rsidP="00851278">
            <w:pPr>
              <w:rPr>
                <w:rFonts w:ascii="Times New Roman" w:hAnsi="Times New Roman"/>
                <w:sz w:val="24"/>
              </w:rPr>
            </w:pPr>
            <w:r w:rsidRPr="002A677E">
              <w:rPr>
                <w:rFonts w:ascii="Times New Roman" w:hAnsi="Times New Roman"/>
                <w:sz w:val="24"/>
              </w:rPr>
              <w:t xml:space="preserve">Regarding the calculation of the number of obligors see </w:t>
            </w:r>
            <w:r w:rsidR="002771C5" w:rsidRPr="002A677E">
              <w:rPr>
                <w:rFonts w:ascii="Times New Roman" w:hAnsi="Times New Roman"/>
                <w:sz w:val="24"/>
              </w:rPr>
              <w:t>column 0300 of template C 08.01</w:t>
            </w:r>
            <w:r w:rsidRPr="002A677E">
              <w:rPr>
                <w:rFonts w:ascii="Times New Roman" w:hAnsi="Times New Roman"/>
                <w:sz w:val="24"/>
              </w:rPr>
              <w: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sidRPr="002A677E">
              <w:rPr>
                <w:rFonts w:ascii="Times New Roman" w:hAnsi="Times New Roman"/>
                <w:b/>
                <w:sz w:val="24"/>
                <w:u w:val="single"/>
              </w:rPr>
              <w:t>AVERAGE HISTORICAL ANNUAL DEFAULT RATE</w:t>
            </w:r>
            <w:r w:rsidR="00747FFA" w:rsidRPr="002A677E">
              <w:rPr>
                <w:rFonts w:ascii="Times New Roman" w:hAnsi="Times New Roman"/>
                <w:b/>
                <w:sz w:val="24"/>
                <w:u w:val="single"/>
              </w:rPr>
              <w:t xml:space="preserve"> (%)</w:t>
            </w:r>
          </w:p>
          <w:p w14:paraId="3A64B738" w14:textId="77777777" w:rsidR="008151A6" w:rsidRPr="002A677E" w:rsidRDefault="00A5427A" w:rsidP="008E0688">
            <w:pPr>
              <w:rPr>
                <w:rFonts w:ascii="Times New Roman" w:hAnsi="Times New Roman"/>
                <w:sz w:val="24"/>
              </w:rPr>
            </w:pPr>
            <w:r w:rsidRPr="002A677E">
              <w:rPr>
                <w:rFonts w:ascii="Times New Roman" w:hAnsi="Times New Roman"/>
                <w:sz w:val="24"/>
              </w:rPr>
              <w:t xml:space="preserve">The simple average of the annual default rate of the five most recent years </w:t>
            </w:r>
            <w:r w:rsidR="002754C0" w:rsidRPr="002A677E">
              <w:rPr>
                <w:rFonts w:ascii="Times New Roman" w:hAnsi="Times New Roman"/>
                <w:sz w:val="24"/>
              </w:rPr>
              <w:t>(obligors at the beginning of each year that are defaulted during that year/total obligor</w:t>
            </w:r>
            <w:r w:rsidR="008E0688" w:rsidRPr="002A677E">
              <w:rPr>
                <w:rFonts w:ascii="Times New Roman" w:hAnsi="Times New Roman"/>
                <w:sz w:val="24"/>
              </w:rPr>
              <w:t>s</w:t>
            </w:r>
            <w:r w:rsidR="002754C0" w:rsidRPr="002A677E">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14:paraId="5719C724" w14:textId="77777777" w:rsidR="008151A6" w:rsidRPr="002A677E" w:rsidRDefault="008151A6" w:rsidP="0047337A">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714EDA77">
        <w:tc>
          <w:tcPr>
            <w:tcW w:w="1271" w:type="dxa"/>
            <w:shd w:val="clear" w:color="auto" w:fill="auto"/>
          </w:tcPr>
          <w:p w14:paraId="12F990D0"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0B354226"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2138DA81" w14:textId="155DE490" w:rsidR="008151A6" w:rsidRPr="002A677E" w:rsidRDefault="008151A6" w:rsidP="00463F88">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w:t>
            </w:r>
            <w:r w:rsidR="002754C0" w:rsidRPr="002A677E">
              <w:rPr>
                <w:rFonts w:ascii="Times New Roman" w:hAnsi="Times New Roman"/>
                <w:sz w:val="24"/>
              </w:rPr>
              <w:t xml:space="preserve">at the beginning of the </w:t>
            </w:r>
            <w:r w:rsidR="00747FFA" w:rsidRPr="002A677E">
              <w:rPr>
                <w:rFonts w:ascii="Times New Roman" w:hAnsi="Times New Roman"/>
                <w:sz w:val="24"/>
              </w:rPr>
              <w:t>reporting</w:t>
            </w:r>
            <w:r w:rsidR="002754C0" w:rsidRPr="002A677E">
              <w:rPr>
                <w:rFonts w:ascii="Times New Roman" w:hAnsi="Times New Roman"/>
                <w:sz w:val="24"/>
              </w:rPr>
              <w:t xml:space="preserve"> period </w:t>
            </w:r>
            <w:r w:rsidRPr="002A677E">
              <w:rPr>
                <w:rFonts w:ascii="Times New Roman" w:hAnsi="Times New Roman"/>
                <w:sz w:val="24"/>
              </w:rPr>
              <w:t xml:space="preserve">for each obligor assigned to this exposure class (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6CCC7E67" w14:textId="3DA6DD2B"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9" w:name="_Toc19715764"/>
      <w:bookmarkStart w:id="340" w:name="_Toc151714408"/>
      <w:r w:rsidRPr="002A677E">
        <w:rPr>
          <w:rFonts w:ascii="Times New Roman" w:hAnsi="Times New Roman" w:cs="Times New Roman"/>
          <w:sz w:val="24"/>
          <w:lang w:val="en-GB"/>
        </w:rPr>
        <w:lastRenderedPageBreak/>
        <w:t>C 08.05</w:t>
      </w:r>
      <w:r w:rsidR="00AA72D7" w:rsidRPr="002A677E">
        <w:rPr>
          <w:rFonts w:ascii="Times New Roman" w:hAnsi="Times New Roman" w:cs="Times New Roman"/>
          <w:sz w:val="24"/>
          <w:lang w:val="en-GB"/>
        </w:rPr>
        <w:t>.1</w:t>
      </w:r>
      <w:r w:rsidRPr="002A677E">
        <w:rPr>
          <w:rFonts w:ascii="Times New Roman" w:hAnsi="Times New Roman" w:cs="Times New Roman"/>
          <w:sz w:val="24"/>
          <w:lang w:val="en-GB"/>
        </w:rPr>
        <w:t xml:space="preserve">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w:t>
      </w:r>
      <w:r w:rsidR="00552BF3" w:rsidRPr="002A677E">
        <w:rPr>
          <w:rFonts w:ascii="Times New Roman" w:hAnsi="Times New Roman" w:cs="Times New Roman"/>
          <w:sz w:val="24"/>
          <w:lang w:val="en-GB"/>
        </w:rPr>
        <w:t>:</w:t>
      </w:r>
      <w:r w:rsidR="0048345E"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 xml:space="preserve">Back-testing of PD </w:t>
      </w:r>
      <w:r w:rsidR="00E34533" w:rsidRPr="002A677E">
        <w:rPr>
          <w:rFonts w:ascii="Times New Roman" w:hAnsi="Times New Roman" w:cs="Times New Roman"/>
          <w:sz w:val="24"/>
          <w:lang w:val="en-GB"/>
        </w:rPr>
        <w:t>in accordance with Article 180(1)</w:t>
      </w:r>
      <w:r w:rsidR="00B83DDE">
        <w:rPr>
          <w:rFonts w:ascii="Times New Roman" w:hAnsi="Times New Roman" w:cs="Times New Roman"/>
          <w:sz w:val="24"/>
          <w:lang w:val="en-GB"/>
        </w:rPr>
        <w:t>, p</w:t>
      </w:r>
      <w:r w:rsidR="00E34533" w:rsidRPr="002A677E">
        <w:rPr>
          <w:rFonts w:ascii="Times New Roman" w:hAnsi="Times New Roman" w:cs="Times New Roman"/>
          <w:sz w:val="24"/>
          <w:lang w:val="en-GB"/>
        </w:rPr>
        <w:t>oint (f)</w:t>
      </w:r>
      <w:r w:rsidR="00BE1277">
        <w:rPr>
          <w:rFonts w:ascii="Times New Roman" w:hAnsi="Times New Roman" w:cs="Times New Roman"/>
          <w:sz w:val="24"/>
          <w:lang w:val="en-GB"/>
        </w:rPr>
        <w:t>,</w:t>
      </w:r>
      <w:r w:rsidR="00E34533" w:rsidRPr="002A677E">
        <w:rPr>
          <w:rFonts w:ascii="Times New Roman" w:hAnsi="Times New Roman" w:cs="Times New Roman"/>
          <w:sz w:val="24"/>
          <w:lang w:val="en-GB"/>
        </w:rPr>
        <w:t xml:space="preserve"> of Regulation (EU) No 575/2013 </w:t>
      </w:r>
      <w:r w:rsidRPr="002A677E">
        <w:rPr>
          <w:rFonts w:ascii="Times New Roman" w:hAnsi="Times New Roman" w:cs="Times New Roman"/>
          <w:sz w:val="24"/>
          <w:lang w:val="en-GB"/>
        </w:rPr>
        <w:t>(CR IRB 5B)</w:t>
      </w:r>
      <w:bookmarkEnd w:id="339"/>
      <w:bookmarkEnd w:id="340"/>
    </w:p>
    <w:p w14:paraId="7C1A279B"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41" w:name="_Toc19715765"/>
      <w:bookmarkStart w:id="342" w:name="_Toc151714409"/>
      <w:r w:rsidRPr="002A677E">
        <w:rPr>
          <w:rFonts w:ascii="Times New Roman" w:hAnsi="Times New Roman" w:cs="Times New Roman"/>
          <w:sz w:val="24"/>
          <w:lang w:val="en-GB"/>
        </w:rPr>
        <w:t>Instructions concerning specific positions</w:t>
      </w:r>
      <w:bookmarkEnd w:id="341"/>
      <w:bookmarkEnd w:id="342"/>
    </w:p>
    <w:p w14:paraId="126E5E9F" w14:textId="4E162E12"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81</w:t>
      </w:r>
      <w:r>
        <w:fldChar w:fldCharType="end"/>
      </w:r>
      <w:r w:rsidR="008151A6" w:rsidRPr="002A677E">
        <w:t xml:space="preserve">. </w:t>
      </w:r>
      <w:r w:rsidR="00B7583B" w:rsidRPr="002A677E">
        <w:t>In addition to template C 08.05, institutions shall report information included in template C</w:t>
      </w:r>
      <w:r w:rsidR="00DC0A81" w:rsidRPr="002A677E">
        <w:t xml:space="preserve"> </w:t>
      </w:r>
      <w:r w:rsidR="00B7583B" w:rsidRPr="002A677E">
        <w:t>08.05</w:t>
      </w:r>
      <w:r w:rsidR="00AA72D7" w:rsidRPr="002A677E">
        <w:t>.1</w:t>
      </w:r>
      <w:r w:rsidR="00B7583B" w:rsidRPr="002A677E">
        <w:t xml:space="preserve"> in case that they apply Article 180(1)</w:t>
      </w:r>
      <w:r w:rsidR="00B83DDE">
        <w:t>, p</w:t>
      </w:r>
      <w:r w:rsidR="00E1685B" w:rsidRPr="002A677E">
        <w:t>oint (f)</w:t>
      </w:r>
      <w:r w:rsidR="00BE1277">
        <w:t>,</w:t>
      </w:r>
      <w:r w:rsidR="00E1685B" w:rsidRPr="002A677E">
        <w:t xml:space="preserve"> </w:t>
      </w:r>
      <w:r w:rsidR="002F11F3" w:rsidRPr="001235ED">
        <w:rPr>
          <w:lang w:val="en-US"/>
        </w:rPr>
        <w:t>of Regulation (EU) No 575/2013</w:t>
      </w:r>
      <w:r w:rsidR="00B7583B"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PD RANGE</w:t>
            </w:r>
          </w:p>
          <w:p w14:paraId="475EE092" w14:textId="77777777" w:rsidR="008151A6" w:rsidRPr="002A677E" w:rsidRDefault="008151A6" w:rsidP="00664874">
            <w:pPr>
              <w:rPr>
                <w:rFonts w:ascii="Times New Roman" w:hAnsi="Times New Roman"/>
                <w:sz w:val="24"/>
              </w:rPr>
            </w:pPr>
            <w:r w:rsidRPr="002A677E">
              <w:rPr>
                <w:rFonts w:ascii="Times New Roman" w:hAnsi="Times New Roman"/>
                <w:noProof/>
                <w:sz w:val="24"/>
              </w:rPr>
              <w:t xml:space="preserve">Institutions shall report the PD ranges </w:t>
            </w:r>
            <w:r w:rsidR="00EA1F5A"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EXTERNAL RATING EQUIVALENT</w:t>
            </w:r>
          </w:p>
          <w:p w14:paraId="7891F0E7" w14:textId="4AEDBED9" w:rsidR="008151A6" w:rsidRPr="002A677E" w:rsidRDefault="00B7583B" w:rsidP="00E1685B">
            <w:pPr>
              <w:rPr>
                <w:rFonts w:ascii="Times New Roman" w:hAnsi="Times New Roman"/>
                <w:sz w:val="24"/>
              </w:rPr>
            </w:pPr>
            <w:r w:rsidRPr="002A677E">
              <w:rPr>
                <w:rFonts w:ascii="Times New Roman" w:hAnsi="Times New Roman"/>
                <w:sz w:val="24"/>
              </w:rPr>
              <w:t>Institutions shall report one column for each ECAI considered following Article 180(1)</w:t>
            </w:r>
            <w:r w:rsidR="00B83DDE">
              <w:rPr>
                <w:rFonts w:ascii="Times New Roman" w:hAnsi="Times New Roman"/>
                <w:sz w:val="24"/>
              </w:rPr>
              <w:t>, p</w:t>
            </w:r>
            <w:r w:rsidR="00E1685B" w:rsidRPr="002A677E">
              <w:rPr>
                <w:rFonts w:ascii="Times New Roman" w:hAnsi="Times New Roman"/>
                <w:sz w:val="24"/>
              </w:rPr>
              <w:t>oint (f)</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07187BAF"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43" w:name="_Toc19715766"/>
      <w:bookmarkStart w:id="344" w:name="_Toc151714410"/>
      <w:r w:rsidRPr="002A677E">
        <w:rPr>
          <w:rFonts w:ascii="Times New Roman" w:hAnsi="Times New Roman" w:cs="Times New Roman"/>
          <w:sz w:val="24"/>
          <w:lang w:val="en-GB"/>
        </w:rPr>
        <w:t xml:space="preserve">C 08.06 - Credit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 xml:space="preserve">pproach to Capital Requirements (Specialised lending slotting </w:t>
      </w:r>
      <w:r w:rsidR="003D14AE" w:rsidRPr="002A677E">
        <w:rPr>
          <w:rFonts w:ascii="Times New Roman" w:hAnsi="Times New Roman" w:cs="Times New Roman"/>
          <w:sz w:val="24"/>
          <w:lang w:val="en-GB"/>
        </w:rPr>
        <w:t>approach</w:t>
      </w:r>
      <w:r w:rsidRPr="002A677E">
        <w:rPr>
          <w:rFonts w:ascii="Times New Roman" w:hAnsi="Times New Roman" w:cs="Times New Roman"/>
          <w:sz w:val="24"/>
          <w:lang w:val="en-GB"/>
        </w:rPr>
        <w:t xml:space="preserve"> (CR IRB 6))</w:t>
      </w:r>
      <w:bookmarkEnd w:id="343"/>
      <w:bookmarkEnd w:id="344"/>
    </w:p>
    <w:p w14:paraId="514D936F"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45" w:name="_Toc19715767"/>
      <w:bookmarkStart w:id="346" w:name="_Toc151714411"/>
      <w:r w:rsidRPr="002A677E">
        <w:rPr>
          <w:rFonts w:ascii="Times New Roman" w:hAnsi="Times New Roman" w:cs="Times New Roman"/>
          <w:sz w:val="24"/>
          <w:lang w:val="en-GB"/>
        </w:rPr>
        <w:t>General remarks</w:t>
      </w:r>
      <w:bookmarkEnd w:id="345"/>
      <w:bookmarkEnd w:id="346"/>
    </w:p>
    <w:p w14:paraId="281DDF45" w14:textId="43F24680"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82</w:t>
      </w:r>
      <w:r>
        <w:fldChar w:fldCharType="end"/>
      </w:r>
      <w:r w:rsidR="008151A6" w:rsidRPr="002A677E">
        <w:t xml:space="preserve">. Institutions shall report the information included in this template in application of </w:t>
      </w:r>
      <w:r w:rsidR="0044539D" w:rsidRPr="002A677E">
        <w:t>Article 43</w:t>
      </w:r>
      <w:r w:rsidR="00EA45F4" w:rsidRPr="002A677E">
        <w:t>8</w:t>
      </w:r>
      <w:r w:rsidR="00B83DDE">
        <w:t>, p</w:t>
      </w:r>
      <w:r w:rsidR="00E1685B" w:rsidRPr="002A677E">
        <w:t>oint (e)</w:t>
      </w:r>
      <w:r w:rsidR="00BE1277">
        <w:t>,</w:t>
      </w:r>
      <w:r w:rsidR="00E1685B" w:rsidRPr="002A677E">
        <w:t xml:space="preserve"> </w:t>
      </w:r>
      <w:r w:rsidR="002F11F3" w:rsidRPr="001235ED">
        <w:rPr>
          <w:lang w:val="en-US"/>
        </w:rPr>
        <w:t>of Regulation (EU) No 575/2013</w:t>
      </w:r>
      <w:r w:rsidR="008151A6" w:rsidRPr="002A677E">
        <w:t>. Institutions shall report information on the following types of specialised lending exposures</w:t>
      </w:r>
      <w:r w:rsidR="00E71171" w:rsidRPr="002A677E">
        <w:t xml:space="preserve"> </w:t>
      </w:r>
      <w:r w:rsidR="003D07E3" w:rsidRPr="002A677E">
        <w:t>referred to in Table 1 of Article 153(5):</w:t>
      </w:r>
    </w:p>
    <w:p w14:paraId="1D0B1AA8" w14:textId="77777777" w:rsidR="008151A6" w:rsidRPr="002A677E" w:rsidRDefault="008151A6" w:rsidP="0047337A">
      <w:pPr>
        <w:pStyle w:val="InstructionsText2"/>
        <w:numPr>
          <w:ilvl w:val="0"/>
          <w:numId w:val="0"/>
        </w:numPr>
        <w:ind w:left="1080"/>
      </w:pPr>
      <w:r>
        <w:t>Project finance</w:t>
      </w:r>
    </w:p>
    <w:p w14:paraId="4E0A6889" w14:textId="48E7FF01" w:rsidR="008151A6" w:rsidRPr="002A677E" w:rsidRDefault="008151A6" w:rsidP="0047337A">
      <w:pPr>
        <w:pStyle w:val="InstructionsText2"/>
        <w:numPr>
          <w:ilvl w:val="0"/>
          <w:numId w:val="0"/>
        </w:numPr>
        <w:ind w:left="1080"/>
      </w:pPr>
      <w:r>
        <w:t>Income-producing real estate and</w:t>
      </w:r>
      <w:r w:rsidR="00402284">
        <w:t xml:space="preserve"> </w:t>
      </w:r>
      <w:r>
        <w:t>high volatility commercial real estate</w:t>
      </w:r>
    </w:p>
    <w:p w14:paraId="005930E1" w14:textId="77777777" w:rsidR="008151A6" w:rsidRPr="002A677E" w:rsidRDefault="008151A6" w:rsidP="0047337A">
      <w:pPr>
        <w:pStyle w:val="InstructionsText2"/>
        <w:numPr>
          <w:ilvl w:val="0"/>
          <w:numId w:val="0"/>
        </w:numPr>
        <w:ind w:left="1080"/>
      </w:pPr>
      <w:r>
        <w:t>Object finance</w:t>
      </w:r>
    </w:p>
    <w:p w14:paraId="78B4EACC" w14:textId="77777777" w:rsidR="008151A6" w:rsidRPr="002A677E" w:rsidRDefault="008151A6" w:rsidP="00B055FF">
      <w:pPr>
        <w:pStyle w:val="InstructionsText2"/>
        <w:numPr>
          <w:ilvl w:val="1"/>
          <w:numId w:val="15"/>
        </w:numPr>
      </w:pPr>
      <w:r>
        <w:t>Commodities finance</w:t>
      </w:r>
    </w:p>
    <w:p w14:paraId="4FA083C1" w14:textId="3D34F7EB"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47" w:name="_Toc19715768"/>
      <w:bookmarkStart w:id="348" w:name="_Toc151714412"/>
      <w:r w:rsidRPr="002A677E">
        <w:rPr>
          <w:rFonts w:ascii="Times New Roman" w:hAnsi="Times New Roman" w:cs="Times New Roman"/>
          <w:sz w:val="24"/>
          <w:lang w:val="en-GB"/>
        </w:rPr>
        <w:t>Instructions concerning specific positions</w:t>
      </w:r>
      <w:bookmarkEnd w:id="347"/>
      <w:bookmarkEnd w:id="34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ORIGINAL EXPOSURE PRE CONVERSION FACTORS</w:t>
            </w:r>
          </w:p>
          <w:p w14:paraId="32A139DA"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3A653499"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4ABA7FFD" w14:textId="77777777" w:rsidR="008151A6" w:rsidRPr="002A677E" w:rsidRDefault="008151A6" w:rsidP="00664874">
            <w:pPr>
              <w:rPr>
                <w:rFonts w:ascii="Times New Roman" w:hAnsi="Times New Roman"/>
                <w:sz w:val="24"/>
              </w:rPr>
            </w:pPr>
            <w:r w:rsidRPr="002A677E">
              <w:rPr>
                <w:rFonts w:ascii="Times New Roman" w:hAnsi="Times New Roman"/>
                <w:sz w:val="24"/>
              </w:rPr>
              <w:t>See CR-SA instructions</w:t>
            </w:r>
            <w:r w:rsidR="002771C5" w:rsidRPr="002A677E">
              <w:rPr>
                <w:rFonts w:ascii="Times New Roman" w:hAnsi="Times New Roman"/>
                <w:sz w:val="24"/>
              </w:rPr>
              <w: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w:t>
            </w:r>
          </w:p>
          <w:p w14:paraId="1609B101"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016DCD4A" w14:textId="77777777" w:rsidR="008151A6" w:rsidRPr="002A677E" w:rsidRDefault="008151A6" w:rsidP="00664874">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w:t>
            </w:r>
          </w:p>
          <w:p w14:paraId="2750035C" w14:textId="6DBC2F7B" w:rsidR="002771C5" w:rsidRPr="002A677E" w:rsidRDefault="0044539D" w:rsidP="00664874">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p>
          <w:p w14:paraId="439D994B"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17782A0B"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08085964"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VALUE ADJUSTMENTS AND PROVISIONS</w:t>
            </w:r>
          </w:p>
          <w:p w14:paraId="29980C9F"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bl>
    <w:p w14:paraId="4517997D" w14:textId="77777777" w:rsidR="008151A6" w:rsidRPr="002A677E" w:rsidRDefault="008151A6" w:rsidP="007D633B">
      <w:pPr>
        <w:pStyle w:val="body"/>
      </w:pPr>
      <w:bookmarkStart w:id="349"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sidRPr="002A677E">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Article 153</w:t>
            </w:r>
            <w:r w:rsidR="0044539D" w:rsidRPr="002A677E">
              <w:rPr>
                <w:rFonts w:ascii="Times New Roman" w:hAnsi="Times New Roman"/>
                <w:sz w:val="24"/>
              </w:rPr>
              <w:t>(5)</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table 1 </w:t>
            </w:r>
            <w:r w:rsidR="002F11F3" w:rsidRPr="001235ED">
              <w:rPr>
                <w:rFonts w:ascii="Times New Roman" w:hAnsi="Times New Roman"/>
                <w:sz w:val="24"/>
                <w:lang w:val="en-US"/>
              </w:rPr>
              <w:t>of Regulation (EU) No 575/2013</w:t>
            </w:r>
            <w:r w:rsidRPr="002A677E">
              <w:rPr>
                <w:rFonts w:ascii="Times New Roman" w:hAnsi="Times New Roman"/>
                <w:sz w:val="24"/>
              </w:rPr>
              <w:t>.</w:t>
            </w:r>
          </w:p>
        </w:tc>
      </w:tr>
    </w:tbl>
    <w:p w14:paraId="1BC28387" w14:textId="77777777" w:rsidR="008151A6" w:rsidRPr="002A677E" w:rsidRDefault="008151A6" w:rsidP="007D633B">
      <w:pPr>
        <w:pStyle w:val="body"/>
      </w:pPr>
    </w:p>
    <w:p w14:paraId="103C9A34"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50" w:name="_Toc151714413"/>
      <w:r w:rsidRPr="002A677E">
        <w:rPr>
          <w:rFonts w:ascii="Times New Roman" w:hAnsi="Times New Roman" w:cs="Times New Roman"/>
          <w:sz w:val="24"/>
          <w:lang w:val="en-GB"/>
        </w:rPr>
        <w:t xml:space="preserve">C 08.07 -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(Scope of use of IRB and SA approaches (CR IRB 7))</w:t>
      </w:r>
      <w:bookmarkEnd w:id="349"/>
      <w:bookmarkEnd w:id="350"/>
    </w:p>
    <w:p w14:paraId="7FF46D4A"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51" w:name="_Toc19715770"/>
      <w:bookmarkStart w:id="352" w:name="_Toc151714414"/>
      <w:r w:rsidRPr="002A677E">
        <w:rPr>
          <w:rFonts w:ascii="Times New Roman" w:hAnsi="Times New Roman" w:cs="Times New Roman"/>
          <w:sz w:val="24"/>
          <w:lang w:val="en-GB"/>
        </w:rPr>
        <w:t>General remarks</w:t>
      </w:r>
      <w:bookmarkEnd w:id="351"/>
      <w:bookmarkEnd w:id="352"/>
    </w:p>
    <w:p w14:paraId="5F11BD1F" w14:textId="40876DCC"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83</w:t>
      </w:r>
      <w:r>
        <w:fldChar w:fldCharType="end"/>
      </w:r>
      <w:r w:rsidR="008151A6" w:rsidRPr="002A677E">
        <w:t xml:space="preserve">. For the purpose of this template, institutions </w:t>
      </w:r>
      <w:r w:rsidR="001A370B" w:rsidRPr="002A677E">
        <w:t xml:space="preserve">calculating the risk-weighted exposure amounts under the IRB approach to credit risk </w:t>
      </w:r>
      <w:r w:rsidR="008151A6" w:rsidRPr="002A677E">
        <w:t xml:space="preserve">shall allocate their exposures </w:t>
      </w:r>
      <w:r w:rsidR="001D6D7C" w:rsidRPr="002A677E">
        <w:t xml:space="preserve">subject to Standardised </w:t>
      </w:r>
      <w:r w:rsidR="003D14AE" w:rsidRPr="002A677E">
        <w:t>a</w:t>
      </w:r>
      <w:r w:rsidR="001D6D7C" w:rsidRPr="002A677E">
        <w:t>pproach laid down in Part Three</w:t>
      </w:r>
      <w:r w:rsidR="002F11F3" w:rsidRPr="002A677E">
        <w:t>,</w:t>
      </w:r>
      <w:r w:rsidR="00712DE1" w:rsidRPr="002A677E">
        <w:t xml:space="preserve"> </w:t>
      </w:r>
      <w:r w:rsidR="002F11F3" w:rsidRPr="002A677E">
        <w:t xml:space="preserve">Title II, Chapter 2 </w:t>
      </w:r>
      <w:r w:rsidR="002F11F3" w:rsidRPr="001235ED">
        <w:rPr>
          <w:lang w:val="en-US"/>
        </w:rPr>
        <w:t>of Regulation (EU) No 575/2013</w:t>
      </w:r>
      <w:r w:rsidR="001D6D7C" w:rsidRPr="002A677E">
        <w:t xml:space="preserve"> or to the IRB </w:t>
      </w:r>
      <w:r w:rsidR="003D14AE" w:rsidRPr="002A677E">
        <w:t>a</w:t>
      </w:r>
      <w:r w:rsidR="001D6D7C" w:rsidRPr="002A677E">
        <w:t>pproach laid down in Part Three</w:t>
      </w:r>
      <w:r w:rsidR="002F11F3" w:rsidRPr="002A677E">
        <w:t>,</w:t>
      </w:r>
      <w:r w:rsidR="00712DE1" w:rsidRPr="002A677E">
        <w:t xml:space="preserve"> </w:t>
      </w:r>
      <w:r w:rsidR="002F11F3" w:rsidRPr="002A677E">
        <w:t>Title II, Chapter 3 of that Regulation</w:t>
      </w:r>
      <w:r w:rsidR="001D6D7C" w:rsidRPr="002A677E">
        <w:t>, as well as the part of each exposure class subject to a roll-out plan</w:t>
      </w:r>
      <w:r w:rsidR="008151A6" w:rsidRPr="002A677E">
        <w:t xml:space="preserve">. Institutions shall include the information in this template by exposure </w:t>
      </w:r>
      <w:r w:rsidR="008151A6" w:rsidRPr="002A677E">
        <w:lastRenderedPageBreak/>
        <w:t>classes, in accordance with the breakdown of exposure classes included in the rows of the template.</w:t>
      </w:r>
    </w:p>
    <w:p w14:paraId="4691373C" w14:textId="268C0806" w:rsidR="008151A6"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84</w:t>
      </w:r>
      <w:r>
        <w:fldChar w:fldCharType="end"/>
      </w:r>
      <w:r w:rsidR="008151A6" w:rsidRPr="002A677E">
        <w:t>. Columns 00</w:t>
      </w:r>
      <w:r w:rsidR="000726BC" w:rsidRPr="002A677E">
        <w:t>3</w:t>
      </w:r>
      <w:r w:rsidR="008151A6" w:rsidRPr="002A677E">
        <w:t>0 to 00</w:t>
      </w:r>
      <w:r w:rsidR="000726BC" w:rsidRPr="002A677E">
        <w:t>5</w:t>
      </w:r>
      <w:r w:rsidR="008151A6" w:rsidRPr="002A677E">
        <w:t xml:space="preserve">0 should cover the full spectrum of exposures, so </w:t>
      </w:r>
      <w:r w:rsidR="00D44C3E">
        <w:t xml:space="preserve">that </w:t>
      </w:r>
      <w:r w:rsidR="008151A6" w:rsidRPr="002A677E">
        <w:t>the sum of each row for those three columns should be 100</w:t>
      </w:r>
      <w:r w:rsidR="00B856D5">
        <w:t> </w:t>
      </w:r>
      <w:r w:rsidR="008151A6" w:rsidRPr="002A677E">
        <w:t>%</w:t>
      </w:r>
      <w:r w:rsidR="00257BF5" w:rsidRPr="002A677E">
        <w:t xml:space="preserve"> of all exposure classes ex</w:t>
      </w:r>
      <w:r w:rsidR="00230536" w:rsidRPr="002A677E">
        <w:t>c</w:t>
      </w:r>
      <w:r w:rsidR="00257BF5" w:rsidRPr="002A677E">
        <w:t>ept of securitisation positions and deducted positions</w:t>
      </w:r>
      <w:r w:rsidR="008151A6" w:rsidRPr="002A677E">
        <w:t>.</w:t>
      </w:r>
    </w:p>
    <w:p w14:paraId="4C00E4FE" w14:textId="3DD5750B"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53" w:name="_Toc19715771"/>
      <w:bookmarkStart w:id="354" w:name="_Toc151714415"/>
      <w:r w:rsidRPr="002A677E">
        <w:rPr>
          <w:rFonts w:ascii="Times New Roman" w:hAnsi="Times New Roman" w:cs="Times New Roman"/>
          <w:sz w:val="24"/>
          <w:lang w:val="en-GB"/>
        </w:rPr>
        <w:t>Instructions concerning specific positions</w:t>
      </w:r>
      <w:bookmarkEnd w:id="353"/>
      <w:bookmarkEnd w:id="35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sidRPr="002A677E">
              <w:rPr>
                <w:rFonts w:ascii="Times New Roman" w:hAnsi="Times New Roman"/>
                <w:b/>
                <w:sz w:val="24"/>
                <w:u w:val="single"/>
              </w:rPr>
              <w:t xml:space="preserve">TOTAL EXPOSURE VALUE AS DEFINED IN ART </w:t>
            </w:r>
            <w:r w:rsidR="00E515D5" w:rsidRPr="002A677E">
              <w:rPr>
                <w:rFonts w:ascii="Times New Roman" w:hAnsi="Times New Roman"/>
                <w:b/>
                <w:sz w:val="24"/>
                <w:u w:val="single"/>
              </w:rPr>
              <w:t>166 OF REGULATION (EU) NO 575/2013</w:t>
            </w:r>
          </w:p>
          <w:p w14:paraId="4EDD59E5" w14:textId="37455121" w:rsidR="00EE6F6C" w:rsidRPr="002A677E" w:rsidRDefault="00EE6F6C" w:rsidP="00840A2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w:t>
            </w:r>
            <w:r w:rsidR="00E03E93" w:rsidRPr="002A677E">
              <w:rPr>
                <w:rFonts w:ascii="Times New Roman" w:hAnsi="Times New Roman"/>
                <w:spacing w:val="-4"/>
                <w:sz w:val="24"/>
              </w:rPr>
              <w:t>166</w:t>
            </w:r>
            <w:r w:rsidRPr="002A677E">
              <w:rPr>
                <w:rFonts w:ascii="Times New Roman" w:hAnsi="Times New Roman"/>
                <w:spacing w:val="-4"/>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sidRPr="002A677E">
              <w:rPr>
                <w:rStyle w:val="InstructionsTabelleText"/>
                <w:rFonts w:ascii="Times New Roman" w:hAnsi="Times New Roman"/>
                <w:sz w:val="24"/>
              </w:rPr>
              <w:t>00</w:t>
            </w:r>
            <w:r w:rsidR="00EE6F6C" w:rsidRPr="002A677E">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TOTAL EXPOSURE VALUE</w:t>
            </w:r>
            <w:r w:rsidR="00EE6F6C" w:rsidRPr="002A677E">
              <w:rPr>
                <w:rFonts w:ascii="Times New Roman" w:hAnsi="Times New Roman"/>
                <w:b/>
                <w:sz w:val="24"/>
                <w:u w:val="single"/>
              </w:rPr>
              <w:t xml:space="preserve"> SUBJECT TO SA AND IRB</w:t>
            </w:r>
          </w:p>
          <w:p w14:paraId="65EB5759" w14:textId="79462CE9" w:rsidR="008151A6" w:rsidRPr="002A677E" w:rsidRDefault="008151A6" w:rsidP="00EE6F6C">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00E515D5" w:rsidRPr="001235ED">
              <w:rPr>
                <w:rFonts w:ascii="Times New Roman" w:hAnsi="Times New Roman"/>
                <w:sz w:val="24"/>
                <w:lang w:val="en-US"/>
              </w:rPr>
              <w:t>of Regulation (EU) No 575/2013</w:t>
            </w:r>
            <w:r w:rsidR="00EE6F6C"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68D6087" w14:textId="1435E341" w:rsidR="008151A6" w:rsidRPr="002A677E" w:rsidRDefault="008151A6" w:rsidP="00EE6F6C">
            <w:pPr>
              <w:rPr>
                <w:rFonts w:ascii="Times New Roman" w:hAnsi="Times New Roman"/>
                <w:sz w:val="24"/>
              </w:rPr>
            </w:pPr>
            <w:r w:rsidRPr="002A677E">
              <w:rPr>
                <w:rFonts w:ascii="Times New Roman" w:hAnsi="Times New Roman"/>
                <w:sz w:val="24"/>
              </w:rPr>
              <w:t xml:space="preserve">Part of exposure for each exposure class subject to the Standardised </w:t>
            </w:r>
            <w:r w:rsidR="003D14AE" w:rsidRPr="002A677E">
              <w:rPr>
                <w:rFonts w:ascii="Times New Roman" w:hAnsi="Times New Roman"/>
                <w:sz w:val="24"/>
              </w:rPr>
              <w:t>a</w:t>
            </w:r>
            <w:r w:rsidRPr="002A677E">
              <w:rPr>
                <w:rFonts w:ascii="Times New Roman" w:hAnsi="Times New Roman"/>
                <w:sz w:val="24"/>
              </w:rPr>
              <w:t xml:space="preserve">pproach (exposure subject to the Standardised </w:t>
            </w:r>
            <w:r w:rsidR="003D14AE" w:rsidRPr="002A677E">
              <w:rPr>
                <w:rFonts w:ascii="Times New Roman" w:hAnsi="Times New Roman"/>
                <w:sz w:val="24"/>
              </w:rPr>
              <w:t>a</w:t>
            </w:r>
            <w:r w:rsidRPr="002A677E">
              <w:rPr>
                <w:rFonts w:ascii="Times New Roman" w:hAnsi="Times New Roman"/>
                <w:sz w:val="24"/>
              </w:rPr>
              <w:t>pproach before CRM</w:t>
            </w:r>
            <w:r w:rsidRPr="002A677E">
              <w:rPr>
                <w:rFonts w:ascii="Times New Roman" w:hAnsi="Times New Roman"/>
                <w:spacing w:val="28"/>
                <w:sz w:val="24"/>
              </w:rPr>
              <w:t xml:space="preserve"> </w:t>
            </w:r>
            <w:r w:rsidRPr="002A677E">
              <w:rPr>
                <w:rFonts w:ascii="Times New Roman" w:hAnsi="Times New Roman"/>
                <w:sz w:val="24"/>
              </w:rPr>
              <w:t>over the total exposure in that exposure class</w:t>
            </w:r>
            <w:r w:rsidR="00E71171" w:rsidRPr="002A677E">
              <w:rPr>
                <w:rFonts w:ascii="Times New Roman" w:hAnsi="Times New Roman"/>
                <w:sz w:val="24"/>
              </w:rPr>
              <w:t xml:space="preserve"> in column 00</w:t>
            </w:r>
            <w:r w:rsidR="00EE6F6C" w:rsidRPr="002A677E">
              <w:rPr>
                <w:rFonts w:ascii="Times New Roman" w:hAnsi="Times New Roman"/>
                <w:sz w:val="24"/>
              </w:rPr>
              <w:t>2</w:t>
            </w:r>
            <w:r w:rsidR="00E71171" w:rsidRPr="002A677E">
              <w:rPr>
                <w:rFonts w:ascii="Times New Roman" w:hAnsi="Times New Roman"/>
                <w:sz w:val="24"/>
              </w:rPr>
              <w:t>0</w:t>
            </w:r>
            <w:r w:rsidRPr="002A677E">
              <w:rPr>
                <w:rFonts w:ascii="Times New Roman" w:hAnsi="Times New Roman"/>
                <w:sz w:val="24"/>
              </w:rPr>
              <w:t xml:space="preserve">), respecting the scope of permission for permanent partial use of the Standardised </w:t>
            </w:r>
            <w:r w:rsidR="009A4399" w:rsidRPr="002A677E">
              <w:rPr>
                <w:rFonts w:ascii="Times New Roman" w:hAnsi="Times New Roman"/>
                <w:sz w:val="24"/>
              </w:rPr>
              <w:t>a</w:t>
            </w:r>
            <w:r w:rsidRPr="002A677E">
              <w:rPr>
                <w:rFonts w:ascii="Times New Roman" w:hAnsi="Times New Roman"/>
                <w:sz w:val="24"/>
              </w:rPr>
              <w:t>pproach received from a competent authority in accordance with Article 150</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487877B8" w14:textId="725BEAC9" w:rsidR="008151A6" w:rsidRPr="002A677E" w:rsidRDefault="008151A6" w:rsidP="00664874">
            <w:pPr>
              <w:rPr>
                <w:rFonts w:ascii="Times New Roman" w:hAnsi="Times New Roman"/>
                <w:sz w:val="24"/>
              </w:rPr>
            </w:pPr>
            <w:r w:rsidRPr="002A677E">
              <w:rPr>
                <w:rFonts w:ascii="Times New Roman" w:hAnsi="Times New Roman"/>
                <w:sz w:val="24"/>
              </w:rPr>
              <w:t>Part of exposure for each exposure class subject to the sequential implementation of IRB appr</w:t>
            </w:r>
            <w:r w:rsidR="0044539D" w:rsidRPr="002A677E">
              <w:rPr>
                <w:rFonts w:ascii="Times New Roman" w:hAnsi="Times New Roman"/>
                <w:sz w:val="24"/>
              </w:rPr>
              <w:t xml:space="preserve">oach pursuant to Article 148 </w:t>
            </w:r>
            <w:r w:rsidR="00E515D5"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5095B04D" w14:textId="01552C2B"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w:t>
            </w:r>
            <w:r w:rsidR="000609BE">
              <w:rPr>
                <w:rFonts w:ascii="Times New Roman" w:hAnsi="Times New Roman"/>
                <w:sz w:val="24"/>
              </w:rPr>
              <w:t>/or</w:t>
            </w:r>
            <w:r w:rsidRPr="002A677E">
              <w:rPr>
                <w:rFonts w:ascii="Times New Roman" w:hAnsi="Times New Roman"/>
                <w:sz w:val="24"/>
              </w:rPr>
              <w:t xml:space="preserve"> conversion factors (F-IRB and A-IRB);</w:t>
            </w:r>
            <w:r w:rsidRPr="002A677E">
              <w:rPr>
                <w:rFonts w:ascii="Times New Roman" w:hAnsi="Times New Roman"/>
                <w:spacing w:val="-2"/>
                <w:sz w:val="24"/>
              </w:rPr>
              <w:t xml:space="preserve"> </w:t>
            </w:r>
          </w:p>
          <w:p w14:paraId="19994760" w14:textId="77777777"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2853F9B4" w14:textId="77777777"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389F4156" w14:textId="651C8AA5"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w:t>
            </w:r>
            <w:r w:rsidR="00C1357C" w:rsidRPr="002A677E">
              <w:rPr>
                <w:rFonts w:ascii="Times New Roman" w:hAnsi="Times New Roman"/>
                <w:sz w:val="24"/>
              </w:rPr>
              <w:t xml:space="preserve"> not included in column 00</w:t>
            </w:r>
            <w:r w:rsidR="001F4AF4">
              <w:rPr>
                <w:rFonts w:ascii="Times New Roman" w:hAnsi="Times New Roman"/>
                <w:sz w:val="24"/>
              </w:rPr>
              <w:t>1</w:t>
            </w:r>
            <w:r w:rsidR="00C1357C" w:rsidRPr="002A677E">
              <w:rPr>
                <w:rFonts w:ascii="Times New Roman" w:hAnsi="Times New Roman"/>
                <w:sz w:val="24"/>
              </w:rPr>
              <w:t>0</w:t>
            </w:r>
            <w:r w:rsidRPr="002A677E">
              <w:rPr>
                <w:rFonts w:ascii="Times New Roman" w:hAnsi="Times New Roman"/>
                <w:sz w:val="24"/>
              </w:rPr>
              <w:t>.</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3B809DEB" w14:textId="70599F2D" w:rsidR="008151A6" w:rsidRPr="002A677E" w:rsidRDefault="008151A6" w:rsidP="009A4399">
            <w:pPr>
              <w:rPr>
                <w:rFonts w:ascii="Times New Roman" w:hAnsi="Times New Roman"/>
                <w:b/>
                <w:sz w:val="24"/>
              </w:rPr>
            </w:pPr>
            <w:r w:rsidRPr="002A677E">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2A677E">
              <w:rPr>
                <w:rFonts w:ascii="Times New Roman" w:hAnsi="Times New Roman"/>
                <w:sz w:val="24"/>
              </w:rPr>
              <w:t xml:space="preserve"> </w:t>
            </w:r>
            <w:r w:rsidR="0044539D" w:rsidRPr="002A677E">
              <w:rPr>
                <w:rFonts w:ascii="Times New Roman" w:hAnsi="Times New Roman"/>
                <w:sz w:val="24"/>
              </w:rPr>
              <w:lastRenderedPageBreak/>
              <w:t xml:space="preserve">accordance with Article 143 </w:t>
            </w:r>
            <w:r w:rsidR="00E515D5"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w:t>
            </w:r>
            <w:r w:rsidR="0032021C">
              <w:rPr>
                <w:rFonts w:ascii="Times New Roman" w:hAnsi="Times New Roman"/>
                <w:sz w:val="24"/>
              </w:rPr>
              <w:t>/or</w:t>
            </w:r>
            <w:r w:rsidRPr="002A677E">
              <w:rPr>
                <w:rFonts w:ascii="Times New Roman" w:hAnsi="Times New Roman"/>
                <w:sz w:val="24"/>
              </w:rPr>
              <w:t xml:space="preserve"> conversion factors or not (F-IRB and A-IRB), including supervisory slotting approach for speciali</w:t>
            </w:r>
            <w:r w:rsidR="009A4399" w:rsidRPr="002A677E">
              <w:rPr>
                <w:rFonts w:ascii="Times New Roman" w:hAnsi="Times New Roman"/>
                <w:sz w:val="24"/>
              </w:rPr>
              <w:t>s</w:t>
            </w:r>
            <w:r w:rsidRPr="002A677E">
              <w:rPr>
                <w:rFonts w:ascii="Times New Roman" w:hAnsi="Times New Roman"/>
                <w:sz w:val="24"/>
              </w:rPr>
              <w:t>ed lending exposures</w:t>
            </w:r>
            <w:r w:rsidRPr="002A677E">
              <w:rPr>
                <w:rFonts w:ascii="Times New Roman" w:hAnsi="Times New Roman"/>
                <w:spacing w:val="-2"/>
                <w:sz w:val="24"/>
              </w:rPr>
              <w:t xml:space="preserve"> and equity exposures under the simple risk weight approach</w:t>
            </w:r>
            <w:r w:rsidR="00C1357C" w:rsidRPr="002A677E">
              <w:rPr>
                <w:rFonts w:ascii="Times New Roman" w:hAnsi="Times New Roman"/>
                <w:spacing w:val="-2"/>
                <w:sz w:val="24"/>
              </w:rPr>
              <w:t xml:space="preserve">, as well as those exposures reported in row 0170 of </w:t>
            </w:r>
            <w:r w:rsidR="002771C5" w:rsidRPr="002A677E">
              <w:rPr>
                <w:rFonts w:ascii="Times New Roman" w:hAnsi="Times New Roman"/>
                <w:spacing w:val="-2"/>
                <w:sz w:val="24"/>
              </w:rPr>
              <w:t xml:space="preserve">template </w:t>
            </w:r>
            <w:r w:rsidR="00C1357C" w:rsidRPr="002A677E">
              <w:rPr>
                <w:rFonts w:ascii="Times New Roman" w:hAnsi="Times New Roman"/>
                <w:spacing w:val="-2"/>
                <w:sz w:val="24"/>
              </w:rPr>
              <w:t>C 08.01</w:t>
            </w:r>
            <w:r w:rsidRPr="002A677E">
              <w:rPr>
                <w:rFonts w:ascii="Times New Roman" w:hAnsi="Times New Roman"/>
                <w:sz w:val="24"/>
              </w:rPr>
              <w: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sidRPr="002A677E">
              <w:rPr>
                <w:rFonts w:ascii="Times New Roman" w:hAnsi="Times New Roman"/>
                <w:sz w:val="24"/>
              </w:rPr>
              <w:t>EXPOSURE CLASSES</w:t>
            </w:r>
          </w:p>
        </w:tc>
        <w:tc>
          <w:tcPr>
            <w:tcW w:w="8557" w:type="dxa"/>
          </w:tcPr>
          <w:p w14:paraId="661FCC1F" w14:textId="77777777" w:rsidR="008151A6" w:rsidRPr="002A677E" w:rsidRDefault="008151A6" w:rsidP="00CC2B5B">
            <w:pPr>
              <w:rPr>
                <w:rFonts w:ascii="Times New Roman" w:eastAsiaTheme="minorHAnsi" w:hAnsi="Times New Roman"/>
                <w:sz w:val="24"/>
              </w:rPr>
            </w:pPr>
            <w:r w:rsidRPr="002A677E">
              <w:rPr>
                <w:rFonts w:ascii="Times New Roman" w:eastAsiaTheme="minorHAnsi" w:hAnsi="Times New Roman"/>
                <w:sz w:val="24"/>
              </w:rPr>
              <w:t xml:space="preserve">Institutions shall include the information in this template by exposure classes, </w:t>
            </w:r>
            <w:r w:rsidR="00C1357C" w:rsidRPr="002A677E">
              <w:rPr>
                <w:rFonts w:ascii="Times New Roman" w:eastAsiaTheme="minorHAnsi" w:hAnsi="Times New Roman"/>
                <w:sz w:val="24"/>
              </w:rPr>
              <w:t>in accordance with the breakdown of exposure classes included in the rows of the template</w:t>
            </w:r>
            <w:r w:rsidRPr="002A677E">
              <w:rPr>
                <w:rFonts w:ascii="Times New Roman" w:hAnsi="Times New Roman"/>
                <w:sz w:val="24"/>
              </w:rPr>
              <w:t>.</w:t>
            </w:r>
          </w:p>
        </w:tc>
      </w:tr>
    </w:tbl>
    <w:p w14:paraId="666E7F64" w14:textId="77777777" w:rsidR="008151A6" w:rsidRPr="002A677E" w:rsidRDefault="008151A6" w:rsidP="00B055FF">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5" w:name="_Toc360188361"/>
      <w:bookmarkStart w:id="356" w:name="_Toc473560912"/>
      <w:bookmarkStart w:id="357" w:name="_Toc151714416"/>
      <w:r w:rsidRPr="002A677E">
        <w:rPr>
          <w:rFonts w:ascii="Times New Roman" w:hAnsi="Times New Roman" w:cs="Times New Roman"/>
          <w:sz w:val="24"/>
          <w:u w:val="none"/>
          <w:lang w:val="en-GB"/>
        </w:rPr>
        <w:t>3.4.</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Credit and counterparty credit risks and free deliveries: Information with geographical breakdown</w:t>
      </w:r>
      <w:bookmarkEnd w:id="355"/>
      <w:bookmarkEnd w:id="356"/>
      <w:bookmarkEnd w:id="357"/>
    </w:p>
    <w:p w14:paraId="59CE9D64" w14:textId="12FFCC30" w:rsidR="004357B9"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85</w:t>
      </w:r>
      <w:r>
        <w:fldChar w:fldCharType="end"/>
      </w:r>
      <w:r w:rsidR="00125707" w:rsidRPr="002A677E">
        <w:t>.</w:t>
      </w:r>
      <w:r w:rsidR="00125707" w:rsidRPr="002A677E">
        <w:tab/>
      </w:r>
      <w:r w:rsidR="003F3523" w:rsidRPr="002A677E">
        <w:t>All institutions shall submit information aggregated at a total level. Additionally, i</w:t>
      </w:r>
      <w:r w:rsidR="004357B9" w:rsidRPr="002A677E">
        <w:t xml:space="preserve">nstitutions fulfilling the threshold set in </w:t>
      </w:r>
      <w:r w:rsidR="000565B6" w:rsidRPr="002A677E">
        <w:t>Article 5(</w:t>
      </w:r>
      <w:r w:rsidR="00CB3146" w:rsidRPr="002A677E">
        <w:t>5</w:t>
      </w:r>
      <w:r w:rsidR="000565B6" w:rsidRPr="002A677E">
        <w:t>)</w:t>
      </w:r>
      <w:r w:rsidR="004357B9" w:rsidRPr="002A677E">
        <w:t xml:space="preserve"> </w:t>
      </w:r>
      <w:r w:rsidR="004E081B" w:rsidRPr="002A677E">
        <w:t xml:space="preserve">of this </w:t>
      </w:r>
      <w:r w:rsidR="001E0C80" w:rsidRPr="002A677E">
        <w:t xml:space="preserve">Implementing </w:t>
      </w:r>
      <w:r w:rsidR="004E081B" w:rsidRPr="002A677E">
        <w:t xml:space="preserve">Regulation </w:t>
      </w:r>
      <w:r w:rsidR="004357B9" w:rsidRPr="002A677E">
        <w:t>shall submit information</w:t>
      </w:r>
      <w:r w:rsidR="00C731CE" w:rsidRPr="002A677E">
        <w:t xml:space="preserve"> broken down by country</w:t>
      </w:r>
      <w:r w:rsidR="004357B9" w:rsidRPr="002A677E">
        <w:t xml:space="preserve"> regarding the domestic country as well as any non-domestic country. The threshold </w:t>
      </w:r>
      <w:r w:rsidR="00133396" w:rsidRPr="002A677E">
        <w:t xml:space="preserve">shall be </w:t>
      </w:r>
      <w:r w:rsidR="00F855D5" w:rsidRPr="002A677E">
        <w:t>considered</w:t>
      </w:r>
      <w:r w:rsidR="00133396" w:rsidRPr="002A677E">
        <w:t xml:space="preserve"> only in</w:t>
      </w:r>
      <w:r w:rsidR="00C61FF5" w:rsidRPr="002A677E">
        <w:t xml:space="preserve"> </w:t>
      </w:r>
      <w:r w:rsidR="00F855D5" w:rsidRPr="002A677E">
        <w:t xml:space="preserve">relation to the </w:t>
      </w:r>
      <w:r w:rsidR="00133396" w:rsidRPr="002A677E">
        <w:t>CR GB 1 and CR GB 2 templates</w:t>
      </w:r>
      <w:r w:rsidR="004357B9" w:rsidRPr="002A677E">
        <w:t xml:space="preserve">. </w:t>
      </w:r>
      <w:r w:rsidR="00D82B60" w:rsidRPr="002A677E">
        <w:t>Exposures to supranational organisations shall be assigned to the geographical area “other countries”.</w:t>
      </w:r>
    </w:p>
    <w:p w14:paraId="6678F7E4" w14:textId="7A4904A8" w:rsidR="004357B9"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86</w:t>
      </w:r>
      <w:r>
        <w:fldChar w:fldCharType="end"/>
      </w:r>
      <w:r w:rsidR="00125707" w:rsidRPr="002A677E">
        <w:t>.</w:t>
      </w:r>
      <w:r w:rsidR="00125707" w:rsidRPr="002A677E">
        <w:tab/>
      </w:r>
      <w:r w:rsidR="004357B9" w:rsidRPr="002A677E">
        <w:t xml:space="preserve">The term ‘residence of the obligor’ refers to the country of incorporation of the obligor. This concept can be applied on an immediate-obligor basis and on an ultimate-risk basis. Hence, CRM techniques </w:t>
      </w:r>
      <w:r w:rsidR="00AC4E3A" w:rsidRPr="002A677E">
        <w:t xml:space="preserve">with substitution effects </w:t>
      </w:r>
      <w:r w:rsidR="004357B9" w:rsidRPr="002A677E">
        <w:t>can change the allocation of an exposure to a country.</w:t>
      </w:r>
      <w:r w:rsidR="00BB5B5D" w:rsidRPr="002A677E">
        <w:t xml:space="preserve"> Exposures to supranational organisations shall not be assigned to the country of residence of the institution but to the geographical area “Other countries”</w:t>
      </w:r>
      <w:r w:rsidR="00763B4B" w:rsidRPr="002A677E">
        <w:t>,</w:t>
      </w:r>
      <w:r w:rsidR="00BB5B5D" w:rsidRPr="002A677E">
        <w:t xml:space="preserve"> irrespective of the exposure class where the exposure to supranational organisations is assigned.</w:t>
      </w:r>
    </w:p>
    <w:p w14:paraId="49CADB9D" w14:textId="5E449C36" w:rsidR="0096378F"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87</w:t>
      </w:r>
      <w:r>
        <w:fldChar w:fldCharType="end"/>
      </w:r>
      <w:r w:rsidR="00125707" w:rsidRPr="002A677E">
        <w:t>.</w:t>
      </w:r>
      <w:r w:rsidR="00125707" w:rsidRPr="002A677E">
        <w:tab/>
      </w:r>
      <w:r w:rsidR="0096378F" w:rsidRPr="002A677E">
        <w:t>Data regarding ‘original exposure pre</w:t>
      </w:r>
      <w:r w:rsidR="007574C3" w:rsidRPr="002A677E">
        <w:t>-</w:t>
      </w:r>
      <w:r w:rsidR="0096378F" w:rsidRPr="002A677E">
        <w:t xml:space="preserve">conversion factors’ shall be reported </w:t>
      </w:r>
      <w:r w:rsidR="0096378F" w:rsidRPr="002A677E">
        <w:rPr>
          <w:noProof/>
        </w:rPr>
        <w:t>referring</w:t>
      </w:r>
      <w:r w:rsidR="0096378F" w:rsidRPr="002A677E">
        <w:t xml:space="preserve"> to the country of residence of the immediate obligor. Data regarding ‘exposure value’ and ‘Risk weighted exposure amounts’ shall be reported as of the country of residence of the ultimate obligor.</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8" w:name="_Toc360188362"/>
      <w:bookmarkStart w:id="359" w:name="_Toc473560913"/>
      <w:bookmarkStart w:id="360" w:name="_Toc151714417"/>
      <w:r w:rsidRPr="002A677E">
        <w:rPr>
          <w:rFonts w:ascii="Times New Roman" w:hAnsi="Times New Roman" w:cs="Times New Roman"/>
          <w:sz w:val="24"/>
          <w:u w:val="none"/>
          <w:lang w:val="en-GB"/>
        </w:rPr>
        <w:t>3.4.1.</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09.01 </w:t>
      </w:r>
      <w:r w:rsidR="004357B9" w:rsidRPr="002A677E">
        <w:rPr>
          <w:rFonts w:ascii="Times New Roman" w:hAnsi="Times New Roman" w:cs="Times New Roman"/>
          <w:sz w:val="24"/>
          <w:lang w:val="en-GB"/>
        </w:rPr>
        <w:t>– Geographical breakdown of exposures by residence of the obligor</w:t>
      </w:r>
      <w:r w:rsidR="009769DE" w:rsidRPr="002A677E">
        <w:rPr>
          <w:rFonts w:ascii="Times New Roman" w:hAnsi="Times New Roman" w:cs="Times New Roman"/>
          <w:sz w:val="24"/>
          <w:lang w:val="en-GB"/>
        </w:rPr>
        <w:t>: SA exposures</w:t>
      </w:r>
      <w:r w:rsidR="004357B9"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GB 1</w:t>
      </w:r>
      <w:r w:rsidR="004357B9" w:rsidRPr="002A677E">
        <w:rPr>
          <w:rFonts w:ascii="Times New Roman" w:hAnsi="Times New Roman" w:cs="Times New Roman"/>
          <w:sz w:val="24"/>
          <w:lang w:val="en-GB"/>
        </w:rPr>
        <w:t>)</w:t>
      </w:r>
      <w:bookmarkEnd w:id="358"/>
      <w:bookmarkEnd w:id="359"/>
      <w:bookmarkEnd w:id="360"/>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1" w:name="_Toc360188363"/>
      <w:bookmarkStart w:id="362" w:name="_Toc473560914"/>
      <w:bookmarkStart w:id="363" w:name="_Toc151714418"/>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61"/>
      <w:bookmarkEnd w:id="362"/>
      <w:bookmarkEnd w:id="36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37B6F36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0A439B8" w14:textId="77777777" w:rsidR="004357B9" w:rsidRPr="002A677E" w:rsidRDefault="004357B9" w:rsidP="004357B9">
            <w:pPr>
              <w:rPr>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10 of CR SA 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072FCE29" w14:textId="77777777" w:rsidR="004357B9" w:rsidRPr="002A677E" w:rsidRDefault="00771E97" w:rsidP="004357B9">
            <w:pPr>
              <w:rPr>
                <w:rFonts w:ascii="Times New Roman" w:hAnsi="Times New Roman"/>
                <w:b/>
                <w:sz w:val="24"/>
                <w:u w:val="single"/>
              </w:rPr>
            </w:pPr>
            <w:r w:rsidRPr="002A677E">
              <w:rPr>
                <w:rFonts w:ascii="Times New Roman" w:hAnsi="Times New Roman"/>
                <w:b/>
                <w:sz w:val="24"/>
                <w:u w:val="single"/>
              </w:rPr>
              <w:t>D</w:t>
            </w:r>
            <w:r w:rsidR="004357B9" w:rsidRPr="002A677E">
              <w:rPr>
                <w:rFonts w:ascii="Times New Roman" w:hAnsi="Times New Roman"/>
                <w:b/>
                <w:sz w:val="24"/>
                <w:u w:val="single"/>
              </w:rPr>
              <w:t>efault</w:t>
            </w:r>
            <w:r w:rsidRPr="002A677E">
              <w:rPr>
                <w:rFonts w:ascii="Times New Roman" w:hAnsi="Times New Roman"/>
                <w:b/>
                <w:sz w:val="24"/>
                <w:u w:val="single"/>
              </w:rPr>
              <w:t>ed exposures</w:t>
            </w:r>
          </w:p>
          <w:p w14:paraId="5004BF9A" w14:textId="2016BA50"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lastRenderedPageBreak/>
              <w:t>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for those exposures which have been classified as “exposures</w:t>
            </w:r>
            <w:r w:rsidR="00771E97" w:rsidRPr="002A677E">
              <w:rPr>
                <w:rStyle w:val="InstructionsTabelleText"/>
                <w:rFonts w:ascii="Times New Roman" w:hAnsi="Times New Roman"/>
                <w:sz w:val="24"/>
              </w:rPr>
              <w:t xml:space="preserve"> in default</w:t>
            </w:r>
            <w:r w:rsidRPr="002A677E">
              <w:rPr>
                <w:rStyle w:val="InstructionsTabelleText"/>
                <w:rFonts w:ascii="Times New Roman" w:hAnsi="Times New Roman"/>
                <w:sz w:val="24"/>
              </w:rPr>
              <w:t>”</w:t>
            </w:r>
            <w:r w:rsidR="00771E97" w:rsidRPr="002A677E">
              <w:rPr>
                <w:rStyle w:val="InstructionsTabelleText"/>
                <w:rFonts w:ascii="Times New Roman" w:hAnsi="Times New Roman"/>
                <w:sz w:val="24"/>
              </w:rPr>
              <w:t xml:space="preserve"> and for defaulted exposures assigned to the exposure class “equity exposures”</w:t>
            </w:r>
            <w:r w:rsidRPr="002A677E">
              <w:rPr>
                <w:rStyle w:val="InstructionsTabelleText"/>
                <w:rFonts w:ascii="Times New Roman" w:hAnsi="Times New Roman"/>
                <w:sz w:val="24"/>
              </w:rPr>
              <w:t>.</w:t>
            </w:r>
          </w:p>
          <w:p w14:paraId="61376670" w14:textId="4DD04AC8"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This ‘memorandum item’</w:t>
            </w:r>
            <w:r w:rsidR="00763B4B" w:rsidRPr="002A677E">
              <w:rPr>
                <w:rStyle w:val="InstructionsTabelleText"/>
                <w:rFonts w:ascii="Times New Roman" w:hAnsi="Times New Roman"/>
                <w:sz w:val="24"/>
              </w:rPr>
              <w:t xml:space="preserve"> shall</w:t>
            </w:r>
            <w:r w:rsidRPr="002A677E">
              <w:rPr>
                <w:rStyle w:val="InstructionsTabelleText"/>
                <w:rFonts w:ascii="Times New Roman" w:hAnsi="Times New Roman"/>
                <w:sz w:val="24"/>
              </w:rPr>
              <w:t xml:space="preserve"> provide additional information about the obligor structure of </w:t>
            </w:r>
            <w:r w:rsidR="00771E97" w:rsidRPr="002A677E">
              <w:rPr>
                <w:rStyle w:val="InstructionsTabelleText"/>
                <w:rFonts w:ascii="Times New Roman" w:hAnsi="Times New Roman"/>
                <w:sz w:val="24"/>
              </w:rPr>
              <w:t>defaulted exposures</w:t>
            </w:r>
            <w:r w:rsidRPr="002A677E">
              <w:rPr>
                <w:rStyle w:val="InstructionsTabelleText"/>
                <w:rFonts w:ascii="Times New Roman" w:hAnsi="Times New Roman"/>
                <w:sz w:val="24"/>
              </w:rPr>
              <w:t xml:space="preserve">. Exposures </w:t>
            </w:r>
            <w:r w:rsidR="00771E97" w:rsidRPr="002A677E">
              <w:rPr>
                <w:rStyle w:val="InstructionsTabelleText"/>
                <w:rFonts w:ascii="Times New Roman" w:hAnsi="Times New Roman"/>
                <w:sz w:val="24"/>
              </w:rPr>
              <w:t xml:space="preserve">classified as “exposures in default” </w:t>
            </w:r>
            <w:r w:rsidR="00763B4B" w:rsidRPr="002A677E">
              <w:rPr>
                <w:rStyle w:val="InstructionsTabelleText"/>
                <w:rFonts w:ascii="Times New Roman" w:hAnsi="Times New Roman"/>
                <w:sz w:val="24"/>
              </w:rPr>
              <w:t xml:space="preserve">as referred to in </w:t>
            </w:r>
            <w:r w:rsidR="00771E97" w:rsidRPr="002A677E">
              <w:rPr>
                <w:rStyle w:val="InstructionsTabelleText"/>
                <w:rFonts w:ascii="Times New Roman" w:hAnsi="Times New Roman"/>
                <w:sz w:val="24"/>
              </w:rPr>
              <w:t>Art</w:t>
            </w:r>
            <w:r w:rsidR="00417984" w:rsidRPr="002A677E">
              <w:rPr>
                <w:rStyle w:val="InstructionsTabelleText"/>
                <w:rFonts w:ascii="Times New Roman" w:hAnsi="Times New Roman"/>
                <w:sz w:val="24"/>
              </w:rPr>
              <w:t>icle</w:t>
            </w:r>
            <w:r w:rsidR="00771E97" w:rsidRPr="002A677E">
              <w:rPr>
                <w:rStyle w:val="InstructionsTabelleText"/>
                <w:rFonts w:ascii="Times New Roman" w:hAnsi="Times New Roman"/>
                <w:sz w:val="24"/>
              </w:rPr>
              <w:t xml:space="preserv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 (j)</w:t>
            </w:r>
            <w:r w:rsidR="00BE127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where</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the obligors would have been </w:t>
            </w:r>
            <w:r w:rsidR="00771E97" w:rsidRPr="002A677E">
              <w:rPr>
                <w:rStyle w:val="InstructionsTabelleText"/>
                <w:rFonts w:ascii="Times New Roman" w:hAnsi="Times New Roman"/>
                <w:sz w:val="24"/>
              </w:rPr>
              <w:br/>
            </w:r>
            <w:r w:rsidRPr="002A677E">
              <w:rPr>
                <w:rStyle w:val="InstructionsTabelleText"/>
                <w:rFonts w:ascii="Times New Roman" w:hAnsi="Times New Roman"/>
                <w:sz w:val="24"/>
              </w:rPr>
              <w:t>reported if those exposures were not assigned to the exposure classes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 xml:space="preserve">in default'. </w:t>
            </w:r>
          </w:p>
          <w:p w14:paraId="2561BB51" w14:textId="6951C6D1" w:rsidR="004357B9" w:rsidRPr="002A677E" w:rsidRDefault="004357B9" w:rsidP="00E1685B">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w:t>
            </w:r>
            <w:r w:rsidR="00771E97" w:rsidRPr="002A677E">
              <w:rPr>
                <w:rStyle w:val="InstructionsTabelleText"/>
                <w:rFonts w:ascii="Times New Roman" w:hAnsi="Times New Roman"/>
                <w:sz w:val="24"/>
              </w:rPr>
              <w:t>es</w:t>
            </w:r>
            <w:r w:rsidRPr="002A677E">
              <w:rPr>
                <w:rStyle w:val="InstructionsTabelleText"/>
                <w:rFonts w:ascii="Times New Roman" w:hAnsi="Times New Roman"/>
                <w:sz w:val="24"/>
              </w:rPr>
              <w:t xml:space="preserve">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in default”</w:t>
            </w:r>
            <w:r w:rsidR="00771E97" w:rsidRPr="002A677E">
              <w:rPr>
                <w:rStyle w:val="InstructionsTabelleText"/>
                <w:rFonts w:ascii="Times New Roman" w:hAnsi="Times New Roman"/>
                <w:sz w:val="24"/>
              </w:rPr>
              <w:t xml:space="preserve"> or “equity exposures”</w:t>
            </w:r>
            <w:r w:rsidRPr="002A677E">
              <w:rPr>
                <w:rStyle w:val="InstructionsTabelleText"/>
                <w:rFonts w:ascii="Times New Roman" w:hAnsi="Times New Roman"/>
                <w:sz w:val="24"/>
              </w:rPr>
              <w:t xml:space="preserve"> </w:t>
            </w:r>
            <w:r w:rsidR="00763B4B" w:rsidRPr="002A677E">
              <w:rPr>
                <w:rStyle w:val="InstructionsTabelleText"/>
                <w:rFonts w:ascii="Times New Roman" w:hAnsi="Times New Roman"/>
                <w:sz w:val="24"/>
              </w:rPr>
              <w:t xml:space="preserve">as referred to in </w:t>
            </w:r>
            <w:r w:rsidRPr="002A677E">
              <w:rPr>
                <w:rStyle w:val="InstructionsTabelleText"/>
                <w:rFonts w:ascii="Times New Roman" w:hAnsi="Times New Roman"/>
                <w:sz w:val="24"/>
              </w:rPr>
              <w:t>Article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oints (j)</w:t>
            </w:r>
            <w:r w:rsidR="00E15595">
              <w:rPr>
                <w:rStyle w:val="InstructionsTabelleText"/>
                <w:rFonts w:ascii="Times New Roman" w:hAnsi="Times New Roman"/>
                <w:sz w:val="24"/>
              </w:rPr>
              <w:t xml:space="preserve"> </w:t>
            </w:r>
            <w:r w:rsidR="00E1685B" w:rsidRPr="002A677E">
              <w:rPr>
                <w:rStyle w:val="InstructionsTabelleText"/>
                <w:rFonts w:ascii="Times New Roman" w:hAnsi="Times New Roman"/>
                <w:sz w:val="24"/>
              </w:rPr>
              <w:t>and (p)</w:t>
            </w:r>
            <w:r w:rsidR="002E728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1131437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9F4E30D" w14:textId="5E2F30A5" w:rsidR="004357B9" w:rsidRPr="002A677E" w:rsidRDefault="00DF70AE" w:rsidP="00DF70AE">
            <w:pPr>
              <w:rPr>
                <w:rFonts w:ascii="Times New Roman" w:hAnsi="Times New Roman"/>
                <w:b/>
                <w:sz w:val="24"/>
                <w:u w:val="single"/>
              </w:rPr>
            </w:pPr>
            <w:r w:rsidRPr="002A677E">
              <w:rPr>
                <w:rStyle w:val="InstructionsTabelleText"/>
                <w:rFonts w:ascii="Times New Roman" w:hAnsi="Times New Roman"/>
                <w:sz w:val="24"/>
              </w:rPr>
              <w:t>T</w:t>
            </w:r>
            <w:r w:rsidR="004357B9" w:rsidRPr="002A677E">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2A677E">
              <w:rPr>
                <w:rStyle w:val="InstructionsTabelleText"/>
                <w:rFonts w:ascii="Times New Roman" w:hAnsi="Times New Roman"/>
                <w:sz w:val="24"/>
              </w:rPr>
              <w:t>shall be</w:t>
            </w:r>
            <w:r w:rsidR="004357B9" w:rsidRPr="002A677E">
              <w:rPr>
                <w:rStyle w:val="InstructionsTabelleText"/>
                <w:rFonts w:ascii="Times New Roman" w:hAnsi="Times New Roman"/>
                <w:sz w:val="24"/>
              </w:rPr>
              <w:t xml:space="preserve"> reported against the exposure class to which the obligor originally belonged.</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2BBE966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499CF437" w14:textId="3D76776C" w:rsidR="004357B9" w:rsidRPr="002A677E" w:rsidRDefault="004357B9" w:rsidP="004357B9">
            <w:pPr>
              <w:rPr>
                <w:rFonts w:ascii="Times New Roman" w:hAnsi="Times New Roman"/>
                <w:sz w:val="24"/>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 xml:space="preserve">. </w:t>
            </w:r>
          </w:p>
          <w:p w14:paraId="2551B30E" w14:textId="15F90C07" w:rsidR="00D95045" w:rsidRPr="002A677E" w:rsidRDefault="00D95045" w:rsidP="00D95045">
            <w:pPr>
              <w:rPr>
                <w:rFonts w:ascii="Times New Roman" w:hAnsi="Times New Roman"/>
                <w:sz w:val="24"/>
              </w:rPr>
            </w:pPr>
            <w:r w:rsidRPr="002A677E">
              <w:rPr>
                <w:rFonts w:ascii="Times New Roman" w:hAnsi="Times New Roman"/>
                <w:sz w:val="24"/>
              </w:rPr>
              <w:t>This item</w:t>
            </w:r>
            <w:r w:rsidR="00AE7CD3" w:rsidRPr="002A677E">
              <w:rPr>
                <w:rFonts w:ascii="Times New Roman" w:hAnsi="Times New Roman"/>
                <w:sz w:val="24"/>
              </w:rPr>
              <w:t xml:space="preserve"> shall </w:t>
            </w:r>
            <w:r w:rsidRPr="002A677E">
              <w:rPr>
                <w:rFonts w:ascii="Times New Roman" w:hAnsi="Times New Roman"/>
                <w:sz w:val="24"/>
              </w:rPr>
              <w:t>include the general credit risk adjustments that are eligible for inclusion in T2 capital, before</w:t>
            </w:r>
            <w:r w:rsidR="00AE7CD3" w:rsidRPr="002A677E">
              <w:rPr>
                <w:rFonts w:ascii="Times New Roman" w:hAnsi="Times New Roman"/>
                <w:sz w:val="24"/>
              </w:rPr>
              <w:t xml:space="preserve"> the application of the</w:t>
            </w:r>
            <w:r w:rsidRPr="002A677E">
              <w:rPr>
                <w:rFonts w:ascii="Times New Roman" w:hAnsi="Times New Roman"/>
                <w:sz w:val="24"/>
              </w:rPr>
              <w:t xml:space="preserve"> cap</w:t>
            </w:r>
            <w:r w:rsidR="00AE7CD3" w:rsidRPr="002A677E">
              <w:rPr>
                <w:rFonts w:ascii="Times New Roman" w:hAnsi="Times New Roman"/>
                <w:sz w:val="24"/>
              </w:rPr>
              <w:t xml:space="preserve"> referred to in Article 62</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p w14:paraId="4A4EE817" w14:textId="77777777" w:rsidR="00D95045" w:rsidRPr="002A677E" w:rsidRDefault="00D95045" w:rsidP="00D95045">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065DB4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53F47A5D" w14:textId="5882E60D"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74780D2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3C9D4698" w14:textId="77777777" w:rsidR="004357B9" w:rsidRPr="002A677E" w:rsidRDefault="004357B9" w:rsidP="007D1F12">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r w:rsidR="007D1F12" w:rsidRPr="002A677E">
              <w:rPr>
                <w:rStyle w:val="InstructionsTabelleText"/>
                <w:rFonts w:ascii="Times New Roman" w:hAnsi="Times New Roman"/>
                <w:sz w:val="24"/>
              </w:rPr>
              <w:t>.</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61</w:t>
            </w:r>
          </w:p>
        </w:tc>
        <w:tc>
          <w:tcPr>
            <w:tcW w:w="8640" w:type="dxa"/>
          </w:tcPr>
          <w:p w14:paraId="76E609FB" w14:textId="77777777" w:rsidR="00664874" w:rsidRPr="002A677E" w:rsidRDefault="00664874" w:rsidP="00664874">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7219EC33" w14:textId="30C05372" w:rsidR="00664874" w:rsidRPr="002A677E" w:rsidRDefault="00664874" w:rsidP="00664874">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00E515D5"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11C1BDC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50993628"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640" w:type="dxa"/>
          </w:tcPr>
          <w:p w14:paraId="67018C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417E5E5A"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200 of CR SA 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23F2301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664874" w:rsidRPr="002A677E">
              <w:rPr>
                <w:rFonts w:ascii="Times New Roman" w:hAnsi="Times New Roman"/>
                <w:b/>
                <w:sz w:val="24"/>
                <w:u w:val="single"/>
              </w:rPr>
              <w:t>S</w:t>
            </w:r>
          </w:p>
          <w:p w14:paraId="1D2CAFDD"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215 of CR SA 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lastRenderedPageBreak/>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3F19BA"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SME SUPPORTING FACTOR</w:t>
            </w:r>
          </w:p>
          <w:p w14:paraId="0C30ED7F" w14:textId="77777777" w:rsidR="00664874" w:rsidRPr="002A677E" w:rsidRDefault="00664874" w:rsidP="003F19B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216 of CR SA 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696434"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 xml:space="preserve">INFRASTRUCTURE </w:t>
            </w:r>
            <w:r w:rsidR="005C29CD" w:rsidRPr="002A677E">
              <w:rPr>
                <w:rStyle w:val="InstructionsTabelleberschrift"/>
                <w:rFonts w:ascii="Times New Roman" w:hAnsi="Times New Roman"/>
                <w:sz w:val="24"/>
                <w:lang w:eastAsia="en-GB" w:bidi="ne-NP"/>
              </w:rPr>
              <w:t>SUPPORTING FACTOR</w:t>
            </w:r>
          </w:p>
          <w:p w14:paraId="281BC69D" w14:textId="77777777" w:rsidR="00664874" w:rsidRPr="002A677E" w:rsidRDefault="00664874" w:rsidP="000E197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217 of CR SA 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2A74587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664874" w:rsidRPr="002A677E">
              <w:rPr>
                <w:rFonts w:ascii="Times New Roman" w:hAnsi="Times New Roman"/>
                <w:b/>
                <w:sz w:val="24"/>
                <w:u w:val="single"/>
              </w:rPr>
              <w:t>S</w:t>
            </w:r>
          </w:p>
          <w:p w14:paraId="4C738ED2"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220 of CR SA 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504AB30A" w14:textId="19E0A38E" w:rsidR="004357B9" w:rsidRPr="002A677E" w:rsidRDefault="004357B9"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000737D3" w:rsidRPr="002A677E">
              <w:rPr>
                <w:rFonts w:ascii="Times New Roman" w:hAnsi="Times New Roman"/>
                <w:sz w:val="24"/>
              </w:rPr>
              <w:t>oint (a)</w:t>
            </w:r>
            <w:r w:rsidR="00CF5957">
              <w:rPr>
                <w:rFonts w:ascii="Times New Roman" w:hAnsi="Times New Roman"/>
                <w:sz w:val="24"/>
              </w:rPr>
              <w:t>,</w:t>
            </w:r>
            <w:r w:rsidR="000737D3"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23983289" w14:textId="59EF2DCA"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(b)</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1C212B83" w14:textId="47BC88D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(c)</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373C9F87" w14:textId="26DB17A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(d)</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7936A43F" w14:textId="3E27DA5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(e)</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02950B6A" w14:textId="19F0A9B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(f)</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1509655B" w14:textId="40AC2826"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(g)</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7121C9"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D95E54" w:rsidRPr="002A677E" w14:paraId="5B89E4F4" w14:textId="77777777" w:rsidTr="00672D2A">
        <w:tc>
          <w:tcPr>
            <w:tcW w:w="1188" w:type="dxa"/>
            <w:shd w:val="clear" w:color="auto" w:fill="FFFFFF"/>
          </w:tcPr>
          <w:p w14:paraId="719B37D0" w14:textId="05CC423A" w:rsidR="00D95E54" w:rsidRPr="002A677E" w:rsidRDefault="00D95E54" w:rsidP="004357B9">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162EF7BF" w14:textId="77777777" w:rsidR="00D95E54" w:rsidRDefault="00D95E54" w:rsidP="004357B9">
            <w:pPr>
              <w:ind w:left="72"/>
              <w:rPr>
                <w:rStyle w:val="InstructionsTabelleberschrift"/>
                <w:rFonts w:ascii="Times New Roman" w:hAnsi="Times New Roman"/>
                <w:sz w:val="24"/>
              </w:rPr>
            </w:pPr>
            <w:r>
              <w:rPr>
                <w:rStyle w:val="InstructionsTabelleberschrift"/>
                <w:rFonts w:ascii="Times New Roman" w:hAnsi="Times New Roman"/>
                <w:sz w:val="24"/>
              </w:rPr>
              <w:t xml:space="preserve">Of </w:t>
            </w:r>
            <w:r w:rsidR="00B7367A">
              <w:rPr>
                <w:rStyle w:val="InstructionsTabelleberschrift"/>
                <w:rFonts w:ascii="Times New Roman" w:hAnsi="Times New Roman"/>
                <w:sz w:val="24"/>
              </w:rPr>
              <w:t>which: Specialised lending</w:t>
            </w:r>
          </w:p>
          <w:p w14:paraId="6AB9233E" w14:textId="0B9EE8C7" w:rsidR="00B7367A" w:rsidRPr="000059B8" w:rsidRDefault="00E95122" w:rsidP="004357B9">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Article 122a</w:t>
            </w:r>
            <w:r w:rsidR="00A4471E">
              <w:rPr>
                <w:rStyle w:val="InstructionsTabelleberschrift"/>
                <w:rFonts w:ascii="Times New Roman" w:hAnsi="Times New Roman"/>
                <w:b w:val="0"/>
                <w:bCs w:val="0"/>
                <w:sz w:val="24"/>
                <w:u w:val="none"/>
              </w:rPr>
              <w:t xml:space="preserve"> </w:t>
            </w:r>
            <w:r w:rsidR="00A4471E" w:rsidRPr="001235ED">
              <w:rPr>
                <w:rFonts w:ascii="Times New Roman" w:hAnsi="Times New Roman"/>
                <w:sz w:val="24"/>
                <w:lang w:val="en-US"/>
              </w:rPr>
              <w:t>of Regulation (EU) No 575/2013</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3883BAA8" w14:textId="278D2301"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(h)</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701" w:type="dxa"/>
            <w:gridSpan w:val="2"/>
            <w:shd w:val="clear" w:color="auto" w:fill="FFFFFF"/>
          </w:tcPr>
          <w:p w14:paraId="51835A19" w14:textId="7BB6B9DA"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r w:rsidR="00BA5960">
              <w:rPr>
                <w:rStyle w:val="InstructionsTabelleberschrift"/>
                <w:rFonts w:ascii="Times New Roman" w:hAnsi="Times New Roman"/>
                <w:sz w:val="24"/>
              </w:rPr>
              <w:t xml:space="preserve"> and ADC exposures</w:t>
            </w:r>
          </w:p>
          <w:p w14:paraId="37245A82" w14:textId="6C84B819" w:rsidR="004357B9" w:rsidRPr="002A677E" w:rsidRDefault="000737D3"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(i)</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C3072C" w:rsidRPr="002A677E" w14:paraId="3BE230AE"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2A4925FD" w14:textId="22C49F16"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09</w:t>
            </w:r>
            <w:r w:rsidRPr="00C3072C">
              <w:rPr>
                <w:rStyle w:val="FormatvorlageInstructionsTabelleText"/>
                <w:rFonts w:ascii="Times New Roman" w:hAnsi="Times New Roman"/>
                <w:bCs w:val="0"/>
                <w:sz w:val="24"/>
              </w:rPr>
              <w:t>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343290F" w14:textId="6EE08075" w:rsidR="00C3072C" w:rsidRDefault="00C3072C" w:rsidP="00C3072C">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sidR="00E872E9">
              <w:rPr>
                <w:rStyle w:val="InstructionsTabelleberschrift"/>
                <w:rFonts w:ascii="Times New Roman" w:hAnsi="Times New Roman"/>
                <w:sz w:val="24"/>
              </w:rPr>
              <w:t xml:space="preserve"> (secured)</w:t>
            </w:r>
          </w:p>
          <w:p w14:paraId="528B0F99"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E872E9" w:rsidRPr="002A677E" w14:paraId="39C167BF"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7FD00441" w14:textId="086C5026" w:rsidR="00E872E9" w:rsidRPr="00C3072C" w:rsidRDefault="00E872E9" w:rsidP="00C3072C">
            <w:pPr>
              <w:rPr>
                <w:rStyle w:val="FormatvorlageInstructionsTabelleText"/>
                <w:rFonts w:ascii="Times New Roman" w:hAnsi="Times New Roman"/>
                <w:bCs w:val="0"/>
                <w:sz w:val="24"/>
              </w:rPr>
            </w:pPr>
            <w:r>
              <w:rPr>
                <w:rStyle w:val="FormatvorlageInstructionsTabelleText"/>
                <w:rFonts w:ascii="Times New Roman" w:hAnsi="Times New Roman"/>
                <w:bCs w:val="0"/>
                <w:sz w:val="24"/>
              </w:rPr>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75D9AF90" w14:textId="65797F2E" w:rsidR="00E872E9" w:rsidRDefault="00E872E9" w:rsidP="00E872E9">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6A402467" w14:textId="3B311874" w:rsidR="00E872E9" w:rsidRPr="006C1328" w:rsidRDefault="00E872E9" w:rsidP="00E872E9">
            <w:pPr>
              <w:ind w:left="72"/>
              <w:rPr>
                <w:rStyle w:val="InstructionsTabelleberschrift"/>
                <w:rFonts w:ascii="Times New Roman" w:hAnsi="Times New Roman"/>
                <w:sz w:val="24"/>
              </w:rPr>
            </w:pPr>
            <w:r w:rsidRPr="00ED4738">
              <w:rPr>
                <w:rStyle w:val="FormatvorlageInstructionsTabelleText"/>
                <w:rFonts w:ascii="Times New Roman" w:hAnsi="Times New Roman"/>
                <w:bCs w:val="0"/>
                <w:sz w:val="24"/>
              </w:rPr>
              <w:t>See CR SA template</w:t>
            </w:r>
          </w:p>
        </w:tc>
      </w:tr>
      <w:tr w:rsidR="00C3072C" w:rsidRPr="002A677E" w14:paraId="4F5CF6C5"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6F7263B7" w14:textId="5DB55A25"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09</w:t>
            </w:r>
            <w:r w:rsidR="00E872E9">
              <w:rPr>
                <w:rStyle w:val="FormatvorlageInstructionsTabelleText"/>
                <w:rFonts w:ascii="Times New Roman" w:hAnsi="Times New Roman"/>
                <w:bCs w:val="0"/>
                <w:sz w:val="24"/>
              </w:rPr>
              <w:t>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26861E3" w14:textId="1AEF0661" w:rsidR="00C3072C" w:rsidRDefault="00C3072C" w:rsidP="00C3072C">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4980056D"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C3072C" w:rsidRPr="002A677E" w14:paraId="45623389"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3C73CB0B" w14:textId="1F27A9BB"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09</w:t>
            </w:r>
            <w:r w:rsidR="00E872E9">
              <w:rPr>
                <w:rStyle w:val="FormatvorlageInstructionsTabelleText"/>
                <w:rFonts w:ascii="Times New Roman" w:hAnsi="Times New Roman"/>
                <w:bCs w:val="0"/>
                <w:sz w:val="24"/>
              </w:rPr>
              <w:t>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4138EB" w14:textId="4FB2E6CA" w:rsidR="00C3072C" w:rsidRDefault="00C3072C" w:rsidP="00C3072C">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sidR="00E872E9">
              <w:rPr>
                <w:rStyle w:val="InstructionsTabelleberschrift"/>
                <w:rFonts w:ascii="Times New Roman" w:hAnsi="Times New Roman"/>
                <w:sz w:val="24"/>
              </w:rPr>
              <w:t xml:space="preserve"> (secured)</w:t>
            </w:r>
          </w:p>
          <w:p w14:paraId="7E3153A1"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E872E9" w:rsidRPr="002A677E" w14:paraId="48B8325E"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742D1886" w14:textId="1A1BD2F2" w:rsidR="00E872E9" w:rsidRPr="00C3072C" w:rsidRDefault="00E872E9" w:rsidP="00C3072C">
            <w:pPr>
              <w:rPr>
                <w:rStyle w:val="FormatvorlageInstructionsTabelleText"/>
                <w:rFonts w:ascii="Times New Roman" w:hAnsi="Times New Roman"/>
                <w:bCs w:val="0"/>
                <w:sz w:val="24"/>
              </w:rPr>
            </w:pPr>
            <w:r>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E52ACEB" w14:textId="4F3FEC37" w:rsidR="00E872E9" w:rsidRDefault="00E872E9" w:rsidP="00E872E9">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0112C911" w14:textId="24C0A258" w:rsidR="00E872E9" w:rsidRPr="006C1328" w:rsidRDefault="00E872E9" w:rsidP="00E872E9">
            <w:pPr>
              <w:ind w:left="72"/>
              <w:rPr>
                <w:rStyle w:val="InstructionsTabelleberschrift"/>
                <w:rFonts w:ascii="Times New Roman" w:hAnsi="Times New Roman"/>
                <w:sz w:val="24"/>
              </w:rPr>
            </w:pPr>
            <w:r w:rsidRPr="00ED4738">
              <w:rPr>
                <w:rStyle w:val="FormatvorlageInstructionsTabelleText"/>
                <w:rFonts w:ascii="Times New Roman" w:hAnsi="Times New Roman"/>
                <w:bCs w:val="0"/>
                <w:sz w:val="24"/>
              </w:rPr>
              <w:t>See CR SA template</w:t>
            </w:r>
          </w:p>
        </w:tc>
      </w:tr>
      <w:tr w:rsidR="00C3072C" w:rsidRPr="002A677E" w14:paraId="469F5F6C"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635FE5E9" w14:textId="06F820D9"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7103FEFF" w14:textId="6AFD9493" w:rsidR="00C3072C" w:rsidRDefault="00C3072C" w:rsidP="00C3072C">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415A774B"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C3072C" w:rsidRPr="002A677E" w14:paraId="5C05CC36"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6B1C90A4" w14:textId="51279F11"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E5DEAF" w14:textId="2A3B1D41" w:rsidR="00C3072C" w:rsidRDefault="00C3072C" w:rsidP="00C3072C">
            <w:pPr>
              <w:ind w:left="72"/>
              <w:rPr>
                <w:rStyle w:val="InstructionsTabelleberschrift"/>
                <w:rFonts w:ascii="Times New Roman" w:hAnsi="Times New Roman"/>
                <w:sz w:val="24"/>
              </w:rPr>
            </w:pPr>
            <w:r w:rsidRPr="003A4998">
              <w:rPr>
                <w:rStyle w:val="InstructionsTabelleberschrift"/>
                <w:rFonts w:ascii="Times New Roman" w:hAnsi="Times New Roman"/>
                <w:sz w:val="24"/>
              </w:rPr>
              <w:t>Secured by mortgages on immovable property - Other - non-IPRE</w:t>
            </w:r>
          </w:p>
          <w:p w14:paraId="2A9CCA33"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C3072C" w:rsidRPr="002A677E" w14:paraId="3223FF2E"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65780A9B" w14:textId="331B1792" w:rsidR="00C3072C" w:rsidRPr="00C3072C" w:rsidRDefault="00C3072C" w:rsidP="00C3072C">
            <w:pPr>
              <w:rPr>
                <w:rStyle w:val="FormatvorlageInstructionsTabelleText"/>
                <w:rFonts w:ascii="Times New Roman" w:hAnsi="Times New Roman"/>
                <w:bCs w:val="0"/>
                <w:sz w:val="24"/>
              </w:rPr>
            </w:pP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93BD817" w14:textId="1E49DCD6" w:rsidR="00C3072C" w:rsidRDefault="00C3072C" w:rsidP="00C3072C">
            <w:pPr>
              <w:ind w:left="72"/>
              <w:rPr>
                <w:rStyle w:val="InstructionsTabelleberschrift"/>
                <w:rFonts w:ascii="Times New Roman" w:hAnsi="Times New Roman"/>
                <w:sz w:val="24"/>
              </w:rPr>
            </w:pPr>
            <w:r w:rsidRPr="003A4998">
              <w:rPr>
                <w:rStyle w:val="InstructionsTabelleberschrift"/>
                <w:rFonts w:ascii="Times New Roman" w:hAnsi="Times New Roman"/>
                <w:sz w:val="24"/>
              </w:rPr>
              <w:t xml:space="preserve">Secured by mortgages on immovable property - Other </w:t>
            </w:r>
            <w:r>
              <w:rPr>
                <w:rStyle w:val="InstructionsTabelleberschrift"/>
                <w:rFonts w:ascii="Times New Roman" w:hAnsi="Times New Roman"/>
                <w:sz w:val="24"/>
              </w:rPr>
              <w:t>–</w:t>
            </w:r>
            <w:r w:rsidRPr="003A4998">
              <w:rPr>
                <w:rStyle w:val="InstructionsTabelleberschrift"/>
                <w:rFonts w:ascii="Times New Roman" w:hAnsi="Times New Roman"/>
                <w:sz w:val="24"/>
              </w:rPr>
              <w:t xml:space="preserve"> IPRE</w:t>
            </w:r>
          </w:p>
          <w:p w14:paraId="17DDC6E5"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C3072C" w:rsidRPr="002A677E" w14:paraId="0C1CB7EE" w14:textId="77777777" w:rsidTr="00C3072C">
        <w:tc>
          <w:tcPr>
            <w:tcW w:w="1188" w:type="dxa"/>
            <w:tcBorders>
              <w:top w:val="single" w:sz="4" w:space="0" w:color="auto"/>
              <w:left w:val="single" w:sz="4" w:space="0" w:color="auto"/>
              <w:bottom w:val="single" w:sz="4" w:space="0" w:color="auto"/>
              <w:right w:val="single" w:sz="4" w:space="0" w:color="auto"/>
            </w:tcBorders>
            <w:shd w:val="clear" w:color="auto" w:fill="FFFFFF"/>
          </w:tcPr>
          <w:p w14:paraId="2A016632" w14:textId="2DFF70F7" w:rsidR="00C3072C" w:rsidRPr="00C3072C" w:rsidRDefault="00C3072C" w:rsidP="00C3072C">
            <w:pPr>
              <w:rPr>
                <w:rStyle w:val="FormatvorlageInstructionsTabelleText"/>
                <w:rFonts w:ascii="Times New Roman" w:hAnsi="Times New Roman"/>
                <w:bCs w:val="0"/>
                <w:sz w:val="24"/>
              </w:rPr>
            </w:pPr>
            <w:r>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2BA67E1" w14:textId="667804FE" w:rsidR="00C3072C" w:rsidRDefault="00C3072C" w:rsidP="00C3072C">
            <w:pPr>
              <w:ind w:left="72"/>
              <w:rPr>
                <w:rStyle w:val="InstructionsTabelleberschrift"/>
                <w:rFonts w:ascii="Times New Roman" w:hAnsi="Times New Roman"/>
                <w:sz w:val="24"/>
              </w:rPr>
            </w:pPr>
            <w:r w:rsidRPr="003A4998">
              <w:rPr>
                <w:rStyle w:val="InstructionsTabelleberschrift"/>
                <w:rFonts w:ascii="Times New Roman" w:hAnsi="Times New Roman"/>
                <w:sz w:val="24"/>
              </w:rPr>
              <w:t>Acquisition, development and construction (ADC)</w:t>
            </w:r>
          </w:p>
          <w:p w14:paraId="142FE2CE" w14:textId="77777777" w:rsidR="00C3072C" w:rsidRPr="000059B8" w:rsidRDefault="00C3072C" w:rsidP="00C3072C">
            <w:pPr>
              <w:ind w:left="72"/>
              <w:rPr>
                <w:rStyle w:val="InstructionsTabelleberschrift"/>
                <w:rFonts w:ascii="Times New Roman" w:hAnsi="Times New Roman"/>
                <w:bCs w:val="0"/>
                <w:sz w:val="24"/>
                <w:u w:val="none"/>
              </w:rPr>
            </w:pPr>
            <w:r w:rsidRPr="000059B8">
              <w:rPr>
                <w:rStyle w:val="FormatvorlageInstructionsTabelleText"/>
                <w:rFonts w:ascii="Times New Roman" w:hAnsi="Times New Roman"/>
                <w:bCs w:val="0"/>
                <w:sz w:val="24"/>
              </w:rPr>
              <w:t>See CR SA template</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69BB8CC" w14:textId="3A97960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(j)</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2315F4" w:rsidRPr="002A677E" w14:paraId="4FB9C39B" w14:textId="77777777" w:rsidTr="00672D2A">
        <w:tc>
          <w:tcPr>
            <w:tcW w:w="1188" w:type="dxa"/>
            <w:shd w:val="clear" w:color="auto" w:fill="FFFFFF"/>
          </w:tcPr>
          <w:p w14:paraId="67B9A1D8" w14:textId="3DDA23D3" w:rsidR="002315F4" w:rsidRPr="002A677E" w:rsidRDefault="002315F4" w:rsidP="004357B9">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5087B801" w14:textId="77777777" w:rsidR="002315F4" w:rsidRDefault="002315F4" w:rsidP="004357B9">
            <w:pPr>
              <w:ind w:left="72"/>
              <w:rPr>
                <w:rStyle w:val="InstructionsTabelleberschrift"/>
                <w:rFonts w:ascii="Times New Roman" w:hAnsi="Times New Roman"/>
                <w:sz w:val="24"/>
              </w:rPr>
            </w:pPr>
            <w:r>
              <w:rPr>
                <w:rStyle w:val="InstructionsTabelleberschrift"/>
                <w:rFonts w:ascii="Times New Roman" w:hAnsi="Times New Roman"/>
                <w:sz w:val="24"/>
              </w:rPr>
              <w:t>Subordinated debt exposures</w:t>
            </w:r>
          </w:p>
          <w:p w14:paraId="5782CB30" w14:textId="799ACF9B" w:rsidR="002315F4" w:rsidRPr="000059B8" w:rsidRDefault="00EC4DEF" w:rsidP="004357B9">
            <w:pPr>
              <w:ind w:left="72"/>
              <w:rPr>
                <w:rStyle w:val="InstructionsTabelleberschrift"/>
                <w:rFonts w:ascii="Times New Roman" w:hAnsi="Times New Roman"/>
                <w:b w:val="0"/>
                <w:bCs w:val="0"/>
                <w:sz w:val="24"/>
                <w:u w:val="none"/>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w:t>
            </w:r>
            <w:r>
              <w:rPr>
                <w:rFonts w:ascii="Times New Roman" w:hAnsi="Times New Roman"/>
                <w:sz w:val="24"/>
              </w:rPr>
              <w:t>k</w:t>
            </w:r>
            <w:r w:rsidRPr="001235ED">
              <w:rPr>
                <w:rFonts w:ascii="Times New Roman" w:hAnsi="Times New Roman"/>
                <w:sz w:val="24"/>
              </w:rPr>
              <w:t>)</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(l)</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w:t>
            </w:r>
            <w:r w:rsidR="00BA6384" w:rsidRPr="002A677E">
              <w:rPr>
                <w:rStyle w:val="InstructionsTabelleberschrift"/>
                <w:rFonts w:ascii="Times New Roman" w:hAnsi="Times New Roman"/>
                <w:bCs w:val="0"/>
                <w:sz w:val="24"/>
              </w:rPr>
              <w:t>s</w:t>
            </w:r>
            <w:r w:rsidRPr="002A677E">
              <w:rPr>
                <w:rStyle w:val="InstructionsTabelleberschrift"/>
                <w:rFonts w:ascii="Times New Roman" w:hAnsi="Times New Roman"/>
                <w:bCs w:val="0"/>
                <w:sz w:val="24"/>
              </w:rPr>
              <w:t xml:space="preserve"> with a short-term credit assessment</w:t>
            </w:r>
          </w:p>
          <w:p w14:paraId="0D01A770" w14:textId="09E1DCEB" w:rsidR="004357B9" w:rsidRPr="002A677E" w:rsidRDefault="000737D3" w:rsidP="00D21B29">
            <w:pPr>
              <w:ind w:left="72"/>
              <w:rPr>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(n)</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8FD8243" w14:textId="38E4E1A3" w:rsidR="004357B9" w:rsidRPr="002A677E" w:rsidRDefault="000737D3" w:rsidP="00D21B29">
            <w:pPr>
              <w:ind w:left="72"/>
              <w:rPr>
                <w:rFonts w:ascii="Times New Roman" w:hAnsi="Times New Roman"/>
                <w:bCs/>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(o)</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281 of CR SA 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282 of CR SA 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283 of CR SA 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2AA80A14" w14:textId="1A6C183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sidR="00BE127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35A52D49" w14:textId="73380C6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(q)</w:t>
            </w:r>
            <w:r w:rsidR="00BE1277">
              <w:rPr>
                <w:rFonts w:ascii="Times New Roman" w:hAnsi="Times New Roman"/>
                <w:sz w:val="24"/>
              </w:rPr>
              <w:t>,</w:t>
            </w:r>
            <w:r w:rsidR="004357B9"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4"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5" w:name="_Toc360188364"/>
      <w:bookmarkStart w:id="366" w:name="_Toc473560915"/>
      <w:bookmarkStart w:id="367" w:name="_Toc151714419"/>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09.02</w:t>
      </w:r>
      <w:r w:rsidR="004357B9" w:rsidRPr="002A677E">
        <w:rPr>
          <w:rFonts w:ascii="Times New Roman" w:hAnsi="Times New Roman" w:cs="Times New Roman"/>
          <w:sz w:val="24"/>
          <w:lang w:val="en-GB"/>
        </w:rPr>
        <w:t xml:space="preserve"> – Geographical breakdown of exposur</w:t>
      </w:r>
      <w:r w:rsidR="009769DE" w:rsidRPr="002A677E">
        <w:rPr>
          <w:rFonts w:ascii="Times New Roman" w:hAnsi="Times New Roman" w:cs="Times New Roman"/>
          <w:sz w:val="24"/>
          <w:lang w:val="en-GB"/>
        </w:rPr>
        <w:t xml:space="preserve">es by residence of the obligor: </w:t>
      </w:r>
      <w:r w:rsidR="004357B9" w:rsidRPr="002A677E">
        <w:rPr>
          <w:rFonts w:ascii="Times New Roman" w:hAnsi="Times New Roman" w:cs="Times New Roman"/>
          <w:sz w:val="24"/>
          <w:lang w:val="en-GB"/>
        </w:rPr>
        <w:t>IRB exposures</w:t>
      </w:r>
      <w:bookmarkEnd w:id="365"/>
      <w:r w:rsidR="009769DE" w:rsidRPr="002A677E">
        <w:rPr>
          <w:rFonts w:ascii="Times New Roman" w:hAnsi="Times New Roman" w:cs="Times New Roman"/>
          <w:sz w:val="24"/>
          <w:lang w:val="en-GB"/>
        </w:rPr>
        <w:t xml:space="preserve"> (CR GB 2)</w:t>
      </w:r>
      <w:bookmarkEnd w:id="366"/>
      <w:bookmarkEnd w:id="367"/>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8" w:name="_Toc360188365"/>
      <w:bookmarkStart w:id="369" w:name="_Toc473560916"/>
      <w:bookmarkStart w:id="370" w:name="_Toc151714420"/>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20 of CR IRB 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069BAE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1D943763" w14:textId="62EA4674" w:rsidR="004357B9" w:rsidRPr="002A677E" w:rsidRDefault="004357B9" w:rsidP="00F855D5">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D21B29" w:rsidRPr="002A677E">
              <w:rPr>
                <w:rStyle w:val="InstructionsTabelleText"/>
                <w:rFonts w:ascii="Times New Roman" w:hAnsi="Times New Roman"/>
                <w:sz w:val="24"/>
              </w:rPr>
              <w:t>Article</w:t>
            </w:r>
            <w:r w:rsidRPr="002A677E">
              <w:rPr>
                <w:rStyle w:val="InstructionsTabelleText"/>
                <w:rFonts w:ascii="Times New Roman" w:hAnsi="Times New Roman"/>
                <w:sz w:val="24"/>
              </w:rPr>
              <w:t xml:space="preserve"> 178</w:t>
            </w:r>
            <w:r w:rsidR="00F855D5"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3B2F6E6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5AA2946" w14:textId="611A4569" w:rsidR="004357B9" w:rsidRPr="002A677E" w:rsidRDefault="00220B85" w:rsidP="003D14AE">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4B64B7A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71E5569B" w14:textId="47E5AA21" w:rsidR="004357B9" w:rsidRPr="002A677E" w:rsidRDefault="004357B9" w:rsidP="00D82B60">
            <w:pPr>
              <w:rPr>
                <w:rFonts w:ascii="Times New Roman" w:hAnsi="Times New Roman"/>
                <w:b/>
                <w:sz w:val="24"/>
                <w:u w:val="single"/>
              </w:rPr>
            </w:pPr>
            <w:r w:rsidRPr="002A677E">
              <w:rPr>
                <w:rFonts w:ascii="Times New Roman" w:hAnsi="Times New Roman"/>
                <w:sz w:val="24"/>
              </w:rPr>
              <w:lastRenderedPageBreak/>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w:t>
            </w:r>
            <w:r w:rsidR="00F855D5"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2F55B3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05C4F6FE" w14:textId="50BC9DC9"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67DCC6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1BC74517" w14:textId="77777777" w:rsidR="004357B9" w:rsidRPr="002A677E" w:rsidRDefault="004357B9" w:rsidP="00EA4F4F">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017F2FF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0760A334"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INTERNAL RATING </w:t>
            </w:r>
            <w:r w:rsidR="009A4399" w:rsidRPr="002A677E">
              <w:rPr>
                <w:rStyle w:val="InstructionsTabelleberschrift"/>
                <w:rFonts w:ascii="Times New Roman" w:hAnsi="Times New Roman"/>
                <w:bCs w:val="0"/>
                <w:sz w:val="24"/>
              </w:rPr>
              <w:t>SCALE</w:t>
            </w:r>
            <w:r w:rsidRPr="002A677E">
              <w:rPr>
                <w:rStyle w:val="InstructionsTabelleberschrift"/>
                <w:rFonts w:ascii="Times New Roman" w:hAnsi="Times New Roman"/>
                <w:bCs w:val="0"/>
                <w:sz w:val="24"/>
              </w:rPr>
              <w:t>/ PD ASSIGNED TO THE OBLIGOR GRADE OR POOL (%)</w:t>
            </w:r>
          </w:p>
          <w:p w14:paraId="23C091C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Same definition as for column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 of CR IRB 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64B1461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WEIGHTED AVERAGE LGD (%)</w:t>
            </w:r>
          </w:p>
          <w:p w14:paraId="7FDB0A4A" w14:textId="76F2BC84"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w:t>
            </w:r>
            <w:r w:rsidR="00EA56D1"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230</w:t>
            </w:r>
            <w:r w:rsidR="00EA56D1" w:rsidRPr="002A677E">
              <w:rPr>
                <w:rStyle w:val="InstructionsTabelleText"/>
                <w:rFonts w:ascii="Times New Roman" w:hAnsi="Times New Roman"/>
                <w:sz w:val="24"/>
              </w:rPr>
              <w:t xml:space="preserve"> and </w:t>
            </w:r>
            <w:r w:rsidR="001452FC" w:rsidRPr="002A677E">
              <w:rPr>
                <w:rStyle w:val="InstructionsTabelleText"/>
                <w:rFonts w:ascii="Times New Roman" w:hAnsi="Times New Roman"/>
                <w:sz w:val="24"/>
              </w:rPr>
              <w:t>0</w:t>
            </w:r>
            <w:r w:rsidR="00EA56D1" w:rsidRPr="002A677E">
              <w:rPr>
                <w:rStyle w:val="InstructionsTabelleText"/>
                <w:rFonts w:ascii="Times New Roman" w:hAnsi="Times New Roman"/>
                <w:sz w:val="24"/>
              </w:rPr>
              <w:t>240</w:t>
            </w:r>
            <w:r w:rsidRPr="002A677E">
              <w:rPr>
                <w:rStyle w:val="InstructionsTabelleText"/>
                <w:rFonts w:ascii="Times New Roman" w:hAnsi="Times New Roman"/>
                <w:sz w:val="24"/>
              </w:rPr>
              <w:t xml:space="preserve"> of CR IRB template</w:t>
            </w:r>
            <w:r w:rsidR="00082265" w:rsidRPr="002A677E">
              <w:rPr>
                <w:rStyle w:val="InstructionsTabelleText"/>
                <w:rFonts w:ascii="Times New Roman" w:hAnsi="Times New Roman"/>
                <w:sz w:val="24"/>
              </w:rPr>
              <w:t>:</w:t>
            </w:r>
            <w:r w:rsidR="00EA56D1" w:rsidRPr="002A677E">
              <w:rPr>
                <w:rStyle w:val="InstructionsTabelleText"/>
                <w:rFonts w:ascii="Times New Roman" w:hAnsi="Times New Roman"/>
                <w:sz w:val="24"/>
              </w:rPr>
              <w:t xml:space="preserve"> the exposure weighted average LGD (%) </w:t>
            </w:r>
            <w:r w:rsidR="00D96E61" w:rsidRPr="002A677E">
              <w:rPr>
                <w:rStyle w:val="InstructionsTabelleText"/>
                <w:rFonts w:ascii="Times New Roman" w:hAnsi="Times New Roman"/>
                <w:sz w:val="24"/>
              </w:rPr>
              <w:t>shall refer to</w:t>
            </w:r>
            <w:r w:rsidR="00EA56D1" w:rsidRPr="002A677E">
              <w:rPr>
                <w:rStyle w:val="InstructionsTabelleText"/>
                <w:rFonts w:ascii="Times New Roman" w:hAnsi="Times New Roman"/>
                <w:sz w:val="24"/>
              </w:rPr>
              <w:t xml:space="preserve"> all exposures</w:t>
            </w:r>
            <w:r w:rsidR="00082265" w:rsidRPr="002A677E">
              <w:rPr>
                <w:rStyle w:val="InstructionsTabelleText"/>
                <w:rFonts w:ascii="Times New Roman" w:hAnsi="Times New Roman"/>
                <w:sz w:val="24"/>
              </w:rPr>
              <w:t>, including exposures to large financial sector entities and unregulated financial entities</w:t>
            </w:r>
            <w:r w:rsidRPr="002A677E">
              <w:rPr>
                <w:rStyle w:val="InstructionsTabelleText"/>
                <w:rFonts w:ascii="Times New Roman" w:hAnsi="Times New Roman"/>
                <w:sz w:val="24"/>
              </w:rPr>
              <w:t>. Article 181(1)</w:t>
            </w:r>
            <w:r w:rsidR="000737D3" w:rsidRPr="002A677E">
              <w:rPr>
                <w:rStyle w:val="InstructionsTabelleText"/>
                <w:rFonts w:ascii="Times New Roman" w:hAnsi="Times New Roman"/>
                <w:sz w:val="24"/>
              </w:rPr>
              <w:t>,</w:t>
            </w:r>
            <w:r w:rsidR="00BE1277">
              <w:rPr>
                <w:rStyle w:val="InstructionsTabelleText"/>
                <w:rFonts w:ascii="Times New Roman" w:hAnsi="Times New Roman"/>
                <w:sz w:val="24"/>
              </w:rPr>
              <w:t xml:space="preserve"> </w:t>
            </w:r>
            <w:r w:rsidR="000737D3" w:rsidRPr="002A677E">
              <w:rPr>
                <w:rStyle w:val="InstructionsTabelleText"/>
                <w:rFonts w:ascii="Times New Roman" w:hAnsi="Times New Roman"/>
                <w:sz w:val="24"/>
              </w:rPr>
              <w:t>point (h)</w:t>
            </w:r>
            <w:r w:rsidR="00BE1277">
              <w:rPr>
                <w:rStyle w:val="InstructionsTabelleText"/>
                <w:rFonts w:ascii="Times New Roman" w:hAnsi="Times New Roman"/>
                <w:sz w:val="24"/>
              </w:rPr>
              <w:t>,</w:t>
            </w:r>
            <w:r w:rsidR="000737D3"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1126B797" w14:textId="67CD711F" w:rsidR="0042766A" w:rsidRPr="002A677E" w:rsidRDefault="0027034D" w:rsidP="009A4399">
            <w:pPr>
              <w:rPr>
                <w:rFonts w:ascii="Times New Roman" w:hAnsi="Times New Roman"/>
                <w:b/>
                <w:sz w:val="24"/>
                <w:u w:val="single"/>
              </w:rPr>
            </w:pPr>
            <w:r w:rsidRPr="002A677E">
              <w:rPr>
                <w:rFonts w:ascii="Times New Roman" w:hAnsi="Times New Roman"/>
                <w:sz w:val="24"/>
              </w:rPr>
              <w:t xml:space="preserve">For specialised lending exposures where the PD is </w:t>
            </w:r>
            <w:r w:rsidR="003D14AE" w:rsidRPr="002A677E">
              <w:rPr>
                <w:rFonts w:ascii="Times New Roman" w:hAnsi="Times New Roman"/>
                <w:sz w:val="24"/>
              </w:rPr>
              <w:t>estimated</w:t>
            </w:r>
            <w:r w:rsidRPr="002A677E">
              <w:rPr>
                <w:rFonts w:ascii="Times New Roman" w:hAnsi="Times New Roman"/>
                <w:sz w:val="24"/>
              </w:rPr>
              <w:t xml:space="preserve">, the </w:t>
            </w:r>
            <w:r w:rsidR="003D14AE" w:rsidRPr="002A677E">
              <w:rPr>
                <w:rFonts w:ascii="Times New Roman" w:hAnsi="Times New Roman"/>
                <w:sz w:val="24"/>
              </w:rPr>
              <w:t xml:space="preserve">reported value should be either the </w:t>
            </w:r>
            <w:r w:rsidRPr="002A677E">
              <w:rPr>
                <w:rFonts w:ascii="Times New Roman" w:hAnsi="Times New Roman"/>
                <w:sz w:val="24"/>
              </w:rPr>
              <w:t>estimated</w:t>
            </w:r>
            <w:r w:rsidR="003D14AE" w:rsidRPr="002A677E">
              <w:rPr>
                <w:rFonts w:ascii="Times New Roman" w:hAnsi="Times New Roman"/>
                <w:sz w:val="24"/>
              </w:rPr>
              <w:t xml:space="preserve"> or the </w:t>
            </w:r>
            <w:r w:rsidRPr="002A677E">
              <w:rPr>
                <w:rFonts w:ascii="Times New Roman" w:hAnsi="Times New Roman"/>
                <w:sz w:val="24"/>
              </w:rPr>
              <w:t>regulatory LGD. For speciali</w:t>
            </w:r>
            <w:r w:rsidR="009A4399" w:rsidRPr="002A677E">
              <w:rPr>
                <w:rFonts w:ascii="Times New Roman" w:hAnsi="Times New Roman"/>
                <w:sz w:val="24"/>
              </w:rPr>
              <w:t>s</w:t>
            </w:r>
            <w:r w:rsidRPr="002A677E">
              <w:rPr>
                <w:rFonts w:ascii="Times New Roman" w:hAnsi="Times New Roman"/>
                <w:sz w:val="24"/>
              </w:rPr>
              <w:t xml:space="preserve">ed lending exposures </w:t>
            </w:r>
            <w:r w:rsidR="0044539D" w:rsidRPr="002A677E">
              <w:rPr>
                <w:rFonts w:ascii="Times New Roman" w:hAnsi="Times New Roman"/>
                <w:sz w:val="24"/>
              </w:rPr>
              <w:t>referred to in Article 153</w:t>
            </w:r>
            <w:r w:rsidRPr="002A677E">
              <w:rPr>
                <w:rFonts w:ascii="Times New Roman" w:hAnsi="Times New Roman"/>
                <w:sz w:val="24"/>
              </w:rPr>
              <w:t>(5)</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2DFA2ED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71E4C07B" w14:textId="4F79A354" w:rsidR="004357B9" w:rsidRPr="002A677E" w:rsidRDefault="004357B9" w:rsidP="003B271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280B99"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280B99"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F45359" w:rsidRPr="002A677E">
              <w:rPr>
                <w:rFonts w:ascii="Times New Roman" w:hAnsi="Times New Roman"/>
                <w:sz w:val="24"/>
              </w:rPr>
              <w:t>105</w:t>
            </w:r>
          </w:p>
        </w:tc>
        <w:tc>
          <w:tcPr>
            <w:tcW w:w="8640" w:type="dxa"/>
          </w:tcPr>
          <w:p w14:paraId="641943D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384CBDFD"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110 of CR IRB 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1875EE78"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27034D" w:rsidRPr="002A677E">
              <w:rPr>
                <w:rFonts w:ascii="Times New Roman" w:hAnsi="Times New Roman"/>
                <w:b/>
                <w:sz w:val="24"/>
                <w:u w:val="single"/>
              </w:rPr>
              <w:t>S</w:t>
            </w:r>
          </w:p>
          <w:p w14:paraId="7F4A361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255 of CR IRB 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121A02D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0AEC330D" w14:textId="087BAB08" w:rsidR="004357B9" w:rsidRPr="002A677E" w:rsidRDefault="004357B9" w:rsidP="00BB22D4">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w:t>
            </w:r>
            <w:r w:rsidR="00BB22D4" w:rsidRPr="002A677E">
              <w:rPr>
                <w:rStyle w:val="InstructionsTabelleText"/>
                <w:rFonts w:ascii="Times New Roman" w:hAnsi="Times New Roman"/>
                <w:sz w:val="24"/>
              </w:rPr>
              <w:t xml:space="preserve">in accordance with </w:t>
            </w:r>
            <w:r w:rsidR="004E5B02"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A37A04" w:rsidRPr="002A677E">
              <w:rPr>
                <w:rStyle w:val="InstructionsTabelleText"/>
                <w:rFonts w:ascii="Times New Roman" w:hAnsi="Times New Roman"/>
                <w:sz w:val="24"/>
              </w:rPr>
              <w:t>(1)</w:t>
            </w:r>
            <w:r w:rsidR="004E5B02"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121</w:t>
            </w:r>
          </w:p>
        </w:tc>
        <w:tc>
          <w:tcPr>
            <w:tcW w:w="8640" w:type="dxa"/>
          </w:tcPr>
          <w:p w14:paraId="6EC25E55" w14:textId="6270C49D"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sidR="00402284">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31A9C90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256 of CR IRB 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lastRenderedPageBreak/>
              <w:t>0</w:t>
            </w:r>
            <w:r w:rsidR="0027034D" w:rsidRPr="002A677E">
              <w:rPr>
                <w:rFonts w:ascii="Times New Roman" w:hAnsi="Times New Roman"/>
                <w:sz w:val="24"/>
                <w:lang w:eastAsia="en-GB" w:bidi="ne-NP"/>
              </w:rPr>
              <w:t>122</w:t>
            </w:r>
          </w:p>
        </w:tc>
        <w:tc>
          <w:tcPr>
            <w:tcW w:w="8640" w:type="dxa"/>
          </w:tcPr>
          <w:p w14:paraId="20BF7657"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xml:space="preserve">(-) ADJUSTMENT TO RISK-WEIGHTED EXPOSURE AMOUNT DUE TO </w:t>
            </w:r>
            <w:r w:rsidR="00696434" w:rsidRPr="002A677E">
              <w:rPr>
                <w:rFonts w:ascii="Times New Roman" w:hAnsi="Times New Roman"/>
                <w:b/>
                <w:sz w:val="24"/>
                <w:u w:val="single"/>
                <w:lang w:eastAsia="en-GB" w:bidi="ne-NP"/>
              </w:rPr>
              <w:t xml:space="preserve">THE </w:t>
            </w:r>
            <w:r w:rsidRPr="002A677E">
              <w:rPr>
                <w:rFonts w:ascii="Times New Roman" w:hAnsi="Times New Roman"/>
                <w:b/>
                <w:sz w:val="24"/>
                <w:u w:val="single"/>
                <w:lang w:eastAsia="en-GB" w:bidi="ne-NP"/>
              </w:rPr>
              <w:t xml:space="preserve">INFRASTRUCTURE </w:t>
            </w:r>
            <w:r w:rsidR="005C29CD" w:rsidRPr="002A677E">
              <w:rPr>
                <w:rFonts w:ascii="Times New Roman" w:hAnsi="Times New Roman"/>
                <w:b/>
                <w:sz w:val="24"/>
                <w:u w:val="single"/>
                <w:lang w:eastAsia="en-GB" w:bidi="ne-NP"/>
              </w:rPr>
              <w:t>SUPPORTING FACTOR</w:t>
            </w:r>
          </w:p>
          <w:p w14:paraId="6C2BB1A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257 of CR IRB 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125</w:t>
            </w:r>
          </w:p>
        </w:tc>
        <w:tc>
          <w:tcPr>
            <w:tcW w:w="8640" w:type="dxa"/>
          </w:tcPr>
          <w:p w14:paraId="333BD7E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27034D" w:rsidRPr="002A677E">
              <w:rPr>
                <w:rFonts w:ascii="Times New Roman" w:hAnsi="Times New Roman"/>
                <w:b/>
                <w:sz w:val="24"/>
                <w:u w:val="single"/>
              </w:rPr>
              <w:t>S</w:t>
            </w:r>
          </w:p>
          <w:p w14:paraId="19D701C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260 of CR IRB 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1FB3F5E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EXPECTED LOSS AMOUNT</w:t>
            </w:r>
          </w:p>
          <w:p w14:paraId="55ECF5E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280 of CR IRB 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72FDE0D4">
        <w:tc>
          <w:tcPr>
            <w:tcW w:w="1188" w:type="dxa"/>
            <w:shd w:val="clear" w:color="auto" w:fill="CCCCCC"/>
          </w:tcPr>
          <w:p w14:paraId="2B93256F" w14:textId="77777777" w:rsidR="004357B9" w:rsidRPr="002A677E" w:rsidRDefault="004357B9" w:rsidP="004357B9">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72FDE0D4">
        <w:tc>
          <w:tcPr>
            <w:tcW w:w="1188" w:type="dxa"/>
          </w:tcPr>
          <w:p w14:paraId="66B135B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640" w:type="dxa"/>
          </w:tcPr>
          <w:p w14:paraId="376666F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6E885E54" w14:textId="3FB101E2" w:rsidR="004357B9" w:rsidRPr="002A677E" w:rsidRDefault="004357B9" w:rsidP="000737D3">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(a)</w:t>
            </w:r>
            <w:r w:rsidR="00CF595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0306F2" w:rsidRPr="002A677E" w14:paraId="0FE6B8AC" w14:textId="77777777" w:rsidTr="72FDE0D4">
        <w:tc>
          <w:tcPr>
            <w:tcW w:w="1188" w:type="dxa"/>
            <w:shd w:val="clear" w:color="auto" w:fill="auto"/>
          </w:tcPr>
          <w:p w14:paraId="19BD88FB" w14:textId="35CE0C29" w:rsidR="000306F2" w:rsidRPr="002A677E" w:rsidRDefault="0E8378EA" w:rsidP="72FDE0D4">
            <w:pPr>
              <w:rPr>
                <w:rFonts w:ascii="Times New Roman" w:hAnsi="Times New Roman"/>
                <w:sz w:val="24"/>
              </w:rPr>
            </w:pPr>
            <w:r w:rsidRPr="72FDE0D4">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43B8A86D" w14:textId="77777777" w:rsidR="000306F2" w:rsidRDefault="000306F2" w:rsidP="000306F2">
            <w:pPr>
              <w:rPr>
                <w:rFonts w:ascii="Times New Roman" w:hAnsi="Times New Roman"/>
                <w:b/>
                <w:sz w:val="24"/>
                <w:u w:val="single"/>
              </w:rPr>
            </w:pPr>
            <w:r w:rsidRPr="00B7761D">
              <w:rPr>
                <w:rFonts w:ascii="Times New Roman" w:hAnsi="Times New Roman"/>
                <w:b/>
                <w:sz w:val="24"/>
                <w:u w:val="single"/>
              </w:rPr>
              <w:t>Of which: Regional governments or local authorities</w:t>
            </w:r>
          </w:p>
          <w:p w14:paraId="173CBB36" w14:textId="0B715B66" w:rsidR="004A4EEA" w:rsidRPr="002A677E" w:rsidRDefault="00C4714F" w:rsidP="000306F2">
            <w:pPr>
              <w:rPr>
                <w:rFonts w:ascii="Times New Roman" w:hAnsi="Times New Roman"/>
                <w:b/>
                <w:sz w:val="24"/>
                <w:u w:val="single"/>
              </w:rPr>
            </w:pPr>
            <w:r w:rsidRPr="002A677E">
              <w:rPr>
                <w:rFonts w:ascii="Times New Roman" w:hAnsi="Times New Roman"/>
                <w:sz w:val="24"/>
              </w:rPr>
              <w:t>Article 147(</w:t>
            </w:r>
            <w:r>
              <w:rPr>
                <w:rFonts w:ascii="Times New Roman" w:hAnsi="Times New Roman"/>
                <w:sz w:val="24"/>
              </w:rPr>
              <w:t>3a</w:t>
            </w:r>
            <w:r w:rsidRPr="002A677E">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0306F2" w:rsidRPr="002A677E" w14:paraId="6651EC9B" w14:textId="77777777" w:rsidTr="72FDE0D4">
        <w:tc>
          <w:tcPr>
            <w:tcW w:w="1188" w:type="dxa"/>
            <w:shd w:val="clear" w:color="auto" w:fill="auto"/>
          </w:tcPr>
          <w:p w14:paraId="4D46D5A3" w14:textId="6200C9FD" w:rsidR="000306F2" w:rsidRPr="002A677E" w:rsidRDefault="000306F2" w:rsidP="000306F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11BE7DB5" w14:textId="77777777" w:rsidR="000306F2" w:rsidRDefault="000306F2" w:rsidP="000306F2">
            <w:pPr>
              <w:rPr>
                <w:rFonts w:ascii="Times New Roman" w:hAnsi="Times New Roman"/>
                <w:b/>
                <w:sz w:val="24"/>
                <w:u w:val="single"/>
              </w:rPr>
            </w:pPr>
            <w:r w:rsidRPr="00B7761D">
              <w:rPr>
                <w:rFonts w:ascii="Times New Roman" w:hAnsi="Times New Roman"/>
                <w:b/>
                <w:sz w:val="24"/>
                <w:u w:val="single"/>
              </w:rPr>
              <w:t>Regional governments or local authorities</w:t>
            </w:r>
          </w:p>
          <w:p w14:paraId="317EBE29" w14:textId="759C587A" w:rsidR="000E629D" w:rsidRPr="002A677E" w:rsidRDefault="00010F2F" w:rsidP="000306F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0306F2" w:rsidRPr="002A677E" w14:paraId="7064140E" w14:textId="77777777" w:rsidTr="72FDE0D4">
        <w:tc>
          <w:tcPr>
            <w:tcW w:w="1188" w:type="dxa"/>
            <w:shd w:val="clear" w:color="auto" w:fill="auto"/>
          </w:tcPr>
          <w:p w14:paraId="57125070" w14:textId="5B29874C" w:rsidR="000306F2" w:rsidRPr="002A677E" w:rsidRDefault="000306F2" w:rsidP="000306F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BAA5E0B" w14:textId="77777777" w:rsidR="000306F2" w:rsidRDefault="000306F2" w:rsidP="000306F2">
            <w:pPr>
              <w:rPr>
                <w:rFonts w:ascii="Times New Roman" w:hAnsi="Times New Roman"/>
                <w:b/>
                <w:sz w:val="24"/>
                <w:u w:val="single"/>
              </w:rPr>
            </w:pPr>
            <w:r w:rsidRPr="00B7761D">
              <w:rPr>
                <w:rFonts w:ascii="Times New Roman" w:hAnsi="Times New Roman"/>
                <w:b/>
                <w:sz w:val="24"/>
                <w:u w:val="single"/>
              </w:rPr>
              <w:t xml:space="preserve">Public sector entities </w:t>
            </w:r>
          </w:p>
          <w:p w14:paraId="74A4C69B" w14:textId="68349F6F" w:rsidR="00010F2F" w:rsidRPr="002A677E" w:rsidRDefault="00010F2F" w:rsidP="000306F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4357B9" w:rsidRPr="002A677E" w14:paraId="5A62B8F1" w14:textId="77777777" w:rsidTr="72FDE0D4">
        <w:tc>
          <w:tcPr>
            <w:tcW w:w="1188" w:type="dxa"/>
          </w:tcPr>
          <w:p w14:paraId="54B498A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2F5237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Institutions</w:t>
            </w:r>
          </w:p>
          <w:p w14:paraId="001901B2" w14:textId="0C01B792" w:rsidR="004357B9" w:rsidRPr="002A677E" w:rsidRDefault="000737D3" w:rsidP="00D21B29">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(b)</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2E6A6087" w14:textId="77777777" w:rsidTr="72FDE0D4">
        <w:tc>
          <w:tcPr>
            <w:tcW w:w="1188" w:type="dxa"/>
          </w:tcPr>
          <w:p w14:paraId="185DE6F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657385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Corporates </w:t>
            </w:r>
          </w:p>
          <w:p w14:paraId="1BE4AA6A" w14:textId="0E4F18E0"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(c)</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7C7B23" w:rsidRPr="00E47484" w:rsidDel="000306F2" w14:paraId="55E6A7FD" w14:textId="77777777" w:rsidTr="72FDE0D4">
        <w:tc>
          <w:tcPr>
            <w:tcW w:w="1188" w:type="dxa"/>
            <w:shd w:val="clear" w:color="auto" w:fill="auto"/>
          </w:tcPr>
          <w:p w14:paraId="4F2A0530" w14:textId="3079C87C" w:rsidR="007C7B23" w:rsidRPr="002A677E" w:rsidDel="000306F2" w:rsidRDefault="02723F44" w:rsidP="72FDE0D4">
            <w:pPr>
              <w:rPr>
                <w:rFonts w:ascii="Times New Roman" w:hAnsi="Times New Roman"/>
                <w:sz w:val="24"/>
              </w:rPr>
            </w:pPr>
            <w:r w:rsidRPr="72FDE0D4">
              <w:rPr>
                <w:rFonts w:ascii="Times New Roman" w:hAnsi="Times New Roman"/>
                <w:sz w:val="24"/>
              </w:rPr>
              <w:t>0046</w:t>
            </w:r>
            <w:r w:rsidR="5B2ABCE6" w:rsidRPr="72FDE0D4">
              <w:rPr>
                <w:rFonts w:ascii="Times New Roman" w:hAnsi="Times New Roman"/>
                <w:sz w:val="24"/>
              </w:rPr>
              <w:t xml:space="preserve"> - 0049</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855425B" w14:textId="6ECBF7D9" w:rsidR="007C7B23" w:rsidRDefault="00962601" w:rsidP="007C7B23">
            <w:pPr>
              <w:rPr>
                <w:rFonts w:ascii="Times New Roman" w:hAnsi="Times New Roman"/>
                <w:b/>
                <w:sz w:val="24"/>
                <w:u w:val="single"/>
              </w:rPr>
            </w:pPr>
            <w:r w:rsidRPr="00962601">
              <w:rPr>
                <w:rFonts w:ascii="Times New Roman" w:hAnsi="Times New Roman"/>
                <w:b/>
                <w:sz w:val="24"/>
                <w:u w:val="single"/>
              </w:rPr>
              <w:t>Of Which:</w:t>
            </w:r>
            <w:r>
              <w:rPr>
                <w:rFonts w:ascii="Times New Roman" w:hAnsi="Times New Roman"/>
                <w:b/>
                <w:sz w:val="24"/>
                <w:u w:val="single"/>
              </w:rPr>
              <w:t xml:space="preserve"> </w:t>
            </w:r>
            <w:r w:rsidR="007C7B23" w:rsidRPr="00B7761D">
              <w:rPr>
                <w:rFonts w:ascii="Times New Roman" w:hAnsi="Times New Roman"/>
                <w:b/>
                <w:sz w:val="24"/>
                <w:u w:val="single"/>
              </w:rPr>
              <w:t>Specialised Lending</w:t>
            </w:r>
          </w:p>
          <w:p w14:paraId="1A15EB0A" w14:textId="5B26B9AF" w:rsidR="007A7AA6" w:rsidRPr="00E47484" w:rsidDel="000306F2" w:rsidRDefault="007A7AA6" w:rsidP="007C7B23">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00B66126" w:rsidRPr="00B66126">
              <w:rPr>
                <w:rFonts w:ascii="Times New Roman" w:hAnsi="Times New Roman"/>
                <w:sz w:val="24"/>
                <w:lang w:val="en-US"/>
              </w:rPr>
              <w:t>1.</w:t>
            </w:r>
            <w:r w:rsidR="00B66126" w:rsidRPr="00B66126">
              <w:rPr>
                <w:rFonts w:ascii="Times New Roman" w:hAnsi="Times New Roman"/>
                <w:sz w:val="24"/>
                <w:lang w:val="en-US"/>
              </w:rPr>
              <w:tab/>
            </w:r>
            <w:r w:rsidR="000068F6">
              <w:rPr>
                <w:rFonts w:ascii="Times New Roman" w:hAnsi="Times New Roman"/>
                <w:sz w:val="24"/>
                <w:lang w:val="en-US"/>
              </w:rPr>
              <w:t>Institutions shall report the</w:t>
            </w:r>
            <w:r w:rsidR="00B66126" w:rsidRPr="00B66126">
              <w:rPr>
                <w:rFonts w:ascii="Times New Roman" w:hAnsi="Times New Roman"/>
                <w:sz w:val="24"/>
                <w:lang w:val="en-US"/>
              </w:rPr>
              <w:t xml:space="preserve"> types of specialised lending exposures referred to in Article </w:t>
            </w:r>
            <w:r w:rsidR="001255E1">
              <w:rPr>
                <w:rFonts w:ascii="Times New Roman" w:hAnsi="Times New Roman"/>
                <w:sz w:val="24"/>
                <w:lang w:val="en-US"/>
              </w:rPr>
              <w:t>147(8) subpara. 2</w:t>
            </w:r>
            <w:r w:rsidR="000068F6">
              <w:rPr>
                <w:rFonts w:ascii="Times New Roman" w:hAnsi="Times New Roman"/>
                <w:sz w:val="24"/>
                <w:lang w:val="en-US"/>
              </w:rPr>
              <w:t xml:space="preserve"> in the corresponding row.</w:t>
            </w:r>
          </w:p>
        </w:tc>
      </w:tr>
      <w:tr w:rsidR="004357B9" w:rsidRPr="002A677E" w14:paraId="6918FCA7" w14:textId="77777777" w:rsidTr="72FDE0D4">
        <w:tc>
          <w:tcPr>
            <w:tcW w:w="1188" w:type="dxa"/>
          </w:tcPr>
          <w:p w14:paraId="27B9086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0084662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SME</w:t>
            </w:r>
          </w:p>
          <w:p w14:paraId="724FE757" w14:textId="52F3CE6F" w:rsidR="004357B9" w:rsidRPr="002A677E" w:rsidRDefault="000737D3" w:rsidP="00D21B29">
            <w:pPr>
              <w:pStyle w:val="ListParagraph"/>
              <w:ind w:left="0"/>
              <w:rPr>
                <w:rFonts w:ascii="Times New Roman" w:hAnsi="Times New Roman"/>
                <w:sz w:val="24"/>
                <w:lang w:eastAsia="de-DE"/>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(c)</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p w14:paraId="7E6AFA80" w14:textId="77990408" w:rsidR="0027034D" w:rsidRPr="002A677E" w:rsidRDefault="00BA37A9" w:rsidP="00B7761D">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 xml:space="preserve">the reporting entities shall use </w:t>
            </w:r>
            <w:r>
              <w:rPr>
                <w:rFonts w:ascii="Times New Roman" w:hAnsi="Times New Roman"/>
                <w:sz w:val="24"/>
                <w:lang w:eastAsia="de-DE"/>
              </w:rPr>
              <w:t xml:space="preserve">the definition </w:t>
            </w:r>
            <w:r w:rsidRPr="002A677E">
              <w:rPr>
                <w:rFonts w:ascii="Times New Roman" w:hAnsi="Times New Roman"/>
                <w:sz w:val="24"/>
                <w:lang w:eastAsia="de-DE"/>
              </w:rPr>
              <w:t xml:space="preserve">of SME </w:t>
            </w:r>
            <w:r>
              <w:rPr>
                <w:rFonts w:ascii="Times New Roman" w:hAnsi="Times New Roman"/>
                <w:sz w:val="24"/>
                <w:lang w:eastAsia="de-DE"/>
              </w:rPr>
              <w:t xml:space="preserve">in 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F43E92" w:rsidRPr="00E47484" w14:paraId="3BB91AA1" w14:textId="77777777" w:rsidTr="72FDE0D4">
        <w:tc>
          <w:tcPr>
            <w:tcW w:w="1188" w:type="dxa"/>
            <w:shd w:val="clear" w:color="auto" w:fill="auto"/>
          </w:tcPr>
          <w:p w14:paraId="4E5D28E9" w14:textId="7998F5EC" w:rsidR="00F43E92" w:rsidRPr="002A677E" w:rsidRDefault="2816667F" w:rsidP="72FDE0D4">
            <w:pPr>
              <w:rPr>
                <w:rFonts w:ascii="Times New Roman" w:hAnsi="Times New Roman"/>
                <w:sz w:val="24"/>
              </w:rPr>
            </w:pPr>
            <w:r w:rsidRPr="72FDE0D4">
              <w:rPr>
                <w:rFonts w:ascii="Times New Roman" w:hAnsi="Times New Roman"/>
                <w:sz w:val="24"/>
              </w:rPr>
              <w:t>0055</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C122BA9" w14:textId="77777777" w:rsidR="00F43E92" w:rsidRDefault="00F43E92" w:rsidP="00F43E92">
            <w:pPr>
              <w:rPr>
                <w:rFonts w:ascii="Times New Roman" w:hAnsi="Times New Roman"/>
                <w:b/>
                <w:sz w:val="24"/>
                <w:u w:val="single"/>
              </w:rPr>
            </w:pPr>
            <w:r w:rsidRPr="00B7761D">
              <w:rPr>
                <w:rFonts w:ascii="Times New Roman" w:hAnsi="Times New Roman"/>
                <w:b/>
                <w:sz w:val="24"/>
                <w:u w:val="single"/>
              </w:rPr>
              <w:t>Of Which: Purchased receivables</w:t>
            </w:r>
          </w:p>
          <w:p w14:paraId="66F763B6" w14:textId="16EE60D6" w:rsidR="00973D2F" w:rsidRPr="00E47484" w:rsidRDefault="00973D2F" w:rsidP="00F43E9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w:t>
            </w:r>
            <w:r w:rsidR="008A5B8A">
              <w:rPr>
                <w:rFonts w:ascii="Times New Roman" w:hAnsi="Times New Roman"/>
                <w:bCs/>
                <w:sz w:val="24"/>
              </w:rPr>
              <w:t>i</w:t>
            </w:r>
            <w:r>
              <w:rPr>
                <w:rFonts w:ascii="Times New Roman" w:hAnsi="Times New Roman"/>
                <w:bCs/>
                <w:sz w:val="24"/>
              </w:rPr>
              <w:t>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F43E92" w:rsidRPr="00E47484" w14:paraId="444B4661" w14:textId="77777777" w:rsidTr="72FDE0D4">
        <w:tc>
          <w:tcPr>
            <w:tcW w:w="1188" w:type="dxa"/>
            <w:shd w:val="clear" w:color="auto" w:fill="auto"/>
          </w:tcPr>
          <w:p w14:paraId="341043B5" w14:textId="5C62B27A" w:rsidR="00F43E92" w:rsidRPr="002A677E" w:rsidRDefault="00F43E92" w:rsidP="00F43E92">
            <w:pPr>
              <w:rPr>
                <w:rFonts w:ascii="Times New Roman" w:hAnsi="Times New Roman"/>
                <w:sz w:val="24"/>
              </w:rPr>
            </w:pPr>
            <w:r>
              <w:rPr>
                <w:rFonts w:ascii="Times New Roman" w:hAnsi="Times New Roman"/>
                <w:sz w:val="24"/>
              </w:rPr>
              <w:lastRenderedPageBreak/>
              <w:t>0056</w:t>
            </w:r>
          </w:p>
        </w:tc>
        <w:tc>
          <w:tcPr>
            <w:tcW w:w="8640" w:type="dxa"/>
            <w:tcBorders>
              <w:top w:val="nil"/>
              <w:left w:val="single" w:sz="4" w:space="0" w:color="auto"/>
              <w:bottom w:val="single" w:sz="4" w:space="0" w:color="auto"/>
              <w:right w:val="single" w:sz="4" w:space="0" w:color="auto"/>
            </w:tcBorders>
            <w:shd w:val="clear" w:color="auto" w:fill="auto"/>
            <w:vAlign w:val="center"/>
          </w:tcPr>
          <w:p w14:paraId="5BAD4338" w14:textId="77777777" w:rsidR="00F43E92" w:rsidRDefault="00F43E92" w:rsidP="00F43E92">
            <w:pPr>
              <w:rPr>
                <w:rFonts w:ascii="Times New Roman" w:hAnsi="Times New Roman"/>
                <w:b/>
                <w:sz w:val="24"/>
                <w:u w:val="single"/>
              </w:rPr>
            </w:pPr>
            <w:r w:rsidRPr="00B7761D">
              <w:rPr>
                <w:rFonts w:ascii="Times New Roman" w:hAnsi="Times New Roman"/>
                <w:b/>
                <w:sz w:val="24"/>
                <w:u w:val="single"/>
              </w:rPr>
              <w:t>Of Which: Large Corporates</w:t>
            </w:r>
          </w:p>
          <w:p w14:paraId="2587956E" w14:textId="7AECAE9C" w:rsidR="008A5B8A" w:rsidRPr="002A677E" w:rsidRDefault="008A5B8A" w:rsidP="008A5B8A">
            <w:pPr>
              <w:pStyle w:val="ListParagraph"/>
              <w:ind w:left="0"/>
              <w:rPr>
                <w:rFonts w:ascii="Times New Roman" w:hAnsi="Times New Roman"/>
                <w:sz w:val="24"/>
                <w:lang w:eastAsia="de-D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p w14:paraId="6F023F82" w14:textId="03A50BAE" w:rsidR="008A5B8A" w:rsidRPr="00E47484" w:rsidRDefault="008A5B8A" w:rsidP="00F43E92">
            <w:pPr>
              <w:rPr>
                <w:rFonts w:ascii="Times New Roman" w:hAnsi="Times New Roman"/>
                <w:b/>
                <w:sz w:val="24"/>
                <w:u w:val="single"/>
              </w:rPr>
            </w:pP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the reporting entities shall use the</w:t>
            </w:r>
            <w:r>
              <w:rPr>
                <w:rFonts w:ascii="Times New Roman" w:hAnsi="Times New Roman"/>
                <w:sz w:val="24"/>
                <w:lang w:eastAsia="de-DE"/>
              </w:rPr>
              <w:t xml:space="preserve"> definition of Large Corporate</w:t>
            </w:r>
            <w:r w:rsidRPr="008E2AFE">
              <w:rPr>
                <w:rFonts w:ascii="Times New Roman" w:hAnsi="Times New Roman"/>
                <w:sz w:val="24"/>
                <w:lang w:eastAsia="de-DE"/>
              </w:rPr>
              <w:t xml:space="preserve"> </w:t>
            </w:r>
            <w:r>
              <w:rPr>
                <w:rFonts w:ascii="Times New Roman" w:hAnsi="Times New Roman"/>
                <w:sz w:val="24"/>
                <w:lang w:eastAsia="de-DE"/>
              </w:rPr>
              <w:t xml:space="preserve">in Article 142 (1), point (5a)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4357B9" w:rsidRPr="002A677E" w14:paraId="6AE52FED" w14:textId="77777777" w:rsidTr="72FDE0D4">
        <w:tc>
          <w:tcPr>
            <w:tcW w:w="1188" w:type="dxa"/>
          </w:tcPr>
          <w:p w14:paraId="7EA192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176F87F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w:t>
            </w:r>
          </w:p>
          <w:p w14:paraId="2CC05E0F" w14:textId="1313A694" w:rsidR="004357B9" w:rsidRPr="002A677E" w:rsidRDefault="004357B9" w:rsidP="003B2712">
            <w:pPr>
              <w:rPr>
                <w:rFonts w:ascii="Times New Roman" w:hAnsi="Times New Roman"/>
                <w:sz w:val="24"/>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r</w:t>
            </w:r>
            <w:r w:rsidRPr="002A677E">
              <w:rPr>
                <w:rFonts w:ascii="Times New Roman" w:hAnsi="Times New Roman"/>
                <w:sz w:val="24"/>
                <w:lang w:eastAsia="de-DE"/>
              </w:rPr>
              <w:t xml:space="preserve">etail exposures </w:t>
            </w:r>
            <w:r w:rsidR="003B2712"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8A5B8A">
              <w:rPr>
                <w:rFonts w:ascii="Times New Roman" w:hAnsi="Times New Roman"/>
                <w:sz w:val="24"/>
                <w:lang w:val="en-US"/>
              </w:rPr>
              <w:t>.</w:t>
            </w:r>
          </w:p>
        </w:tc>
      </w:tr>
      <w:tr w:rsidR="004357B9" w:rsidRPr="002A677E" w14:paraId="740D0AC8" w14:textId="77777777" w:rsidTr="72FDE0D4">
        <w:tc>
          <w:tcPr>
            <w:tcW w:w="1188" w:type="dxa"/>
          </w:tcPr>
          <w:p w14:paraId="756C861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5F601476" w14:textId="6728803A"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Retail – Secured by </w:t>
            </w:r>
            <w:r w:rsidR="00C31777">
              <w:rPr>
                <w:rFonts w:ascii="Times New Roman" w:hAnsi="Times New Roman"/>
                <w:b/>
                <w:sz w:val="24"/>
                <w:u w:val="single"/>
              </w:rPr>
              <w:t>residential real estate</w:t>
            </w:r>
          </w:p>
          <w:p w14:paraId="0DC1C887" w14:textId="3A66C25B" w:rsidR="000A0356" w:rsidRPr="002A677E" w:rsidRDefault="003B2712" w:rsidP="000A0356">
            <w:pPr>
              <w:pStyle w:val="ListParagraph"/>
              <w:ind w:left="0"/>
              <w:rPr>
                <w:rFonts w:ascii="Times New Roman" w:hAnsi="Times New Roman"/>
                <w:sz w:val="24"/>
                <w:lang w:eastAsia="de-DE"/>
              </w:rPr>
            </w:pPr>
            <w:r w:rsidRPr="002A677E">
              <w:rPr>
                <w:rFonts w:ascii="Times New Roman" w:hAnsi="Times New Roman"/>
                <w:sz w:val="24"/>
                <w:lang w:eastAsia="de-DE"/>
              </w:rPr>
              <w:t>Retail e</w:t>
            </w:r>
            <w:r w:rsidR="004357B9" w:rsidRPr="002A677E">
              <w:rPr>
                <w:rFonts w:ascii="Times New Roman" w:hAnsi="Times New Roman"/>
                <w:sz w:val="24"/>
                <w:lang w:eastAsia="de-DE"/>
              </w:rPr>
              <w:t xml:space="preserve">xposures </w:t>
            </w:r>
            <w:r w:rsidRPr="002A677E">
              <w:rPr>
                <w:rFonts w:ascii="Times New Roman" w:hAnsi="Times New Roman"/>
                <w:sz w:val="24"/>
                <w:lang w:eastAsia="de-DE"/>
              </w:rPr>
              <w:t>as referred to in</w:t>
            </w:r>
            <w:r w:rsidR="004357B9" w:rsidRPr="002A677E">
              <w:rPr>
                <w:rFonts w:ascii="Times New Roman" w:hAnsi="Times New Roman"/>
                <w:sz w:val="24"/>
                <w:lang w:eastAsia="de-DE"/>
              </w:rPr>
              <w:t xml:space="preserve">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C31777">
              <w:rPr>
                <w:rFonts w:ascii="Times New Roman" w:hAnsi="Times New Roman"/>
                <w:bCs/>
                <w:sz w:val="24"/>
              </w:rPr>
              <w:t xml:space="preserve"> (ii)</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0A0356">
              <w:rPr>
                <w:rFonts w:ascii="Times New Roman" w:hAnsi="Times New Roman"/>
                <w:sz w:val="24"/>
                <w:lang w:eastAsia="de-DE"/>
              </w:rPr>
              <w:t>.</w:t>
            </w:r>
          </w:p>
          <w:p w14:paraId="3FB0933B" w14:textId="5666DB03" w:rsidR="0027034D" w:rsidRPr="002A677E" w:rsidRDefault="0027034D" w:rsidP="000A035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secured by </w:t>
            </w:r>
            <w:r w:rsidR="00A13C75">
              <w:rPr>
                <w:rFonts w:ascii="Times New Roman" w:hAnsi="Times New Roman"/>
                <w:sz w:val="24"/>
                <w:lang w:eastAsia="de-DE"/>
              </w:rPr>
              <w:t>residential real estate</w:t>
            </w:r>
            <w:r w:rsidRPr="002A677E">
              <w:rPr>
                <w:rFonts w:ascii="Times New Roman" w:hAnsi="Times New Roman"/>
                <w:sz w:val="24"/>
                <w:lang w:eastAsia="de-DE"/>
              </w:rPr>
              <w:t xml:space="preserve"> will be considered any retail exposures secured by </w:t>
            </w:r>
            <w:r w:rsidR="00A13C75">
              <w:rPr>
                <w:rFonts w:ascii="Times New Roman" w:hAnsi="Times New Roman"/>
                <w:sz w:val="24"/>
                <w:lang w:eastAsia="de-DE"/>
              </w:rPr>
              <w:t>residential real estate</w:t>
            </w:r>
            <w:r w:rsidRPr="002A677E">
              <w:rPr>
                <w:rFonts w:ascii="Times New Roman" w:hAnsi="Times New Roman"/>
                <w:sz w:val="24"/>
                <w:lang w:eastAsia="de-DE"/>
              </w:rPr>
              <w:t xml:space="preserve"> recognised as collateral, regardless of the ratio of the value of collateral to the exposure or of the purpose of the loan.</w:t>
            </w:r>
          </w:p>
        </w:tc>
      </w:tr>
      <w:tr w:rsidR="004357B9" w:rsidRPr="002A677E" w14:paraId="12FEAF36" w14:textId="185240F1" w:rsidTr="72FDE0D4">
        <w:tc>
          <w:tcPr>
            <w:tcW w:w="1188" w:type="dxa"/>
          </w:tcPr>
          <w:p w14:paraId="33639E62" w14:textId="62F30062"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0FBFD5AB" w14:textId="23423A16"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4D74C036" w14:textId="42ECEC30" w:rsidR="004357B9" w:rsidRPr="002A677E" w:rsidRDefault="004357B9" w:rsidP="00BD4E13">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D10012">
              <w:rPr>
                <w:rFonts w:ascii="Times New Roman" w:hAnsi="Times New Roman"/>
                <w:bCs/>
                <w:sz w:val="24"/>
              </w:rPr>
              <w:t xml:space="preserve">(ii) </w:t>
            </w:r>
            <w:r w:rsidR="00A37988" w:rsidRPr="002A677E">
              <w:rPr>
                <w:rFonts w:ascii="Times New Roman" w:hAnsi="Times New Roman"/>
                <w:sz w:val="24"/>
                <w:lang w:eastAsia="de-DE"/>
              </w:rPr>
              <w:t xml:space="preserve">and </w:t>
            </w:r>
            <w:r w:rsidRPr="002A677E">
              <w:rPr>
                <w:rFonts w:ascii="Times New Roman" w:hAnsi="Times New Roman"/>
                <w:sz w:val="24"/>
                <w:lang w:eastAsia="de-DE"/>
              </w:rPr>
              <w:t>Article 15</w:t>
            </w:r>
            <w:r w:rsidR="00A37988" w:rsidRPr="002A677E">
              <w:rPr>
                <w:rFonts w:ascii="Times New Roman" w:hAnsi="Times New Roman"/>
                <w:sz w:val="24"/>
                <w:lang w:eastAsia="de-DE"/>
              </w:rPr>
              <w:t>4</w:t>
            </w:r>
            <w:r w:rsidRPr="002A677E">
              <w:rPr>
                <w:rFonts w:ascii="Times New Roman" w:hAnsi="Times New Roman"/>
                <w:sz w:val="24"/>
                <w:lang w:eastAsia="de-DE"/>
              </w:rPr>
              <w:t xml:space="preserve">(3)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w:t>
            </w:r>
            <w:r w:rsidR="00D73092">
              <w:rPr>
                <w:rFonts w:ascii="Times New Roman" w:hAnsi="Times New Roman"/>
                <w:sz w:val="24"/>
                <w:lang w:eastAsia="de-DE"/>
              </w:rPr>
              <w:t xml:space="preserve">fulfill the definition </w:t>
            </w:r>
            <w:r w:rsidR="00D73092" w:rsidRPr="002A677E">
              <w:rPr>
                <w:rFonts w:ascii="Times New Roman" w:hAnsi="Times New Roman"/>
                <w:sz w:val="24"/>
                <w:lang w:eastAsia="de-DE"/>
              </w:rPr>
              <w:t xml:space="preserve">of SME </w:t>
            </w:r>
            <w:r w:rsidR="00D73092">
              <w:rPr>
                <w:rFonts w:ascii="Times New Roman" w:hAnsi="Times New Roman"/>
                <w:sz w:val="24"/>
                <w:lang w:eastAsia="de-DE"/>
              </w:rPr>
              <w:t xml:space="preserve">in Article 5 (8) </w:t>
            </w:r>
            <w:r w:rsidR="00D73092" w:rsidRPr="001235ED">
              <w:rPr>
                <w:rFonts w:ascii="Times New Roman" w:hAnsi="Times New Roman"/>
                <w:sz w:val="24"/>
                <w:lang w:val="en-US"/>
              </w:rPr>
              <w:t>of Regulation (EU) No 575/2013</w:t>
            </w:r>
            <w:r w:rsidR="00D73092" w:rsidRPr="002A677E">
              <w:rPr>
                <w:rFonts w:ascii="Times New Roman" w:hAnsi="Times New Roman"/>
                <w:sz w:val="24"/>
                <w:lang w:eastAsia="de-DE"/>
              </w:rPr>
              <w:t xml:space="preserve">. </w:t>
            </w:r>
          </w:p>
        </w:tc>
      </w:tr>
      <w:tr w:rsidR="004357B9" w:rsidRPr="00E47484" w14:paraId="35F00526" w14:textId="25C0F37B" w:rsidTr="72FDE0D4">
        <w:tc>
          <w:tcPr>
            <w:tcW w:w="1188" w:type="dxa"/>
            <w:shd w:val="clear" w:color="auto" w:fill="auto"/>
          </w:tcPr>
          <w:p w14:paraId="4F946B0E" w14:textId="53FF6B48"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shd w:val="clear" w:color="auto" w:fill="auto"/>
          </w:tcPr>
          <w:p w14:paraId="0BDBDA05" w14:textId="4F180739" w:rsidR="004357B9" w:rsidRPr="00E47484" w:rsidRDefault="004357B9" w:rsidP="004357B9">
            <w:pPr>
              <w:rPr>
                <w:rFonts w:ascii="Times New Roman" w:hAnsi="Times New Roman"/>
                <w:b/>
                <w:sz w:val="24"/>
                <w:u w:val="single"/>
              </w:rPr>
            </w:pPr>
            <w:r w:rsidRPr="00E47484">
              <w:rPr>
                <w:rFonts w:ascii="Times New Roman" w:hAnsi="Times New Roman"/>
                <w:b/>
                <w:sz w:val="24"/>
                <w:u w:val="single"/>
              </w:rPr>
              <w:t>non-SME</w:t>
            </w:r>
          </w:p>
          <w:p w14:paraId="0C47B4CE" w14:textId="6714C27F" w:rsidR="004357B9" w:rsidRPr="00D10012" w:rsidRDefault="004357B9" w:rsidP="003B2712">
            <w:pPr>
              <w:pStyle w:val="ListParagraph"/>
              <w:ind w:left="0"/>
              <w:rPr>
                <w:rFonts w:ascii="Times New Roman" w:hAnsi="Times New Roman"/>
                <w:bCs/>
                <w:sz w:val="24"/>
              </w:rPr>
            </w:pPr>
            <w:r w:rsidRPr="00D10012">
              <w:rPr>
                <w:rFonts w:ascii="Times New Roman" w:hAnsi="Times New Roman"/>
                <w:bCs/>
                <w:sz w:val="24"/>
              </w:rPr>
              <w:t xml:space="preserve">Retail exposures </w:t>
            </w:r>
            <w:r w:rsidR="003B2712" w:rsidRPr="00D10012">
              <w:rPr>
                <w:rFonts w:ascii="Times New Roman" w:hAnsi="Times New Roman"/>
                <w:bCs/>
                <w:sz w:val="24"/>
              </w:rPr>
              <w:t xml:space="preserve">as referred to in </w:t>
            </w:r>
            <w:r w:rsidR="000737D3" w:rsidRPr="00D10012">
              <w:rPr>
                <w:rFonts w:ascii="Times New Roman" w:hAnsi="Times New Roman"/>
                <w:bCs/>
                <w:sz w:val="24"/>
              </w:rPr>
              <w:t>Article 147(2)</w:t>
            </w:r>
            <w:r w:rsidR="00B83DDE" w:rsidRPr="00D10012">
              <w:rPr>
                <w:rFonts w:ascii="Times New Roman" w:hAnsi="Times New Roman"/>
                <w:bCs/>
                <w:sz w:val="24"/>
              </w:rPr>
              <w:t>, p</w:t>
            </w:r>
            <w:r w:rsidR="000737D3" w:rsidRPr="00D10012">
              <w:rPr>
                <w:rFonts w:ascii="Times New Roman" w:hAnsi="Times New Roman"/>
                <w:bCs/>
                <w:sz w:val="24"/>
              </w:rPr>
              <w:t>oint (d)</w:t>
            </w:r>
            <w:r w:rsidR="00D73092">
              <w:rPr>
                <w:rFonts w:ascii="Times New Roman" w:hAnsi="Times New Roman"/>
                <w:bCs/>
                <w:sz w:val="24"/>
              </w:rPr>
              <w:t xml:space="preserve"> (ii)</w:t>
            </w:r>
            <w:r w:rsidR="00BE1277" w:rsidRPr="00D10012">
              <w:rPr>
                <w:rFonts w:ascii="Times New Roman" w:hAnsi="Times New Roman"/>
                <w:bCs/>
                <w:sz w:val="24"/>
              </w:rPr>
              <w:t>,</w:t>
            </w:r>
            <w:r w:rsidR="000737D3" w:rsidRPr="00D10012">
              <w:rPr>
                <w:rFonts w:ascii="Times New Roman" w:hAnsi="Times New Roman"/>
                <w:bCs/>
                <w:sz w:val="24"/>
              </w:rPr>
              <w:t xml:space="preserve"> </w:t>
            </w:r>
            <w:r w:rsidR="00E515D5" w:rsidRPr="00B7761D">
              <w:rPr>
                <w:rFonts w:ascii="Times New Roman" w:hAnsi="Times New Roman"/>
                <w:bCs/>
                <w:sz w:val="24"/>
              </w:rPr>
              <w:t>of Regulation (EU) No 575/2013</w:t>
            </w:r>
            <w:r w:rsidRPr="00D10012">
              <w:rPr>
                <w:rFonts w:ascii="Times New Roman" w:hAnsi="Times New Roman"/>
                <w:bCs/>
                <w:sz w:val="24"/>
              </w:rPr>
              <w:t xml:space="preserve"> </w:t>
            </w:r>
            <w:r w:rsidR="00D73092">
              <w:rPr>
                <w:rFonts w:ascii="Times New Roman" w:hAnsi="Times New Roman"/>
                <w:bCs/>
                <w:sz w:val="24"/>
              </w:rPr>
              <w:t>not reported under row 0080.</w:t>
            </w:r>
          </w:p>
        </w:tc>
      </w:tr>
      <w:tr w:rsidR="004357B9" w:rsidRPr="002A677E" w14:paraId="47BD2939" w14:textId="77777777" w:rsidTr="72FDE0D4">
        <w:tc>
          <w:tcPr>
            <w:tcW w:w="1188" w:type="dxa"/>
          </w:tcPr>
          <w:p w14:paraId="5402532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783BE80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 – Qualifying revolving</w:t>
            </w:r>
          </w:p>
          <w:p w14:paraId="2D419350" w14:textId="4F0B69AF" w:rsidR="004357B9" w:rsidRPr="002A677E" w:rsidRDefault="003B2712" w:rsidP="00F811C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4D7F22">
              <w:rPr>
                <w:rFonts w:ascii="Times New Roman" w:hAnsi="Times New Roman"/>
                <w:bCs/>
                <w:sz w:val="24"/>
              </w:rPr>
              <w:t xml:space="preserve"> (i)</w:t>
            </w:r>
            <w:r w:rsidR="000737D3" w:rsidRPr="002A677E">
              <w:rPr>
                <w:rFonts w:ascii="Times New Roman" w:hAnsi="Times New Roman"/>
                <w:bCs/>
                <w:sz w:val="24"/>
              </w:rPr>
              <w:t xml:space="preserve"> </w:t>
            </w:r>
            <w:r w:rsidR="004357B9" w:rsidRPr="002A677E">
              <w:rPr>
                <w:rFonts w:ascii="Times New Roman" w:hAnsi="Times New Roman"/>
                <w:sz w:val="24"/>
                <w:lang w:eastAsia="de-DE"/>
              </w:rPr>
              <w:t xml:space="preserve">in conjunction with Article 154(4) </w:t>
            </w:r>
            <w:r w:rsidR="00E515D5" w:rsidRPr="001235ED">
              <w:rPr>
                <w:rFonts w:ascii="Times New Roman" w:hAnsi="Times New Roman"/>
                <w:sz w:val="24"/>
                <w:lang w:val="en-US"/>
              </w:rPr>
              <w:t>of Regulation (EU) No 575/2013</w:t>
            </w:r>
          </w:p>
        </w:tc>
      </w:tr>
      <w:tr w:rsidR="009F27F1" w:rsidRPr="002A677E" w14:paraId="4F34177D" w14:textId="77777777" w:rsidTr="72FDE0D4">
        <w:tc>
          <w:tcPr>
            <w:tcW w:w="1188" w:type="dxa"/>
          </w:tcPr>
          <w:p w14:paraId="700DC50F" w14:textId="245DD03A" w:rsidR="009F27F1" w:rsidRPr="002A677E" w:rsidRDefault="009F27F1" w:rsidP="004357B9">
            <w:pPr>
              <w:rPr>
                <w:rFonts w:ascii="Times New Roman" w:hAnsi="Times New Roman"/>
                <w:sz w:val="24"/>
              </w:rPr>
            </w:pPr>
            <w:r>
              <w:rPr>
                <w:rFonts w:ascii="Times New Roman" w:hAnsi="Times New Roman"/>
                <w:sz w:val="24"/>
              </w:rPr>
              <w:t>0105</w:t>
            </w:r>
          </w:p>
        </w:tc>
        <w:tc>
          <w:tcPr>
            <w:tcW w:w="8640" w:type="dxa"/>
          </w:tcPr>
          <w:p w14:paraId="6FEE75FE" w14:textId="77777777" w:rsidR="009F27F1" w:rsidRDefault="00932867">
            <w:pPr>
              <w:rPr>
                <w:rFonts w:ascii="Times New Roman" w:hAnsi="Times New Roman"/>
                <w:b/>
                <w:sz w:val="24"/>
                <w:u w:val="single"/>
              </w:rPr>
            </w:pPr>
            <w:r w:rsidRPr="00B7761D">
              <w:rPr>
                <w:rFonts w:ascii="Times New Roman" w:hAnsi="Times New Roman"/>
                <w:b/>
                <w:sz w:val="24"/>
                <w:u w:val="single"/>
              </w:rPr>
              <w:t>Purchased receivables</w:t>
            </w:r>
          </w:p>
          <w:p w14:paraId="5B4DB560" w14:textId="56E8A2BF" w:rsidR="00D73092" w:rsidRPr="00B7761D" w:rsidRDefault="00D73092">
            <w:pPr>
              <w:rPr>
                <w:rFonts w:cs="Calibri"/>
                <w:sz w:val="18"/>
                <w:szCs w:val="18"/>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sidR="004D7F22">
              <w:rPr>
                <w:rFonts w:ascii="Times New Roman" w:hAnsi="Times New Roman"/>
                <w:bCs/>
                <w:sz w:val="24"/>
              </w:rPr>
              <w:t xml:space="preserve"> (i</w:t>
            </w:r>
            <w:r w:rsidR="00A12EBD">
              <w:rPr>
                <w:rFonts w:ascii="Times New Roman" w:hAnsi="Times New Roman"/>
                <w:bCs/>
                <w:sz w:val="24"/>
              </w:rPr>
              <w:t>i</w:t>
            </w:r>
            <w:r w:rsidR="004D7F22">
              <w:rPr>
                <w:rFonts w:ascii="Times New Roman" w:hAnsi="Times New Roman"/>
                <w:bCs/>
                <w:sz w:val="24"/>
              </w:rPr>
              <w:t>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4357B9" w:rsidRPr="002A677E" w14:paraId="08B39773" w14:textId="77777777" w:rsidTr="72FDE0D4">
        <w:tc>
          <w:tcPr>
            <w:tcW w:w="1188" w:type="dxa"/>
          </w:tcPr>
          <w:p w14:paraId="3EE33C49" w14:textId="3E1F8514"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2E8C886C" w14:textId="5A412EAD"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Other Retail</w:t>
            </w:r>
          </w:p>
          <w:p w14:paraId="605A7126" w14:textId="64BC8BAE"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D21B29"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which are </w:t>
            </w:r>
            <w:r w:rsidRPr="002A677E">
              <w:rPr>
                <w:rFonts w:ascii="Times New Roman" w:hAnsi="Times New Roman"/>
                <w:sz w:val="24"/>
                <w:lang w:eastAsia="de-DE"/>
              </w:rPr>
              <w:t>not reported in rows 0</w:t>
            </w:r>
            <w:r w:rsidR="001452FC" w:rsidRPr="002A677E">
              <w:rPr>
                <w:rFonts w:ascii="Times New Roman" w:hAnsi="Times New Roman"/>
                <w:sz w:val="24"/>
                <w:lang w:eastAsia="de-DE"/>
              </w:rPr>
              <w:t>0</w:t>
            </w:r>
            <w:r w:rsidRPr="002A677E">
              <w:rPr>
                <w:rFonts w:ascii="Times New Roman" w:hAnsi="Times New Roman"/>
                <w:sz w:val="24"/>
                <w:lang w:eastAsia="de-DE"/>
              </w:rPr>
              <w:t xml:space="preserve">70 </w:t>
            </w:r>
            <w:r w:rsidR="0027034D" w:rsidRPr="002A677E">
              <w:rPr>
                <w:rFonts w:ascii="Times New Roman" w:hAnsi="Times New Roman"/>
                <w:sz w:val="24"/>
                <w:lang w:eastAsia="de-DE"/>
              </w:rPr>
              <w:t>–</w:t>
            </w:r>
            <w:r w:rsidRPr="002A677E">
              <w:rPr>
                <w:rFonts w:ascii="Times New Roman" w:hAnsi="Times New Roman"/>
                <w:sz w:val="24"/>
                <w:lang w:eastAsia="de-DE"/>
              </w:rPr>
              <w:t xml:space="preserve"> </w:t>
            </w:r>
            <w:r w:rsidR="001452FC" w:rsidRPr="002A677E">
              <w:rPr>
                <w:rFonts w:ascii="Times New Roman" w:hAnsi="Times New Roman"/>
                <w:sz w:val="24"/>
                <w:lang w:eastAsia="de-DE"/>
              </w:rPr>
              <w:t>0</w:t>
            </w:r>
            <w:r w:rsidRPr="002A677E">
              <w:rPr>
                <w:rFonts w:ascii="Times New Roman" w:hAnsi="Times New Roman"/>
                <w:sz w:val="24"/>
                <w:lang w:eastAsia="de-DE"/>
              </w:rPr>
              <w:t>10</w:t>
            </w:r>
            <w:r w:rsidR="00C325AD">
              <w:rPr>
                <w:rFonts w:ascii="Times New Roman" w:hAnsi="Times New Roman"/>
                <w:sz w:val="24"/>
                <w:lang w:eastAsia="de-DE"/>
              </w:rPr>
              <w:t>5.</w:t>
            </w:r>
          </w:p>
        </w:tc>
      </w:tr>
      <w:tr w:rsidR="004357B9" w:rsidRPr="002A677E" w14:paraId="7273BA72" w14:textId="77777777" w:rsidTr="72FDE0D4">
        <w:tc>
          <w:tcPr>
            <w:tcW w:w="1188" w:type="dxa"/>
          </w:tcPr>
          <w:p w14:paraId="6CC5C5AE"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7A3D992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282A1BA8" w14:textId="2017DC55" w:rsidR="004357B9" w:rsidRPr="002A677E" w:rsidRDefault="004357B9" w:rsidP="0024244E">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2C69C5" w:rsidRPr="002A677E">
              <w:rPr>
                <w:rFonts w:ascii="Times New Roman" w:hAnsi="Times New Roman"/>
                <w:sz w:val="24"/>
                <w:lang w:eastAsia="de-DE"/>
              </w:rPr>
              <w:t xml:space="preserve">which </w:t>
            </w:r>
            <w:r w:rsidR="002C69C5">
              <w:rPr>
                <w:rFonts w:ascii="Times New Roman" w:hAnsi="Times New Roman"/>
                <w:sz w:val="24"/>
                <w:lang w:eastAsia="de-DE"/>
              </w:rPr>
              <w:t xml:space="preserve">fulfill the definition </w:t>
            </w:r>
            <w:r w:rsidR="002C69C5" w:rsidRPr="002A677E">
              <w:rPr>
                <w:rFonts w:ascii="Times New Roman" w:hAnsi="Times New Roman"/>
                <w:sz w:val="24"/>
                <w:lang w:eastAsia="de-DE"/>
              </w:rPr>
              <w:t xml:space="preserve">of SME </w:t>
            </w:r>
            <w:r w:rsidR="002C69C5">
              <w:rPr>
                <w:rFonts w:ascii="Times New Roman" w:hAnsi="Times New Roman"/>
                <w:sz w:val="24"/>
                <w:lang w:eastAsia="de-DE"/>
              </w:rPr>
              <w:t xml:space="preserve">in Article 5 (8) </w:t>
            </w:r>
            <w:r w:rsidR="002C69C5" w:rsidRPr="001235ED">
              <w:rPr>
                <w:rFonts w:ascii="Times New Roman" w:hAnsi="Times New Roman"/>
                <w:sz w:val="24"/>
                <w:lang w:val="en-US"/>
              </w:rPr>
              <w:t>of Regulation (EU) No 575/2013</w:t>
            </w:r>
            <w:r w:rsidR="002C69C5" w:rsidRPr="002A677E">
              <w:rPr>
                <w:rFonts w:ascii="Times New Roman" w:hAnsi="Times New Roman"/>
                <w:sz w:val="24"/>
                <w:lang w:eastAsia="de-DE"/>
              </w:rPr>
              <w:t xml:space="preserve">. </w:t>
            </w:r>
          </w:p>
        </w:tc>
      </w:tr>
      <w:tr w:rsidR="00D3431A" w:rsidRPr="002A677E" w14:paraId="142D87CA" w14:textId="77777777" w:rsidTr="72FDE0D4">
        <w:tc>
          <w:tcPr>
            <w:tcW w:w="1188" w:type="dxa"/>
          </w:tcPr>
          <w:p w14:paraId="27F88333" w14:textId="17AB1D25" w:rsidR="00D3431A" w:rsidRPr="002A677E" w:rsidRDefault="00D3431A" w:rsidP="00D3431A">
            <w:pPr>
              <w:rPr>
                <w:rFonts w:ascii="Times New Roman" w:hAnsi="Times New Roman"/>
                <w:sz w:val="24"/>
              </w:rPr>
            </w:pPr>
            <w:r w:rsidRPr="002A677E">
              <w:rPr>
                <w:rFonts w:ascii="Times New Roman" w:hAnsi="Times New Roman"/>
                <w:sz w:val="24"/>
              </w:rPr>
              <w:t>01</w:t>
            </w:r>
            <w:r>
              <w:rPr>
                <w:rFonts w:ascii="Times New Roman" w:hAnsi="Times New Roman"/>
                <w:sz w:val="24"/>
              </w:rPr>
              <w:t>21</w:t>
            </w:r>
          </w:p>
        </w:tc>
        <w:tc>
          <w:tcPr>
            <w:tcW w:w="8640" w:type="dxa"/>
          </w:tcPr>
          <w:p w14:paraId="76C839AA" w14:textId="70B328E2" w:rsidR="00D3431A" w:rsidRDefault="00D3431A" w:rsidP="00D3431A">
            <w:pPr>
              <w:rPr>
                <w:rFonts w:ascii="Times New Roman" w:hAnsi="Times New Roman"/>
                <w:b/>
                <w:sz w:val="24"/>
                <w:u w:val="single"/>
              </w:rPr>
            </w:pPr>
            <w:r>
              <w:rPr>
                <w:rFonts w:ascii="Times New Roman" w:hAnsi="Times New Roman"/>
                <w:b/>
                <w:sz w:val="24"/>
                <w:u w:val="single"/>
              </w:rPr>
              <w:t xml:space="preserve">Of which: </w:t>
            </w:r>
            <w:r w:rsidRPr="004D7F22">
              <w:rPr>
                <w:rFonts w:ascii="Times New Roman" w:hAnsi="Times New Roman"/>
                <w:b/>
                <w:sz w:val="24"/>
                <w:u w:val="single"/>
              </w:rPr>
              <w:t>Secured by commercial real estate</w:t>
            </w:r>
          </w:p>
          <w:p w14:paraId="03CE15F8" w14:textId="5D6C12C7" w:rsidR="00D3431A" w:rsidRPr="002A677E" w:rsidRDefault="00D3431A" w:rsidP="00D3431A">
            <w:pPr>
              <w:rPr>
                <w:rFonts w:ascii="Times New Roman" w:hAnsi="Times New Roman"/>
                <w:b/>
                <w:sz w:val="24"/>
                <w:u w:val="single"/>
              </w:rPr>
            </w:pPr>
            <w:r w:rsidRPr="002A677E">
              <w:rPr>
                <w:rFonts w:ascii="Times New Roman" w:hAnsi="Times New Roman"/>
                <w:sz w:val="24"/>
                <w:lang w:eastAsia="de-DE"/>
              </w:rPr>
              <w:t xml:space="preserve">Other retail exposures </w:t>
            </w:r>
            <w:r>
              <w:rPr>
                <w:rFonts w:ascii="Times New Roman" w:hAnsi="Times New Roman"/>
                <w:sz w:val="24"/>
                <w:lang w:eastAsia="de-DE"/>
              </w:rPr>
              <w:t>reported in row 0120</w:t>
            </w:r>
            <w:r w:rsidRPr="002A677E">
              <w:rPr>
                <w:rFonts w:ascii="Times New Roman" w:hAnsi="Times New Roman"/>
                <w:sz w:val="24"/>
                <w:lang w:eastAsia="de-DE"/>
              </w:rPr>
              <w:t xml:space="preserve"> which are </w:t>
            </w:r>
            <w:r>
              <w:rPr>
                <w:rFonts w:ascii="Times New Roman" w:hAnsi="Times New Roman"/>
                <w:sz w:val="24"/>
                <w:lang w:eastAsia="de-DE"/>
              </w:rPr>
              <w:t>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r>
              <w:rPr>
                <w:rFonts w:ascii="Times New Roman" w:hAnsi="Times New Roman"/>
                <w:sz w:val="24"/>
                <w:lang w:eastAsia="de-DE"/>
              </w:rPr>
              <w:t xml:space="preserve"> </w:t>
            </w:r>
          </w:p>
        </w:tc>
      </w:tr>
      <w:tr w:rsidR="004357B9" w:rsidRPr="002A677E" w14:paraId="455EB9DB" w14:textId="77777777" w:rsidTr="72FDE0D4">
        <w:tc>
          <w:tcPr>
            <w:tcW w:w="1188" w:type="dxa"/>
          </w:tcPr>
          <w:p w14:paraId="5CC48D04"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130</w:t>
            </w:r>
          </w:p>
        </w:tc>
        <w:tc>
          <w:tcPr>
            <w:tcW w:w="8640" w:type="dxa"/>
          </w:tcPr>
          <w:p w14:paraId="7B62B7F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1538F6BF" w14:textId="491B1CAB" w:rsidR="004357B9" w:rsidRPr="002A677E" w:rsidRDefault="004357B9" w:rsidP="00DF4FF2">
            <w:pPr>
              <w:rPr>
                <w:rFonts w:ascii="Times New Roman" w:hAnsi="Times New Roman"/>
                <w:sz w:val="24"/>
              </w:rPr>
            </w:pPr>
            <w:r w:rsidRPr="002A677E">
              <w:rPr>
                <w:rFonts w:ascii="Times New Roman" w:hAnsi="Times New Roman"/>
                <w:sz w:val="24"/>
                <w:lang w:eastAsia="de-DE"/>
              </w:rPr>
              <w:t>Other retail exposures</w:t>
            </w:r>
            <w:r w:rsidR="002C69C5">
              <w:rPr>
                <w:rFonts w:ascii="Times New Roman" w:hAnsi="Times New Roman"/>
                <w:sz w:val="24"/>
                <w:lang w:eastAsia="de-DE"/>
              </w:rPr>
              <w:t xml:space="preserve"> not reported under row 0120. </w:t>
            </w:r>
          </w:p>
        </w:tc>
      </w:tr>
      <w:tr w:rsidR="00D3431A" w:rsidRPr="002A677E" w14:paraId="5B1A102E" w14:textId="77777777" w:rsidTr="72FDE0D4">
        <w:tc>
          <w:tcPr>
            <w:tcW w:w="1188" w:type="dxa"/>
          </w:tcPr>
          <w:p w14:paraId="21A69984" w14:textId="1C9B5B0D" w:rsidR="00D3431A" w:rsidRPr="002A677E" w:rsidRDefault="00D3431A" w:rsidP="00D3431A">
            <w:pPr>
              <w:rPr>
                <w:rFonts w:ascii="Times New Roman" w:hAnsi="Times New Roman"/>
                <w:sz w:val="24"/>
              </w:rPr>
            </w:pPr>
            <w:r w:rsidRPr="002A677E">
              <w:rPr>
                <w:rFonts w:ascii="Times New Roman" w:hAnsi="Times New Roman"/>
                <w:sz w:val="24"/>
              </w:rPr>
              <w:t>01</w:t>
            </w:r>
            <w:r>
              <w:rPr>
                <w:rFonts w:ascii="Times New Roman" w:hAnsi="Times New Roman"/>
                <w:sz w:val="24"/>
              </w:rPr>
              <w:t>31</w:t>
            </w:r>
          </w:p>
        </w:tc>
        <w:tc>
          <w:tcPr>
            <w:tcW w:w="8640" w:type="dxa"/>
          </w:tcPr>
          <w:p w14:paraId="69ADAE14" w14:textId="77777777" w:rsidR="00D3431A" w:rsidRDefault="00D3431A" w:rsidP="00D3431A">
            <w:pPr>
              <w:rPr>
                <w:rFonts w:ascii="Times New Roman" w:hAnsi="Times New Roman"/>
                <w:b/>
                <w:sz w:val="24"/>
                <w:u w:val="single"/>
              </w:rPr>
            </w:pPr>
            <w:r>
              <w:rPr>
                <w:rFonts w:ascii="Times New Roman" w:hAnsi="Times New Roman"/>
                <w:b/>
                <w:sz w:val="24"/>
                <w:u w:val="single"/>
              </w:rPr>
              <w:t xml:space="preserve">Of which: </w:t>
            </w:r>
            <w:r w:rsidRPr="004D7F22">
              <w:rPr>
                <w:rFonts w:ascii="Times New Roman" w:hAnsi="Times New Roman"/>
                <w:b/>
                <w:sz w:val="24"/>
                <w:u w:val="single"/>
              </w:rPr>
              <w:t>Secured by commercial real estate</w:t>
            </w:r>
          </w:p>
          <w:p w14:paraId="0F5C183A" w14:textId="180C76D1" w:rsidR="00D3431A" w:rsidRPr="002A677E" w:rsidRDefault="00D3431A" w:rsidP="00D3431A">
            <w:pPr>
              <w:rPr>
                <w:rFonts w:ascii="Times New Roman" w:hAnsi="Times New Roman"/>
                <w:b/>
                <w:sz w:val="24"/>
                <w:u w:val="single"/>
              </w:rPr>
            </w:pPr>
            <w:r w:rsidRPr="002A677E">
              <w:rPr>
                <w:rFonts w:ascii="Times New Roman" w:hAnsi="Times New Roman"/>
                <w:sz w:val="24"/>
                <w:lang w:eastAsia="de-DE"/>
              </w:rPr>
              <w:t xml:space="preserve">Other retail exposures </w:t>
            </w:r>
            <w:r>
              <w:rPr>
                <w:rFonts w:ascii="Times New Roman" w:hAnsi="Times New Roman"/>
                <w:sz w:val="24"/>
                <w:lang w:eastAsia="de-DE"/>
              </w:rPr>
              <w:t>reported in row 0130</w:t>
            </w:r>
            <w:r w:rsidRPr="002A677E">
              <w:rPr>
                <w:rFonts w:ascii="Times New Roman" w:hAnsi="Times New Roman"/>
                <w:sz w:val="24"/>
                <w:lang w:eastAsia="de-DE"/>
              </w:rPr>
              <w:t xml:space="preserve"> which are </w:t>
            </w:r>
            <w:r>
              <w:rPr>
                <w:rFonts w:ascii="Times New Roman" w:hAnsi="Times New Roman"/>
                <w:sz w:val="24"/>
                <w:lang w:eastAsia="de-DE"/>
              </w:rPr>
              <w:t>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r>
              <w:rPr>
                <w:rFonts w:ascii="Times New Roman" w:hAnsi="Times New Roman"/>
                <w:sz w:val="24"/>
                <w:lang w:eastAsia="de-DE"/>
              </w:rPr>
              <w:t xml:space="preserve"> </w:t>
            </w:r>
          </w:p>
        </w:tc>
      </w:tr>
      <w:tr w:rsidR="00917116" w:rsidRPr="002A677E" w14:paraId="65F2A0FD" w14:textId="77777777" w:rsidTr="72FDE0D4">
        <w:tc>
          <w:tcPr>
            <w:tcW w:w="1188" w:type="dxa"/>
          </w:tcPr>
          <w:p w14:paraId="0134292E" w14:textId="7FB47110" w:rsidR="00917116" w:rsidRPr="002A677E" w:rsidRDefault="00CB1CAD" w:rsidP="00D3431A">
            <w:pPr>
              <w:rPr>
                <w:rFonts w:ascii="Times New Roman" w:hAnsi="Times New Roman"/>
                <w:sz w:val="24"/>
              </w:rPr>
            </w:pPr>
            <w:r>
              <w:rPr>
                <w:rFonts w:ascii="Times New Roman" w:hAnsi="Times New Roman"/>
                <w:sz w:val="24"/>
              </w:rPr>
              <w:t>0132</w:t>
            </w:r>
          </w:p>
        </w:tc>
        <w:tc>
          <w:tcPr>
            <w:tcW w:w="8640" w:type="dxa"/>
          </w:tcPr>
          <w:p w14:paraId="0E9D800D" w14:textId="77777777" w:rsidR="00CB1CAD" w:rsidRPr="002A677E" w:rsidRDefault="00CB1CAD" w:rsidP="000059B8">
            <w:pPr>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B463CAD" w14:textId="6B866149" w:rsidR="00CB1CAD" w:rsidRPr="002A677E" w:rsidRDefault="00CB1CAD" w:rsidP="000059B8">
            <w:pPr>
              <w:rPr>
                <w:rFonts w:ascii="Times New Roman" w:hAnsi="Times New Roman"/>
                <w:bCs/>
                <w:sz w:val="24"/>
              </w:rPr>
            </w:pPr>
            <w:r w:rsidRPr="002A677E">
              <w:rPr>
                <w:rFonts w:ascii="Times New Roman" w:hAnsi="Times New Roman"/>
                <w:sz w:val="24"/>
              </w:rPr>
              <w:t xml:space="preserve">Article </w:t>
            </w:r>
            <w:r w:rsidR="00DB3A28" w:rsidRPr="2BEE1747">
              <w:rPr>
                <w:rFonts w:ascii="Times New Roman" w:hAnsi="Times New Roman"/>
                <w:sz w:val="24"/>
                <w:lang w:eastAsia="de-DE"/>
              </w:rPr>
              <w:t>147(2),</w:t>
            </w:r>
            <w:r>
              <w:rPr>
                <w:rFonts w:ascii="Times New Roman" w:hAnsi="Times New Roman"/>
                <w:sz w:val="24"/>
              </w:rPr>
              <w:t xml:space="preserve"> p</w:t>
            </w:r>
            <w:r w:rsidRPr="002A677E">
              <w:rPr>
                <w:rFonts w:ascii="Times New Roman" w:hAnsi="Times New Roman"/>
                <w:sz w:val="24"/>
              </w:rPr>
              <w:t>oint (</w:t>
            </w:r>
            <w:r w:rsidR="00DB3A28" w:rsidRPr="2BEE1747">
              <w:rPr>
                <w:rFonts w:ascii="Times New Roman" w:hAnsi="Times New Roman"/>
                <w:sz w:val="24"/>
                <w:lang w:eastAsia="de-DE"/>
              </w:rPr>
              <w:t>e1</w:t>
            </w:r>
            <w:r w:rsidR="00DB3A28">
              <w:rPr>
                <w:rFonts w:ascii="Times New Roman" w:hAnsi="Times New Roman"/>
                <w:sz w:val="24"/>
                <w:lang w:eastAsia="de-DE"/>
              </w:rPr>
              <w:t>)</w:t>
            </w:r>
            <w:r>
              <w:rPr>
                <w:lang w:eastAsia="de-DE"/>
              </w:rPr>
              <w:t xml:space="preserve"> </w:t>
            </w:r>
            <w:r w:rsidRPr="001235ED">
              <w:rPr>
                <w:rFonts w:ascii="Times New Roman" w:hAnsi="Times New Roman"/>
                <w:sz w:val="24"/>
                <w:lang w:val="en-US"/>
              </w:rPr>
              <w:t>of Regulation (EU) No 575/2013</w:t>
            </w:r>
          </w:p>
          <w:p w14:paraId="491C83A1" w14:textId="21776E65" w:rsidR="00917116" w:rsidRDefault="00CB1CAD" w:rsidP="00D3431A">
            <w:pPr>
              <w:rPr>
                <w:rFonts w:ascii="Times New Roman" w:hAnsi="Times New Roman"/>
                <w:b/>
                <w:sz w:val="24"/>
                <w:u w:val="single"/>
              </w:rPr>
            </w:pPr>
            <w:r w:rsidRPr="001235ED">
              <w:rPr>
                <w:rFonts w:ascii="Times New Roman" w:hAnsi="Times New Roman"/>
                <w:bCs/>
                <w:sz w:val="24"/>
              </w:rPr>
              <w:t>Sum of rows 01</w:t>
            </w:r>
            <w:r>
              <w:rPr>
                <w:rFonts w:ascii="Times New Roman" w:hAnsi="Times New Roman"/>
                <w:bCs/>
                <w:sz w:val="24"/>
              </w:rPr>
              <w:t>33</w:t>
            </w:r>
            <w:r w:rsidRPr="001235ED">
              <w:rPr>
                <w:rFonts w:ascii="Times New Roman" w:hAnsi="Times New Roman"/>
                <w:bCs/>
                <w:sz w:val="24"/>
              </w:rPr>
              <w:t xml:space="preserve"> to 01</w:t>
            </w:r>
            <w:r>
              <w:rPr>
                <w:rFonts w:ascii="Times New Roman" w:hAnsi="Times New Roman"/>
                <w:bCs/>
                <w:sz w:val="24"/>
              </w:rPr>
              <w:t>35</w:t>
            </w:r>
          </w:p>
        </w:tc>
      </w:tr>
      <w:tr w:rsidR="00917116" w:rsidRPr="002A677E" w14:paraId="4E7CBE5B" w14:textId="77777777" w:rsidTr="72FDE0D4">
        <w:tc>
          <w:tcPr>
            <w:tcW w:w="1188" w:type="dxa"/>
          </w:tcPr>
          <w:p w14:paraId="4028741E" w14:textId="32674602" w:rsidR="00917116" w:rsidRPr="002A677E" w:rsidRDefault="00CB1CAD" w:rsidP="00D3431A">
            <w:pPr>
              <w:rPr>
                <w:rFonts w:ascii="Times New Roman" w:hAnsi="Times New Roman"/>
                <w:sz w:val="24"/>
              </w:rPr>
            </w:pPr>
            <w:r>
              <w:rPr>
                <w:rFonts w:ascii="Times New Roman" w:hAnsi="Times New Roman"/>
                <w:sz w:val="24"/>
              </w:rPr>
              <w:t>0133</w:t>
            </w:r>
          </w:p>
        </w:tc>
        <w:tc>
          <w:tcPr>
            <w:tcW w:w="8640" w:type="dxa"/>
          </w:tcPr>
          <w:p w14:paraId="73AD491D" w14:textId="77777777" w:rsidR="00CB1CAD" w:rsidRPr="002A677E" w:rsidRDefault="00CB1CAD" w:rsidP="000059B8">
            <w:pPr>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AFB8726" w14:textId="78A8273B" w:rsidR="00917116" w:rsidRDefault="00CB1CAD" w:rsidP="00D3431A">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w:t>
            </w:r>
            <w:r w:rsidR="00CC4BFF">
              <w:rPr>
                <w:rStyle w:val="InstructionsTabelleberschrift"/>
                <w:rFonts w:ascii="Times New Roman" w:hAnsi="Times New Roman"/>
                <w:b w:val="0"/>
                <w:sz w:val="24"/>
                <w:u w:val="none"/>
              </w:rPr>
              <w:t>190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17116" w:rsidRPr="002A677E" w14:paraId="5C908A2E" w14:textId="77777777" w:rsidTr="72FDE0D4">
        <w:tc>
          <w:tcPr>
            <w:tcW w:w="1188" w:type="dxa"/>
          </w:tcPr>
          <w:p w14:paraId="229F8526" w14:textId="3295E911" w:rsidR="00917116" w:rsidRPr="002A677E" w:rsidRDefault="00CB1CAD" w:rsidP="00D3431A">
            <w:pPr>
              <w:rPr>
                <w:rFonts w:ascii="Times New Roman" w:hAnsi="Times New Roman"/>
                <w:sz w:val="24"/>
              </w:rPr>
            </w:pPr>
            <w:r>
              <w:rPr>
                <w:rFonts w:ascii="Times New Roman" w:hAnsi="Times New Roman"/>
                <w:sz w:val="24"/>
              </w:rPr>
              <w:t>0134</w:t>
            </w:r>
          </w:p>
        </w:tc>
        <w:tc>
          <w:tcPr>
            <w:tcW w:w="8640" w:type="dxa"/>
          </w:tcPr>
          <w:p w14:paraId="3A546609" w14:textId="77777777" w:rsidR="00CB1CAD" w:rsidRPr="002A677E" w:rsidRDefault="00CB1CAD" w:rsidP="000059B8">
            <w:pPr>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BF58" w14:textId="5A004A4C" w:rsidR="00917116" w:rsidRDefault="00CB1CAD" w:rsidP="00D3431A">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sidR="00CC4BFF">
              <w:rPr>
                <w:rStyle w:val="InstructionsTabelleberschrift"/>
                <w:rFonts w:ascii="Times New Roman" w:hAnsi="Times New Roman"/>
                <w:b w:val="0"/>
                <w:sz w:val="24"/>
                <w:u w:val="none"/>
              </w:rPr>
              <w:t>00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17116" w:rsidRPr="002A677E" w14:paraId="6978E320" w14:textId="77777777" w:rsidTr="72FDE0D4">
        <w:tc>
          <w:tcPr>
            <w:tcW w:w="1188" w:type="dxa"/>
          </w:tcPr>
          <w:p w14:paraId="3011E02D" w14:textId="2A0743CF" w:rsidR="00917116" w:rsidRPr="002A677E" w:rsidRDefault="00CB1CAD" w:rsidP="00D3431A">
            <w:pPr>
              <w:rPr>
                <w:rFonts w:ascii="Times New Roman" w:hAnsi="Times New Roman"/>
                <w:sz w:val="24"/>
              </w:rPr>
            </w:pPr>
            <w:r>
              <w:rPr>
                <w:rFonts w:ascii="Times New Roman" w:hAnsi="Times New Roman"/>
                <w:sz w:val="24"/>
              </w:rPr>
              <w:t>0135</w:t>
            </w:r>
          </w:p>
        </w:tc>
        <w:tc>
          <w:tcPr>
            <w:tcW w:w="8640" w:type="dxa"/>
          </w:tcPr>
          <w:p w14:paraId="3D866190" w14:textId="77777777" w:rsidR="00CB1CAD" w:rsidRPr="002A677E" w:rsidRDefault="00CB1CAD" w:rsidP="000059B8">
            <w:pPr>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38D1F38B" w14:textId="479B0537" w:rsidR="00917116" w:rsidRDefault="00CB1CAD" w:rsidP="00D3431A">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sidR="00CC4BFF">
              <w:rPr>
                <w:rStyle w:val="InstructionsTabelleberschrift"/>
                <w:rFonts w:ascii="Times New Roman" w:hAnsi="Times New Roman"/>
                <w:b w:val="0"/>
                <w:sz w:val="24"/>
                <w:u w:val="none"/>
              </w:rPr>
              <w:t>10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bookmarkEnd w:id="364"/>
      <w:tr w:rsidR="004357B9" w:rsidRPr="002A677E" w14:paraId="39509267" w14:textId="77777777" w:rsidTr="72FDE0D4">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Equity</w:t>
            </w:r>
          </w:p>
          <w:p w14:paraId="591FF03F" w14:textId="4A3D8DDF" w:rsidR="004357B9" w:rsidRPr="002A677E" w:rsidRDefault="004357B9" w:rsidP="00DF4FF2">
            <w:pPr>
              <w:rPr>
                <w:rFonts w:ascii="Times New Roman" w:hAnsi="Times New Roman"/>
                <w:b/>
                <w:sz w:val="24"/>
                <w:u w:val="single"/>
              </w:rPr>
            </w:pPr>
            <w:r w:rsidRPr="002A677E">
              <w:rPr>
                <w:rFonts w:ascii="Times New Roman" w:hAnsi="Times New Roman"/>
                <w:sz w:val="24"/>
                <w:lang w:eastAsia="de-DE"/>
              </w:rPr>
              <w:t xml:space="preserve">Equity exposures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oint (e)</w:t>
            </w:r>
            <w:r w:rsidR="00BE1277">
              <w:rPr>
                <w:rFonts w:ascii="Times New Roman" w:hAnsi="Times New Roman"/>
                <w:sz w:val="24"/>
                <w:lang w:eastAsia="de-DE"/>
              </w:rPr>
              <w:t>,</w:t>
            </w:r>
            <w:r w:rsidR="00DF4FF2"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p>
        </w:tc>
      </w:tr>
      <w:tr w:rsidR="007A49AC" w:rsidRPr="002A677E" w14:paraId="4621F14F" w14:textId="77777777" w:rsidTr="72FDE0D4">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sidRPr="002A677E">
              <w:rPr>
                <w:rFonts w:ascii="Times New Roman" w:hAnsi="Times New Roman"/>
                <w:b/>
                <w:sz w:val="24"/>
                <w:u w:val="single"/>
              </w:rPr>
              <w:t>Total exposures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1" w:name="_Toc360188366"/>
      <w:bookmarkStart w:id="372" w:name="_Toc473560917"/>
      <w:bookmarkStart w:id="373" w:name="_Toc151714421"/>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w:t>
      </w:r>
      <w:r w:rsidR="00BC793E" w:rsidRPr="002A677E">
        <w:rPr>
          <w:rFonts w:ascii="Times New Roman" w:hAnsi="Times New Roman" w:cs="Times New Roman"/>
          <w:sz w:val="24"/>
          <w:lang w:val="en-GB"/>
        </w:rPr>
        <w:t xml:space="preserve">04 </w:t>
      </w:r>
      <w:r w:rsidR="004357B9" w:rsidRPr="002A677E">
        <w:rPr>
          <w:rFonts w:ascii="Times New Roman" w:hAnsi="Times New Roman" w:cs="Times New Roman"/>
          <w:sz w:val="24"/>
          <w:lang w:val="en-GB"/>
        </w:rPr>
        <w:t xml:space="preserve">– </w:t>
      </w:r>
      <w:r w:rsidR="00430F6F" w:rsidRPr="002A677E">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2A677E" w:rsidDel="00D82B60">
        <w:rPr>
          <w:rFonts w:ascii="Times New Roman" w:hAnsi="Times New Roman" w:cs="Times New Roman"/>
          <w:sz w:val="24"/>
          <w:lang w:val="en-GB"/>
        </w:rPr>
        <w:t xml:space="preserve"> </w:t>
      </w:r>
      <w:bookmarkEnd w:id="371"/>
      <w:r w:rsidR="009769DE" w:rsidRPr="002A677E">
        <w:rPr>
          <w:rFonts w:ascii="Times New Roman" w:hAnsi="Times New Roman" w:cs="Times New Roman"/>
          <w:sz w:val="24"/>
          <w:lang w:val="en-GB"/>
        </w:rPr>
        <w:t>(</w:t>
      </w:r>
      <w:r w:rsidR="00ED4629" w:rsidRPr="002A677E">
        <w:rPr>
          <w:rFonts w:ascii="Times New Roman" w:hAnsi="Times New Roman" w:cs="Times New Roman"/>
          <w:sz w:val="24"/>
          <w:lang w:val="en-GB"/>
        </w:rPr>
        <w:t>CCB</w:t>
      </w:r>
      <w:r w:rsidR="009769DE" w:rsidRPr="002A677E">
        <w:rPr>
          <w:rFonts w:ascii="Times New Roman" w:hAnsi="Times New Roman" w:cs="Times New Roman"/>
          <w:sz w:val="24"/>
          <w:lang w:val="en-GB"/>
        </w:rPr>
        <w:t>)</w:t>
      </w:r>
      <w:bookmarkEnd w:id="372"/>
      <w:bookmarkEnd w:id="373"/>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4" w:name="_Toc360188367"/>
      <w:bookmarkStart w:id="375" w:name="_Toc473560918"/>
      <w:bookmarkStart w:id="376" w:name="_Toc151714422"/>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General remarks</w:t>
      </w:r>
      <w:bookmarkEnd w:id="374"/>
      <w:bookmarkEnd w:id="375"/>
      <w:bookmarkEnd w:id="376"/>
    </w:p>
    <w:p w14:paraId="31C3185E" w14:textId="302799E6" w:rsidR="00430F6F"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88</w:t>
      </w:r>
      <w:r>
        <w:fldChar w:fldCharType="end"/>
      </w:r>
      <w:r w:rsidR="00125707" w:rsidRPr="002A677E">
        <w:t>.</w:t>
      </w:r>
      <w:r w:rsidR="00125707" w:rsidRPr="002A677E">
        <w:tab/>
      </w:r>
      <w:r w:rsidR="00430F6F" w:rsidRPr="002A677E">
        <w:t xml:space="preserve">This </w:t>
      </w:r>
      <w:r w:rsidR="00133396" w:rsidRPr="002A677E">
        <w:t xml:space="preserve">template </w:t>
      </w:r>
      <w:r w:rsidR="00AA7658" w:rsidRPr="002A677E">
        <w:t xml:space="preserve">aims at </w:t>
      </w:r>
      <w:r w:rsidR="00430F6F" w:rsidRPr="002A677E">
        <w:t>receiv</w:t>
      </w:r>
      <w:r w:rsidR="00AA7658" w:rsidRPr="002A677E">
        <w:t xml:space="preserve">ing </w:t>
      </w:r>
      <w:r w:rsidR="00430F6F" w:rsidRPr="002A677E">
        <w:t>more information regarding the elements of the</w:t>
      </w:r>
      <w:r w:rsidR="00AA7658" w:rsidRPr="002A677E">
        <w:t xml:space="preserve"> institution</w:t>
      </w:r>
      <w:r w:rsidR="00A04CFA" w:rsidRPr="002A677E">
        <w:t>-</w:t>
      </w:r>
      <w:r w:rsidR="00430F6F" w:rsidRPr="002A677E">
        <w:t>specific countercyclical capital buffer. The information</w:t>
      </w:r>
      <w:r w:rsidR="00AA7658" w:rsidRPr="002A677E">
        <w:t xml:space="preserve"> required</w:t>
      </w:r>
      <w:r w:rsidR="00430F6F" w:rsidRPr="002A677E">
        <w:t xml:space="preserve"> refers to the own funds requirements determined in accordance with</w:t>
      </w:r>
      <w:r w:rsidR="00402284">
        <w:t xml:space="preserve"> </w:t>
      </w:r>
      <w:r w:rsidR="00A779E9" w:rsidRPr="002A677E">
        <w:t>Part Three</w:t>
      </w:r>
      <w:r w:rsidR="00E515D5" w:rsidRPr="002A677E">
        <w:t>,</w:t>
      </w:r>
      <w:r w:rsidR="00430F6F" w:rsidRPr="002A677E">
        <w:t xml:space="preserve"> </w:t>
      </w:r>
      <w:r w:rsidR="00E515D5" w:rsidRPr="002A677E">
        <w:t xml:space="preserve">Title II and Title IV </w:t>
      </w:r>
      <w:r w:rsidR="00E515D5" w:rsidRPr="001235ED">
        <w:rPr>
          <w:lang w:val="en-US"/>
        </w:rPr>
        <w:t>of Regulation (EU) No 575/2013</w:t>
      </w:r>
      <w:r w:rsidR="00FD380B" w:rsidRPr="002A677E">
        <w:t xml:space="preserve"> and the geographical location</w:t>
      </w:r>
      <w:r w:rsidR="00430F6F" w:rsidRPr="002A677E">
        <w:t xml:space="preserve"> for credit exposures, securitisation exposures and trading book exposures relevant for the calculation of the institution</w:t>
      </w:r>
      <w:r w:rsidR="003B2712" w:rsidRPr="002A677E">
        <w:t>-</w:t>
      </w:r>
      <w:r w:rsidR="00430F6F" w:rsidRPr="002A677E">
        <w:t xml:space="preserve">specific countercyclical capital buffer (CCB) in accordance with Article 140 </w:t>
      </w:r>
      <w:r w:rsidR="00027D90" w:rsidRPr="002A677E">
        <w:t>of Directive 2013/36/EU</w:t>
      </w:r>
      <w:r w:rsidR="00430F6F" w:rsidRPr="002A677E">
        <w:t xml:space="preserve"> (relevant credit exposures). </w:t>
      </w:r>
    </w:p>
    <w:p w14:paraId="248A8B84" w14:textId="7A47D4DB" w:rsidR="00430F6F"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89</w:t>
      </w:r>
      <w:r>
        <w:fldChar w:fldCharType="end"/>
      </w:r>
      <w:r w:rsidR="00125707" w:rsidRPr="002A677E">
        <w:t>.</w:t>
      </w:r>
      <w:r w:rsidR="00125707" w:rsidRPr="002A677E">
        <w:tab/>
      </w:r>
      <w:r w:rsidR="00430F6F" w:rsidRPr="002A677E">
        <w:t xml:space="preserve">Information in </w:t>
      </w:r>
      <w:r w:rsidR="00FD457C" w:rsidRPr="002A677E">
        <w:t xml:space="preserve">template </w:t>
      </w:r>
      <w:r w:rsidR="00430F6F" w:rsidRPr="002A677E">
        <w:t>C 09.0</w:t>
      </w:r>
      <w:r w:rsidR="007A212A" w:rsidRPr="002A677E">
        <w:t>4</w:t>
      </w:r>
      <w:r w:rsidR="00AA7658" w:rsidRPr="002A677E">
        <w:t xml:space="preserve"> shall be reported</w:t>
      </w:r>
      <w:r w:rsidR="00430F6F" w:rsidRPr="002A677E">
        <w:t xml:space="preserve"> for the </w:t>
      </w:r>
      <w:r w:rsidR="002305D2" w:rsidRPr="002A677E">
        <w:t>‘T</w:t>
      </w:r>
      <w:r w:rsidR="00430F6F" w:rsidRPr="002A677E">
        <w:t>otal</w:t>
      </w:r>
      <w:r w:rsidR="002305D2" w:rsidRPr="002A677E">
        <w:t>’</w:t>
      </w:r>
      <w:r w:rsidR="00430F6F" w:rsidRPr="002A677E">
        <w:t xml:space="preserve"> of relevant credit exposures across all jurisdictions where th</w:t>
      </w:r>
      <w:r w:rsidR="003B2712" w:rsidRPr="002A677E">
        <w:t>o</w:t>
      </w:r>
      <w:r w:rsidR="00430F6F" w:rsidRPr="002A677E">
        <w:t>se exposures are located and individually for each of the jurisdictions in which relevant credit exposures are located. The total figures as well as the information of each jurisdiction</w:t>
      </w:r>
      <w:r w:rsidR="00AA7658" w:rsidRPr="002A677E">
        <w:t xml:space="preserve"> shall be </w:t>
      </w:r>
      <w:r w:rsidR="00430F6F" w:rsidRPr="002A677E">
        <w:t>reported in a separate dimension.</w:t>
      </w:r>
      <w:r w:rsidR="00FD457C" w:rsidRPr="002A677E">
        <w:t xml:space="preserve"> </w:t>
      </w:r>
    </w:p>
    <w:p w14:paraId="721717B9" w14:textId="30BDE0A0" w:rsidR="007463E2" w:rsidRPr="002A677E" w:rsidRDefault="008F3052" w:rsidP="0047337A">
      <w:pPr>
        <w:pStyle w:val="InstructionsText2"/>
        <w:numPr>
          <w:ilvl w:val="0"/>
          <w:numId w:val="0"/>
        </w:numPr>
        <w:ind w:left="993"/>
      </w:pPr>
      <w:r>
        <w:lastRenderedPageBreak/>
        <w:fldChar w:fldCharType="begin"/>
      </w:r>
      <w:r>
        <w:instrText>seq paragraphs</w:instrText>
      </w:r>
      <w:r>
        <w:fldChar w:fldCharType="separate"/>
      </w:r>
      <w:r w:rsidR="005E3D5A">
        <w:rPr>
          <w:noProof/>
        </w:rPr>
        <w:t>90</w:t>
      </w:r>
      <w:r>
        <w:fldChar w:fldCharType="end"/>
      </w:r>
      <w:r w:rsidR="00125707" w:rsidRPr="002A677E">
        <w:t>.</w:t>
      </w:r>
      <w:r w:rsidR="00125707" w:rsidRPr="002A677E">
        <w:tab/>
      </w:r>
      <w:r w:rsidR="007463E2" w:rsidRPr="002A677E">
        <w:t>The threshold set in Article 5(</w:t>
      </w:r>
      <w:r w:rsidR="00CB3146" w:rsidRPr="002A677E">
        <w:t>5</w:t>
      </w:r>
      <w:r w:rsidR="007463E2" w:rsidRPr="002A677E">
        <w:t xml:space="preserve">) of this </w:t>
      </w:r>
      <w:r w:rsidR="001E0C80" w:rsidRPr="002A677E">
        <w:t xml:space="preserve">Implementing </w:t>
      </w:r>
      <w:r w:rsidR="007463E2" w:rsidRPr="002A677E">
        <w:t>Regulation</w:t>
      </w:r>
      <w:r w:rsidR="00AA7658" w:rsidRPr="002A677E">
        <w:t xml:space="preserve"> shall </w:t>
      </w:r>
      <w:r w:rsidR="007463E2" w:rsidRPr="002A677E">
        <w:t>not</w:t>
      </w:r>
      <w:r w:rsidR="00AA7658" w:rsidRPr="002A677E">
        <w:t xml:space="preserve"> apply </w:t>
      </w:r>
      <w:r w:rsidR="007463E2" w:rsidRPr="002A677E">
        <w:t>for the reporting of this breakdown.</w:t>
      </w:r>
    </w:p>
    <w:bookmarkStart w:id="377" w:name="_Hlk151650982"/>
    <w:p w14:paraId="7AF60D10" w14:textId="7F5F38C2" w:rsidR="005A7CA9" w:rsidRPr="002A677E" w:rsidRDefault="008F3052" w:rsidP="0047337A">
      <w:pPr>
        <w:pStyle w:val="InstructionsText2"/>
        <w:numPr>
          <w:ilvl w:val="0"/>
          <w:numId w:val="0"/>
        </w:numPr>
        <w:ind w:left="993"/>
      </w:pPr>
      <w:r>
        <w:fldChar w:fldCharType="begin"/>
      </w:r>
      <w:r>
        <w:instrText>seq paragraphs</w:instrText>
      </w:r>
      <w:r>
        <w:fldChar w:fldCharType="separate"/>
      </w:r>
      <w:r w:rsidR="005E3D5A">
        <w:rPr>
          <w:noProof/>
        </w:rPr>
        <w:t>91</w:t>
      </w:r>
      <w:r>
        <w:fldChar w:fldCharType="end"/>
      </w:r>
      <w:r w:rsidR="00125707" w:rsidRPr="002A677E">
        <w:t>.</w:t>
      </w:r>
      <w:r w:rsidR="00125707" w:rsidRPr="002A677E">
        <w:tab/>
      </w:r>
      <w:r w:rsidR="007463E2" w:rsidRPr="002A677E">
        <w:t xml:space="preserve">In order to determine the geographical location, the exposures </w:t>
      </w:r>
      <w:r w:rsidR="003B2712" w:rsidRPr="002A677E">
        <w:t>shall be</w:t>
      </w:r>
      <w:r w:rsidR="007463E2" w:rsidRPr="002A677E">
        <w:t xml:space="preserve"> allocated on an immediate obligor basis as provided for in Commission Delegated Regulation (EU) No 1152/2014</w:t>
      </w:r>
      <w:r w:rsidR="003B2712" w:rsidRPr="002A677E">
        <w:footnoteReference w:id="5"/>
      </w:r>
      <w:r w:rsidR="007463E2" w:rsidRPr="002A677E">
        <w:t xml:space="preserve">. </w:t>
      </w:r>
      <w:r w:rsidR="005A7CA9" w:rsidRPr="002A677E">
        <w:t>Therefore</w:t>
      </w:r>
      <w:r w:rsidR="003B2712" w:rsidRPr="002A677E">
        <w:t>,</w:t>
      </w:r>
      <w:r w:rsidR="005A7CA9" w:rsidRPr="002A677E">
        <w:t xml:space="preserve"> CRM techniques </w:t>
      </w:r>
      <w:r w:rsidR="003B2712" w:rsidRPr="002A677E">
        <w:t>shall</w:t>
      </w:r>
      <w:r w:rsidR="005A7CA9" w:rsidRPr="002A677E">
        <w:t xml:space="preserve"> not change the allocation of an exposure to </w:t>
      </w:r>
      <w:r w:rsidR="007463E2" w:rsidRPr="002A677E">
        <w:t xml:space="preserve">its geographical location </w:t>
      </w:r>
      <w:r w:rsidR="00EF3F40" w:rsidRPr="002A677E">
        <w:t xml:space="preserve">for the purpose of </w:t>
      </w:r>
      <w:r w:rsidR="007463E2" w:rsidRPr="002A677E">
        <w:t xml:space="preserve">reporting information set out in </w:t>
      </w:r>
      <w:r w:rsidR="00C4425F" w:rsidRPr="002A677E">
        <w:t xml:space="preserve">this </w:t>
      </w:r>
      <w:r w:rsidR="007463E2" w:rsidRPr="002A677E">
        <w:t>template</w:t>
      </w:r>
      <w:r w:rsidR="005A7CA9" w:rsidRPr="002A677E">
        <w: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8" w:name="_Toc360188368"/>
      <w:bookmarkStart w:id="379" w:name="_Toc473560919"/>
      <w:bookmarkStart w:id="380" w:name="_Toc151714423"/>
      <w:bookmarkEnd w:id="377"/>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78"/>
      <w:bookmarkEnd w:id="379"/>
      <w:bookmarkEnd w:id="38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612E1A4"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6D67119D" w14:textId="77777777" w:rsidR="00154859" w:rsidRPr="002A677E" w:rsidRDefault="006E3440" w:rsidP="00535A98">
            <w:pPr>
              <w:rPr>
                <w:rFonts w:ascii="Times New Roman" w:hAnsi="Times New Roman"/>
                <w:b/>
                <w:sz w:val="24"/>
                <w:u w:val="single"/>
              </w:rPr>
            </w:pPr>
            <w:r w:rsidRPr="002A677E">
              <w:rPr>
                <w:rFonts w:ascii="Times New Roman" w:hAnsi="Times New Roman"/>
                <w:bCs/>
                <w:sz w:val="24"/>
                <w:lang w:eastAsia="de-DE"/>
              </w:rPr>
              <w:t>The v</w:t>
            </w:r>
            <w:r w:rsidR="00154859" w:rsidRPr="002A677E">
              <w:rPr>
                <w:rFonts w:ascii="Times New Roman" w:hAnsi="Times New Roman"/>
                <w:bCs/>
                <w:sz w:val="24"/>
                <w:lang w:eastAsia="de-DE"/>
              </w:rPr>
              <w:t>alue of the relevant credit exposures and their associated own-fund</w:t>
            </w:r>
            <w:r w:rsidR="00FD457C" w:rsidRPr="002A677E">
              <w:rPr>
                <w:rFonts w:ascii="Times New Roman" w:hAnsi="Times New Roman"/>
                <w:bCs/>
                <w:sz w:val="24"/>
                <w:lang w:eastAsia="de-DE"/>
              </w:rPr>
              <w:t>s</w:t>
            </w:r>
            <w:r w:rsidR="00154859" w:rsidRPr="002A677E">
              <w:rPr>
                <w:rFonts w:ascii="Times New Roman" w:hAnsi="Times New Roman"/>
                <w:bCs/>
                <w:sz w:val="24"/>
                <w:lang w:eastAsia="de-DE"/>
              </w:rPr>
              <w:t xml:space="preserve"> requirements determined in accordance with the instructions for the </w:t>
            </w:r>
            <w:r w:rsidR="00535A98" w:rsidRPr="002A677E">
              <w:rPr>
                <w:rFonts w:ascii="Times New Roman" w:hAnsi="Times New Roman"/>
                <w:bCs/>
                <w:sz w:val="24"/>
                <w:lang w:eastAsia="de-DE"/>
              </w:rPr>
              <w:t>respective</w:t>
            </w:r>
            <w:r w:rsidR="00154859" w:rsidRPr="002A677E">
              <w:rPr>
                <w:rFonts w:ascii="Times New Roman" w:hAnsi="Times New Roman"/>
                <w:bCs/>
                <w:sz w:val="24"/>
                <w:lang w:eastAsia="de-DE"/>
              </w:rPr>
              <w:t xml:space="preserve"> row.</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48DCD472"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76E15ACA" w14:textId="77777777" w:rsidR="00514783" w:rsidRPr="002A677E" w:rsidRDefault="00CA270D" w:rsidP="00234E7D">
            <w:pPr>
              <w:autoSpaceDE w:val="0"/>
              <w:autoSpaceDN w:val="0"/>
              <w:adjustRightInd w:val="0"/>
              <w:rPr>
                <w:rFonts w:ascii="Times New Roman" w:hAnsi="Times New Roman"/>
                <w:sz w:val="24"/>
              </w:rPr>
            </w:pPr>
            <w:r w:rsidRPr="002A677E">
              <w:rPr>
                <w:rFonts w:ascii="Times New Roman" w:hAnsi="Times New Roman"/>
                <w:sz w:val="24"/>
              </w:rPr>
              <w:t xml:space="preserve">This </w:t>
            </w:r>
            <w:r w:rsidR="006E3440" w:rsidRPr="002A677E">
              <w:rPr>
                <w:rFonts w:ascii="Times New Roman" w:hAnsi="Times New Roman"/>
                <w:sz w:val="24"/>
              </w:rPr>
              <w:t>information</w:t>
            </w:r>
            <w:r w:rsidRPr="002A677E">
              <w:rPr>
                <w:rFonts w:ascii="Times New Roman" w:hAnsi="Times New Roman"/>
                <w:sz w:val="24"/>
              </w:rPr>
              <w:t xml:space="preserve"> shall only be reported for the country of residence of the institution (the jurisdiction corresponding to its home Member State)</w:t>
            </w:r>
            <w:r w:rsidR="00FC0624" w:rsidRPr="002A677E">
              <w:rPr>
                <w:rFonts w:ascii="Times New Roman" w:hAnsi="Times New Roman"/>
                <w:sz w:val="24"/>
              </w:rPr>
              <w:t xml:space="preserve"> and </w:t>
            </w:r>
            <w:r w:rsidR="00FD457C" w:rsidRPr="002A677E">
              <w:rPr>
                <w:rFonts w:ascii="Times New Roman" w:hAnsi="Times New Roman"/>
                <w:sz w:val="24"/>
              </w:rPr>
              <w:t>the ‘</w:t>
            </w:r>
            <w:r w:rsidR="00FC0624" w:rsidRPr="002A677E">
              <w:rPr>
                <w:rFonts w:ascii="Times New Roman" w:hAnsi="Times New Roman"/>
                <w:sz w:val="24"/>
              </w:rPr>
              <w:t>Total</w:t>
            </w:r>
            <w:r w:rsidR="00FD457C" w:rsidRPr="002A677E">
              <w:rPr>
                <w:rFonts w:ascii="Times New Roman" w:hAnsi="Times New Roman"/>
                <w:sz w:val="24"/>
              </w:rPr>
              <w:t>’ of all countries</w:t>
            </w:r>
            <w:r w:rsidRPr="002A677E">
              <w:rPr>
                <w:rFonts w:ascii="Times New Roman" w:hAnsi="Times New Roman"/>
                <w:sz w:val="24"/>
              </w:rPr>
              <w:t>.</w:t>
            </w:r>
            <w:r w:rsidR="00514783" w:rsidRPr="002A677E">
              <w:rPr>
                <w:rFonts w:ascii="Times New Roman" w:hAnsi="Times New Roman"/>
                <w:sz w:val="24"/>
              </w:rPr>
              <w:t xml:space="preserve"> </w:t>
            </w:r>
          </w:p>
          <w:p w14:paraId="3E64DE7C" w14:textId="77777777" w:rsidR="00EF3F40" w:rsidRPr="002A677E" w:rsidRDefault="00514783" w:rsidP="00514783">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36AA1E47" w14:textId="77777777" w:rsidR="00464F34" w:rsidRPr="002A677E" w:rsidRDefault="00464F34" w:rsidP="00B055F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381C7D7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3806537D" w14:textId="56471309" w:rsidR="00BD5485" w:rsidRPr="002A677E" w:rsidRDefault="00BD5485" w:rsidP="00DF4FF2">
            <w:pPr>
              <w:rPr>
                <w:rFonts w:ascii="Times New Roman" w:hAnsi="Times New Roman"/>
                <w:b/>
                <w:sz w:val="24"/>
                <w:u w:val="single"/>
              </w:rPr>
            </w:pPr>
            <w:r w:rsidRPr="002A677E">
              <w:rPr>
                <w:rFonts w:ascii="Times New Roman" w:hAnsi="Times New Roman"/>
                <w:sz w:val="24"/>
              </w:rPr>
              <w:t xml:space="preserve">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75434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Standardised </w:t>
            </w:r>
            <w:r w:rsidR="009A4399" w:rsidRPr="002A677E">
              <w:rPr>
                <w:rFonts w:ascii="Times New Roman" w:hAnsi="Times New Roman"/>
                <w:b/>
                <w:bCs/>
                <w:sz w:val="24"/>
                <w:u w:val="single"/>
                <w:lang w:eastAsia="de-DE"/>
              </w:rPr>
              <w:t>approach</w:t>
            </w:r>
          </w:p>
          <w:p w14:paraId="14785702" w14:textId="7FB229F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111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67AEB679" w14:textId="77777777" w:rsidR="00BD5485" w:rsidRPr="002A677E" w:rsidRDefault="00BD5485" w:rsidP="00B85F75">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B85F75" w:rsidRPr="002A677E">
              <w:rPr>
                <w:rFonts w:ascii="Times New Roman" w:hAnsi="Times New Roman"/>
                <w:sz w:val="24"/>
              </w:rPr>
              <w:t>0</w:t>
            </w:r>
            <w:r w:rsidR="006E0E76" w:rsidRPr="002A677E">
              <w:rPr>
                <w:rFonts w:ascii="Times New Roman" w:hAnsi="Times New Roman"/>
                <w:sz w:val="24"/>
              </w:rPr>
              <w:t>0</w:t>
            </w:r>
            <w:r w:rsidR="00B85F75" w:rsidRPr="002A677E">
              <w:rPr>
                <w:rFonts w:ascii="Times New Roman" w:hAnsi="Times New Roman"/>
                <w:sz w:val="24"/>
              </w:rPr>
              <w:t>55</w:t>
            </w:r>
            <w:r w:rsidRPr="002A677E">
              <w:rPr>
                <w:rFonts w:ascii="Times New Roman" w:hAnsi="Times New Roman"/>
                <w:sz w:val="24"/>
              </w:rPr>
              <w:t>.</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5234ED6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IRB </w:t>
            </w:r>
            <w:r w:rsidR="009A4399" w:rsidRPr="002A677E">
              <w:rPr>
                <w:rFonts w:ascii="Times New Roman" w:hAnsi="Times New Roman"/>
                <w:b/>
                <w:bCs/>
                <w:sz w:val="24"/>
                <w:u w:val="single"/>
                <w:lang w:eastAsia="de-DE"/>
              </w:rPr>
              <w:t>approach</w:t>
            </w:r>
          </w:p>
          <w:p w14:paraId="53852A77" w14:textId="7101DA6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lastRenderedPageBreak/>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166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36BAF617" w14:textId="77777777" w:rsidR="00BD5485" w:rsidRPr="002A677E" w:rsidRDefault="00BD5485" w:rsidP="00B85F75">
            <w:pPr>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6C2F61" w:rsidRPr="002A677E">
              <w:rPr>
                <w:rFonts w:ascii="Times New Roman" w:hAnsi="Times New Roman"/>
                <w:sz w:val="24"/>
              </w:rPr>
              <w:t>0</w:t>
            </w:r>
            <w:r w:rsidR="006E0E76" w:rsidRPr="002A677E">
              <w:rPr>
                <w:rFonts w:ascii="Times New Roman" w:hAnsi="Times New Roman"/>
                <w:sz w:val="24"/>
              </w:rPr>
              <w:t>0</w:t>
            </w:r>
            <w:r w:rsidR="006C2F61" w:rsidRPr="002A677E">
              <w:rPr>
                <w:rFonts w:ascii="Times New Roman" w:hAnsi="Times New Roman"/>
                <w:sz w:val="24"/>
              </w:rPr>
              <w:t>5</w:t>
            </w:r>
            <w:r w:rsidR="00B85F75" w:rsidRPr="002A677E">
              <w:rPr>
                <w:rFonts w:ascii="Times New Roman" w:hAnsi="Times New Roman"/>
                <w:sz w:val="24"/>
              </w:rPr>
              <w:t>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30-0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5AF8FE8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1D49BA1E" w14:textId="6E43650B" w:rsidR="00BD5485" w:rsidRPr="002A677E" w:rsidRDefault="00BD5485" w:rsidP="00A37A04">
            <w:pPr>
              <w:rPr>
                <w:rFonts w:ascii="Times New Roman" w:hAnsi="Times New Roman"/>
                <w:b/>
                <w:bCs/>
                <w:sz w:val="24"/>
                <w:u w:val="single"/>
                <w:lang w:eastAsia="de-DE"/>
              </w:rPr>
            </w:pPr>
            <w:r w:rsidRPr="002A677E">
              <w:rPr>
                <w:rFonts w:ascii="Times New Roman" w:hAnsi="Times New Roman"/>
                <w:sz w:val="24"/>
              </w:rPr>
              <w:t xml:space="preserve">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17C4C3B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Sum of long and short positions of trading book exposures for </w:t>
            </w:r>
            <w:r w:rsidR="00CA21CA" w:rsidRPr="002A677E">
              <w:rPr>
                <w:rFonts w:ascii="Times New Roman" w:hAnsi="Times New Roman"/>
                <w:b/>
                <w:bCs/>
                <w:sz w:val="24"/>
                <w:u w:val="single"/>
                <w:lang w:eastAsia="de-DE"/>
              </w:rPr>
              <w:t xml:space="preserve">Standardised </w:t>
            </w:r>
            <w:r w:rsidR="009A4399" w:rsidRPr="002A677E">
              <w:rPr>
                <w:rFonts w:ascii="Times New Roman" w:hAnsi="Times New Roman"/>
                <w:b/>
                <w:bCs/>
                <w:sz w:val="24"/>
                <w:u w:val="single"/>
                <w:lang w:eastAsia="de-DE"/>
              </w:rPr>
              <w:t>approach</w:t>
            </w:r>
          </w:p>
          <w:p w14:paraId="7295B532" w14:textId="2A88465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w:t>
            </w:r>
            <w:r w:rsidR="00BB22D4" w:rsidRPr="002A677E">
              <w:rPr>
                <w:rFonts w:ascii="Times New Roman" w:hAnsi="Times New Roman"/>
                <w:sz w:val="24"/>
              </w:rPr>
              <w:t>in accordance with</w:t>
            </w:r>
            <w:r w:rsidR="00E2447E" w:rsidRPr="002A677E">
              <w:rPr>
                <w:rFonts w:ascii="Times New Roman" w:hAnsi="Times New Roman"/>
                <w:sz w:val="24"/>
              </w:rPr>
              <w:t xml:space="preserve"> Art</w:t>
            </w:r>
            <w:r w:rsidR="00417984" w:rsidRPr="002A677E">
              <w:rPr>
                <w:rFonts w:ascii="Times New Roman" w:hAnsi="Times New Roman"/>
                <w:sz w:val="24"/>
              </w:rPr>
              <w:t>icle</w:t>
            </w:r>
            <w:r w:rsidR="00E2447E" w:rsidRPr="002A677E">
              <w:rPr>
                <w:rFonts w:ascii="Times New Roman" w:hAnsi="Times New Roman"/>
                <w:sz w:val="24"/>
              </w:rPr>
              <w:t xml:space="preserve"> 327 </w:t>
            </w:r>
            <w:r w:rsidR="004D3C0E" w:rsidRPr="001235ED">
              <w:rPr>
                <w:rFonts w:ascii="Times New Roman" w:hAnsi="Times New Roman"/>
                <w:sz w:val="24"/>
                <w:lang w:val="en-US"/>
              </w:rPr>
              <w:t>of Regulation (EU) No 575/2013</w:t>
            </w:r>
            <w:r w:rsidR="00E2447E" w:rsidRPr="002A677E">
              <w:rPr>
                <w:rFonts w:ascii="Times New Roman" w:hAnsi="Times New Roman"/>
                <w:sz w:val="24"/>
              </w:rPr>
              <w:t xml:space="preserve"> </w:t>
            </w:r>
            <w:r w:rsidRPr="002A677E">
              <w:rPr>
                <w:rFonts w:ascii="Times New Roman" w:hAnsi="Times New Roman"/>
                <w:sz w:val="24"/>
              </w:rPr>
              <w:t xml:space="preserve">of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A779E9" w:rsidRPr="002A677E">
              <w:rPr>
                <w:rFonts w:ascii="Times New Roman" w:hAnsi="Times New Roman"/>
                <w:sz w:val="24"/>
              </w:rPr>
              <w:t xml:space="preserve"> subject to own funds requirements </w:t>
            </w:r>
            <w:r w:rsidRPr="002A677E">
              <w:rPr>
                <w:rFonts w:ascii="Times New Roman" w:hAnsi="Times New Roman"/>
                <w:sz w:val="24"/>
              </w:rPr>
              <w:t>under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D3C0E" w:rsidRPr="001235ED">
              <w:rPr>
                <w:rFonts w:ascii="Times New Roman" w:hAnsi="Times New Roman"/>
                <w:sz w:val="24"/>
                <w:lang w:val="en-US"/>
              </w:rPr>
              <w:t>of Regulation (EU) No 575/2013</w:t>
            </w:r>
            <w:r w:rsidRPr="002A677E">
              <w:rPr>
                <w:rFonts w:ascii="Times New Roman" w:hAnsi="Times New Roman"/>
                <w:sz w:val="24"/>
              </w:rPr>
              <w:t xml:space="preserve">: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debt instruments other than securitisation</w:t>
            </w:r>
            <w:r w:rsidR="00A37A04" w:rsidRPr="002A677E">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securitisation positions in the trading book</w:t>
            </w:r>
            <w:r w:rsidR="00A37A04" w:rsidRPr="002A677E">
              <w:rPr>
                <w:rFonts w:ascii="Times New Roman" w:hAnsi="Times New Roman"/>
                <w:sz w:val="24"/>
              </w:rPr>
              <w: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correlation trading portfolios</w:t>
            </w:r>
            <w:r w:rsidR="00A37A04" w:rsidRPr="002A677E">
              <w:rPr>
                <w:rFonts w:ascii="Times New Roman" w:hAnsi="Times New Roman"/>
                <w:sz w:val="24"/>
              </w:rPr>
              <w: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equity securities</w:t>
            </w:r>
            <w:r w:rsidR="00A37A04" w:rsidRPr="002A677E">
              <w:rPr>
                <w:rFonts w:ascii="Times New Roman" w:hAnsi="Times New Roman"/>
                <w:sz w:val="24"/>
              </w:rPr>
              <w:t>;</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00C4425F" w:rsidRPr="002A677E">
              <w:rPr>
                <w:rFonts w:ascii="Times New Roman" w:hAnsi="Times New Roman"/>
                <w:sz w:val="24"/>
              </w:rPr>
              <w:t xml:space="preserve">exposures to CIUs </w:t>
            </w:r>
            <w:r w:rsidR="00A37A04" w:rsidRPr="002A677E">
              <w:rPr>
                <w:rFonts w:ascii="Times New Roman" w:hAnsi="Times New Roman"/>
                <w:sz w:val="24"/>
              </w:rPr>
              <w:t>where</w:t>
            </w:r>
            <w:r w:rsidR="00C4425F" w:rsidRPr="002A677E">
              <w:rPr>
                <w:rFonts w:ascii="Times New Roman" w:hAnsi="Times New Roman"/>
                <w:sz w:val="24"/>
              </w:rPr>
              <w:t xml:space="preserve"> capital requirements are calculated </w:t>
            </w:r>
            <w:r w:rsidR="00BB22D4" w:rsidRPr="002A677E">
              <w:rPr>
                <w:rFonts w:ascii="Times New Roman" w:hAnsi="Times New Roman"/>
                <w:sz w:val="24"/>
              </w:rPr>
              <w:t>in accordance with</w:t>
            </w:r>
            <w:r w:rsidR="00C4425F" w:rsidRPr="002A677E">
              <w:rPr>
                <w:rFonts w:ascii="Times New Roman" w:hAnsi="Times New Roman"/>
                <w:sz w:val="24"/>
              </w:rPr>
              <w:t xml:space="preserve"> Article 348 </w:t>
            </w:r>
            <w:r w:rsidR="004D3C0E" w:rsidRPr="001235ED">
              <w:rPr>
                <w:rFonts w:ascii="Times New Roman" w:hAnsi="Times New Roman"/>
                <w:sz w:val="24"/>
                <w:lang w:val="en-US"/>
              </w:rPr>
              <w:t>of Regulation (EU) No 575/2013</w:t>
            </w:r>
            <w:r w:rsidR="00C4425F" w:rsidRPr="002A677E">
              <w:rPr>
                <w:rFonts w:ascii="Times New Roman" w:hAnsi="Times New Roman"/>
                <w:sz w:val="24"/>
              </w:rPr>
              <w:t>.</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191BF042"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w:t>
            </w:r>
            <w:r w:rsidR="00ED048B" w:rsidRPr="002A677E">
              <w:rPr>
                <w:rFonts w:ascii="Times New Roman" w:hAnsi="Times New Roman"/>
                <w:b/>
                <w:bCs/>
                <w:sz w:val="24"/>
                <w:u w:val="single"/>
                <w:lang w:eastAsia="de-DE"/>
              </w:rPr>
              <w:t>s</w:t>
            </w:r>
          </w:p>
          <w:p w14:paraId="5FDCCA73" w14:textId="013BAE0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For relevant credit exposures </w:t>
            </w:r>
            <w:r w:rsidR="00A37A04" w:rsidRPr="002A677E">
              <w:rPr>
                <w:rFonts w:ascii="Times New Roman" w:hAnsi="Times New Roman"/>
                <w:sz w:val="24"/>
              </w:rPr>
              <w:t xml:space="preserve">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2B004B" w:rsidRPr="002A677E">
              <w:rPr>
                <w:rFonts w:ascii="Times New Roman" w:hAnsi="Times New Roman"/>
                <w:sz w:val="24"/>
              </w:rPr>
              <w:t xml:space="preserve"> </w:t>
            </w:r>
            <w:r w:rsidR="00A779E9" w:rsidRPr="002A677E">
              <w:rPr>
                <w:rFonts w:ascii="Times New Roman" w:hAnsi="Times New Roman"/>
                <w:sz w:val="24"/>
              </w:rPr>
              <w:t>subject to own funds requirements</w:t>
            </w:r>
            <w:r w:rsidR="00ED048B" w:rsidRPr="002A677E">
              <w:rPr>
                <w:rFonts w:ascii="Times New Roman" w:hAnsi="Times New Roman"/>
                <w:sz w:val="24"/>
              </w:rPr>
              <w:t xml:space="preserve"> under</w:t>
            </w:r>
            <w:r w:rsidR="002B004B" w:rsidRPr="002A677E">
              <w:rPr>
                <w:rFonts w:ascii="Times New Roman" w:hAnsi="Times New Roman"/>
                <w:sz w:val="24"/>
              </w:rPr>
              <w:t xml:space="preserve">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Chapters 2 and 5 </w:t>
            </w:r>
            <w:r w:rsidR="004D3C0E"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00BD5485" w:rsidRPr="002A677E">
              <w:rPr>
                <w:rFonts w:ascii="Times New Roman" w:hAnsi="Times New Roman"/>
                <w:sz w:val="24"/>
              </w:rPr>
              <w:t xml:space="preserve">Fair value of non-derivative positions,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 xml:space="preserve">, determined in accordance with Article 104 </w:t>
            </w:r>
            <w:r w:rsidR="004D3C0E" w:rsidRPr="001235ED">
              <w:rPr>
                <w:rFonts w:ascii="Times New Roman" w:hAnsi="Times New Roman"/>
                <w:sz w:val="24"/>
                <w:lang w:val="en-US"/>
              </w:rPr>
              <w:t>of Regulation (EU) No 575/2013</w:t>
            </w:r>
            <w:r w:rsidR="00BD5485" w:rsidRPr="002A677E">
              <w:rPr>
                <w:rFonts w:ascii="Times New Roman" w:hAnsi="Times New Roman"/>
                <w:sz w:val="24"/>
              </w:rPr>
              <w:t>.</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00BD5485" w:rsidRPr="002A677E">
              <w:rPr>
                <w:rFonts w:ascii="Times New Roman" w:hAnsi="Times New Roman"/>
                <w:sz w:val="24"/>
              </w:rPr>
              <w:t xml:space="preserve">Notional value of derivatives,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55</w:t>
            </w:r>
          </w:p>
        </w:tc>
        <w:tc>
          <w:tcPr>
            <w:tcW w:w="8131" w:type="dxa"/>
          </w:tcPr>
          <w:p w14:paraId="140C3FA8"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34F2C8C1" w14:textId="0B7A02EC" w:rsidR="00BD5485" w:rsidRPr="002A677E" w:rsidRDefault="00C44421" w:rsidP="00A37A04">
            <w:pPr>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248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w:t>
            </w:r>
            <w:r w:rsidR="00BD5485" w:rsidRPr="002A677E">
              <w:rPr>
                <w:rFonts w:ascii="Times New Roman" w:hAnsi="Times New Roman"/>
                <w:sz w:val="24"/>
              </w:rPr>
              <w:t xml:space="preserve"> credit exposures </w:t>
            </w:r>
            <w:r w:rsidR="00A37A04" w:rsidRPr="002A677E">
              <w:rPr>
                <w:rFonts w:ascii="Times New Roman" w:hAnsi="Times New Roman"/>
                <w:sz w:val="24"/>
              </w:rPr>
              <w:t xml:space="preserve">as 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6E0E76" w:rsidRPr="002A677E">
              <w:rPr>
                <w:rFonts w:ascii="Times New Roman" w:hAnsi="Times New Roman"/>
                <w:sz w:val="24"/>
              </w:rPr>
              <w:t>0</w:t>
            </w:r>
            <w:r w:rsidRPr="002A677E">
              <w:rPr>
                <w:rFonts w:ascii="Times New Roman" w:hAnsi="Times New Roman"/>
                <w:sz w:val="24"/>
              </w:rPr>
              <w:t>110</w:t>
            </w:r>
          </w:p>
        </w:tc>
        <w:tc>
          <w:tcPr>
            <w:tcW w:w="8131" w:type="dxa"/>
          </w:tcPr>
          <w:p w14:paraId="2AAC8B56" w14:textId="77777777" w:rsidR="00BD5485" w:rsidRPr="002A677E" w:rsidRDefault="00BD5485" w:rsidP="00133107">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131" w:type="dxa"/>
          </w:tcPr>
          <w:p w14:paraId="68984A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35789DB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sz w:val="24"/>
              </w:rPr>
              <w:t xml:space="preserve">The sum of rows </w:t>
            </w:r>
            <w:r w:rsidR="006E0E76" w:rsidRPr="002A677E">
              <w:rPr>
                <w:rFonts w:ascii="Times New Roman" w:hAnsi="Times New Roman"/>
                <w:sz w:val="24"/>
              </w:rPr>
              <w:t>0</w:t>
            </w:r>
            <w:r w:rsidRPr="002A677E">
              <w:rPr>
                <w:rFonts w:ascii="Times New Roman" w:hAnsi="Times New Roman"/>
                <w:sz w:val="24"/>
              </w:rPr>
              <w:t xml:space="preserve">080, </w:t>
            </w:r>
            <w:r w:rsidR="006E0E76" w:rsidRPr="002A677E">
              <w:rPr>
                <w:rFonts w:ascii="Times New Roman" w:hAnsi="Times New Roman"/>
                <w:sz w:val="24"/>
              </w:rPr>
              <w:t>0</w:t>
            </w:r>
            <w:r w:rsidRPr="002A677E">
              <w:rPr>
                <w:rFonts w:ascii="Times New Roman" w:hAnsi="Times New Roman"/>
                <w:sz w:val="24"/>
              </w:rPr>
              <w:t xml:space="preserve">090 and </w:t>
            </w:r>
            <w:r w:rsidR="006E0E76" w:rsidRPr="002A677E">
              <w:rPr>
                <w:rFonts w:ascii="Times New Roman" w:hAnsi="Times New Roman"/>
                <w:sz w:val="24"/>
              </w:rPr>
              <w:t>0</w:t>
            </w:r>
            <w:r w:rsidRPr="002A677E">
              <w:rPr>
                <w:rFonts w:ascii="Times New Roman" w:hAnsi="Times New Roman"/>
                <w:sz w:val="24"/>
              </w:rPr>
              <w:t>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p>
        </w:tc>
        <w:tc>
          <w:tcPr>
            <w:tcW w:w="8131" w:type="dxa"/>
          </w:tcPr>
          <w:p w14:paraId="3F043796"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Credit risk </w:t>
            </w:r>
          </w:p>
          <w:p w14:paraId="1FD5576D" w14:textId="6F2569D3"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lastRenderedPageBreak/>
              <w:t>Own funds requirements</w:t>
            </w:r>
            <w:r w:rsidR="00425F4C" w:rsidRPr="002A677E">
              <w:rPr>
                <w:rFonts w:ascii="Times New Roman" w:hAnsi="Times New Roman"/>
                <w:sz w:val="24"/>
              </w:rPr>
              <w:t xml:space="preserve">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Pr="002A677E">
              <w:rPr>
                <w:rFonts w:ascii="Times New Roman" w:hAnsi="Times New Roman"/>
                <w:sz w:val="24"/>
              </w:rPr>
              <w:t xml:space="preserve"> </w:t>
            </w:r>
            <w:r w:rsidR="004D3C0E" w:rsidRPr="002A677E">
              <w:rPr>
                <w:rFonts w:ascii="Times New Roman" w:hAnsi="Times New Roman"/>
                <w:sz w:val="24"/>
              </w:rPr>
              <w:t xml:space="preserve">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w:t>
            </w:r>
            <w:r w:rsidR="00A37A04" w:rsidRPr="002A677E">
              <w:rPr>
                <w:rFonts w:ascii="Times New Roman" w:hAnsi="Times New Roman"/>
                <w:sz w:val="24"/>
              </w:rPr>
              <w:t xml:space="preserve"> 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in the country in question.</w:t>
            </w:r>
          </w:p>
          <w:p w14:paraId="5687B395" w14:textId="7777777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 requirements for securitisation positions in the banking book shall be excluded from this row and reported in row </w:t>
            </w:r>
            <w:r w:rsidR="006E0E76" w:rsidRPr="002A677E">
              <w:rPr>
                <w:rFonts w:ascii="Times New Roman" w:hAnsi="Times New Roman"/>
                <w:sz w:val="24"/>
              </w:rPr>
              <w:t>0</w:t>
            </w:r>
            <w:r w:rsidRPr="002A677E">
              <w:rPr>
                <w:rFonts w:ascii="Times New Roman" w:hAnsi="Times New Roman"/>
                <w:sz w:val="24"/>
              </w:rPr>
              <w:t>100.</w:t>
            </w:r>
          </w:p>
          <w:p w14:paraId="2F0143CE" w14:textId="19D5C897" w:rsidR="00BD5485" w:rsidRPr="002A677E" w:rsidRDefault="00BD5485" w:rsidP="002B004B">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determined </w:t>
            </w:r>
            <w:r w:rsidR="00BB22D4" w:rsidRPr="002A677E">
              <w:rPr>
                <w:rFonts w:ascii="Times New Roman" w:hAnsi="Times New Roman"/>
                <w:sz w:val="24"/>
              </w:rPr>
              <w:t>in accordance with</w:t>
            </w:r>
            <w:r w:rsidRPr="002A677E">
              <w:rPr>
                <w:rFonts w:ascii="Times New Roman" w:hAnsi="Times New Roman"/>
                <w:sz w:val="24"/>
              </w:rPr>
              <w:t xml:space="preserve"> </w:t>
            </w:r>
            <w:r w:rsidR="004D3C0E" w:rsidRPr="002A677E">
              <w:rPr>
                <w:rFonts w:ascii="Times New Roman" w:hAnsi="Times New Roman"/>
                <w:sz w:val="24"/>
              </w:rPr>
              <w:t xml:space="preserve">Part Three, 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90</w:t>
            </w:r>
          </w:p>
        </w:tc>
        <w:tc>
          <w:tcPr>
            <w:tcW w:w="8131" w:type="dxa"/>
          </w:tcPr>
          <w:p w14:paraId="08030C98"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Market risk </w:t>
            </w:r>
          </w:p>
          <w:p w14:paraId="7806E83A" w14:textId="61FC1A2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funds requirements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for specific risk, or in accordance with </w:t>
            </w:r>
            <w:r w:rsidR="002B004B" w:rsidRPr="002A677E">
              <w:rPr>
                <w:rFonts w:ascii="Times New Roman" w:hAnsi="Times New Roman"/>
                <w:sz w:val="24"/>
              </w:rPr>
              <w:t xml:space="preserve">of of </w:t>
            </w:r>
            <w:r w:rsidRPr="002A677E">
              <w:rPr>
                <w:rFonts w:ascii="Times New Roman" w:hAnsi="Times New Roman"/>
                <w:sz w:val="24"/>
              </w:rPr>
              <w:t>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5</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w:t>
            </w:r>
            <w:r w:rsidR="00A37A04" w:rsidRPr="002A677E">
              <w:rPr>
                <w:rFonts w:ascii="Times New Roman" w:hAnsi="Times New Roman"/>
                <w:sz w:val="24"/>
              </w:rPr>
              <w:t xml:space="preserve"> as refer</w:t>
            </w:r>
            <w:r w:rsidR="008F7C56" w:rsidRPr="002A677E">
              <w:rPr>
                <w:rFonts w:ascii="Times New Roman" w:hAnsi="Times New Roman"/>
                <w:sz w:val="24"/>
              </w:rPr>
              <w:t>r</w:t>
            </w:r>
            <w:r w:rsidR="00A37A04" w:rsidRPr="002A677E">
              <w:rPr>
                <w:rFonts w:ascii="Times New Roman" w:hAnsi="Times New Roman"/>
                <w:sz w:val="24"/>
              </w:rPr>
              <w:t>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 </w:t>
            </w:r>
          </w:p>
          <w:p w14:paraId="3C07DE13" w14:textId="69901BDB" w:rsidR="00BD5485" w:rsidRPr="002A677E" w:rsidRDefault="00BD5485" w:rsidP="004D3C0E">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w:t>
            </w:r>
            <w:r w:rsidR="00A37A04" w:rsidRPr="002A677E">
              <w:rPr>
                <w:rFonts w:ascii="Times New Roman" w:hAnsi="Times New Roman"/>
                <w:sz w:val="24"/>
              </w:rPr>
              <w:t xml:space="preserve">shall </w:t>
            </w:r>
            <w:r w:rsidRPr="002A677E">
              <w:rPr>
                <w:rFonts w:ascii="Times New Roman" w:hAnsi="Times New Roman"/>
                <w:sz w:val="24"/>
              </w:rPr>
              <w:t>include</w:t>
            </w:r>
            <w:r w:rsidR="00CF5466" w:rsidRPr="002A677E">
              <w:rPr>
                <w:rFonts w:ascii="Times New Roman" w:hAnsi="Times New Roman"/>
                <w:sz w:val="24"/>
              </w:rPr>
              <w:t>,</w:t>
            </w:r>
            <w:r w:rsidRPr="002A677E">
              <w:rPr>
                <w:rFonts w:ascii="Times New Roman" w:hAnsi="Times New Roman"/>
                <w:sz w:val="24"/>
              </w:rPr>
              <w:t xml:space="preserve"> among others</w:t>
            </w:r>
            <w:r w:rsidR="00CF5466" w:rsidRPr="002A677E">
              <w:rPr>
                <w:rFonts w:ascii="Times New Roman" w:hAnsi="Times New Roman"/>
                <w:sz w:val="24"/>
              </w:rPr>
              <w:t>,</w:t>
            </w:r>
            <w:r w:rsidRPr="002A677E">
              <w:rPr>
                <w:rFonts w:ascii="Times New Roman" w:hAnsi="Times New Roman"/>
                <w:sz w:val="24"/>
              </w:rPr>
              <w:t xml:space="preserve"> the own fund requirements for securitisation positions </w:t>
            </w:r>
            <w:r w:rsidR="00A37A04" w:rsidRPr="002A677E">
              <w:rPr>
                <w:rFonts w:ascii="Times New Roman" w:hAnsi="Times New Roman"/>
                <w:sz w:val="24"/>
              </w:rPr>
              <w:t xml:space="preserve">calculated in accordance with </w:t>
            </w:r>
            <w:r w:rsidRPr="002A677E">
              <w:rPr>
                <w:rFonts w:ascii="Times New Roman" w:hAnsi="Times New Roman"/>
                <w:sz w:val="24"/>
              </w:rPr>
              <w:t xml:space="preserve">Part Three, </w:t>
            </w:r>
            <w:r w:rsidR="004D3C0E" w:rsidRPr="002A677E">
              <w:rPr>
                <w:rFonts w:ascii="Times New Roman" w:hAnsi="Times New Roman"/>
                <w:sz w:val="24"/>
              </w:rPr>
              <w:t xml:space="preserve">Title IV, Chapter 2 </w:t>
            </w:r>
            <w:r w:rsidR="004D3C0E"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w:t>
            </w:r>
            <w:r w:rsidR="004D3C0E" w:rsidRPr="002A677E">
              <w:rPr>
                <w:rFonts w:ascii="Times New Roman" w:hAnsi="Times New Roman"/>
                <w:sz w:val="24"/>
              </w:rPr>
              <w:t>of that Regulation</w:t>
            </w:r>
            <w:r w:rsidRPr="002A677E">
              <w:rPr>
                <w:rFonts w:ascii="Times New Roman" w:hAnsi="Times New Roman"/>
                <w:sz w:val="24"/>
              </w:rPr>
              <w: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100</w:t>
            </w:r>
          </w:p>
        </w:tc>
        <w:tc>
          <w:tcPr>
            <w:tcW w:w="8131" w:type="dxa"/>
          </w:tcPr>
          <w:p w14:paraId="4C90105D"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elevant credit exposures – Securitisation positions in the banking book</w:t>
            </w:r>
          </w:p>
          <w:p w14:paraId="4DD097E6" w14:textId="62CEDE64"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A37A04" w:rsidRPr="002A677E">
              <w:rPr>
                <w:rFonts w:ascii="Times New Roman" w:hAnsi="Times New Roman"/>
                <w:sz w:val="24"/>
              </w:rPr>
              <w:t xml:space="preserve"> calculated</w:t>
            </w:r>
            <w:r w:rsidRPr="002A677E">
              <w:rPr>
                <w:rFonts w:ascii="Times New Roman" w:hAnsi="Times New Roman"/>
                <w:sz w:val="24"/>
              </w:rPr>
              <w:t xml:space="preserve"> in accordance with </w:t>
            </w:r>
            <w:r w:rsidR="004D3C0E" w:rsidRPr="002A677E">
              <w:rPr>
                <w:rFonts w:ascii="Times New Roman" w:hAnsi="Times New Roman"/>
                <w:sz w:val="24"/>
              </w:rPr>
              <w:t>Part Three, Title II, Chapter 5</w:t>
            </w:r>
            <w:r w:rsidRPr="002A677E">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w:t>
            </w:r>
          </w:p>
          <w:p w14:paraId="566043C5" w14:textId="397D046D" w:rsidR="00BD5485" w:rsidRPr="002A677E" w:rsidRDefault="00BD5485" w:rsidP="004D3C0E">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w:t>
            </w:r>
            <w:r w:rsidR="00A37A04"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Part Three</w:t>
            </w:r>
            <w:r w:rsidR="004D3C0E" w:rsidRPr="002A677E">
              <w:rPr>
                <w:rFonts w:ascii="Times New Roman" w:hAnsi="Times New Roman"/>
                <w:sz w:val="24"/>
              </w:rPr>
              <w:t>, Title II, Chapter 5</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110</w:t>
            </w:r>
          </w:p>
        </w:tc>
        <w:tc>
          <w:tcPr>
            <w:tcW w:w="8131" w:type="dxa"/>
          </w:tcPr>
          <w:p w14:paraId="00FDC0D7" w14:textId="77777777" w:rsidR="00966663" w:rsidRPr="002A677E" w:rsidRDefault="00966663" w:rsidP="00966663">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21DBAB49" w14:textId="77777777" w:rsidR="00966663" w:rsidRPr="002A677E" w:rsidRDefault="00966663" w:rsidP="00966663">
            <w:pPr>
              <w:rPr>
                <w:rFonts w:ascii="Times New Roman" w:hAnsi="Times New Roman"/>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calculated as a ratio of own fund requirements, determined as follows:</w:t>
            </w:r>
          </w:p>
          <w:p w14:paraId="0346C553" w14:textId="77777777" w:rsidR="00966663" w:rsidRPr="002A677E" w:rsidRDefault="00966663" w:rsidP="00966663">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Numerator: The total own funds requirements that relate to the relevant credit exposures in the country in question [r</w:t>
            </w:r>
            <w:r w:rsidR="006E0E76" w:rsidRPr="002A677E">
              <w:rPr>
                <w:rFonts w:ascii="Times New Roman" w:hAnsi="Times New Roman"/>
                <w:sz w:val="24"/>
              </w:rPr>
              <w:t>0</w:t>
            </w:r>
            <w:r w:rsidRPr="002A677E">
              <w:rPr>
                <w:rFonts w:ascii="Times New Roman" w:hAnsi="Times New Roman"/>
                <w:sz w:val="24"/>
              </w:rPr>
              <w:t xml:space="preserve">070;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8F7C56" w:rsidRPr="002A677E">
              <w:rPr>
                <w:rFonts w:ascii="Times New Roman" w:hAnsi="Times New Roman"/>
                <w:sz w:val="24"/>
              </w:rPr>
              <w:t>;</w:t>
            </w:r>
            <w:r w:rsidR="002305D2" w:rsidRPr="002A677E">
              <w:rPr>
                <w:rFonts w:ascii="Times New Roman" w:hAnsi="Times New Roman"/>
                <w:sz w:val="24"/>
              </w:rPr>
              <w:t xml:space="preserve"> </w:t>
            </w:r>
            <w:r w:rsidRPr="002A677E">
              <w:rPr>
                <w:rFonts w:ascii="Times New Roman" w:hAnsi="Times New Roman"/>
                <w:sz w:val="24"/>
              </w:rPr>
              <w:t>country</w:t>
            </w:r>
            <w:r w:rsidR="00DF30EB" w:rsidRPr="002A677E">
              <w:rPr>
                <w:rFonts w:ascii="Times New Roman" w:hAnsi="Times New Roman"/>
                <w:sz w:val="24"/>
              </w:rPr>
              <w:t xml:space="preserve"> sheet</w:t>
            </w:r>
            <w:r w:rsidRPr="002A677E">
              <w:rPr>
                <w:rFonts w:ascii="Times New Roman" w:hAnsi="Times New Roman"/>
                <w:sz w:val="24"/>
              </w:rPr>
              <w:t xml:space="preserve"> ], </w:t>
            </w:r>
          </w:p>
          <w:p w14:paraId="4D0CA9CD" w14:textId="593BA88C" w:rsidR="00BD5485" w:rsidRPr="002A677E" w:rsidRDefault="00966663" w:rsidP="00CF5466">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 xml:space="preserve">Denominator: The total own funds requirements that relate to all credit exposures relevant for the calculation of the countercyclical buffer </w:t>
            </w:r>
            <w:r w:rsidR="00A37A04" w:rsidRPr="002A677E">
              <w:rPr>
                <w:rFonts w:ascii="Times New Roman" w:hAnsi="Times New Roman"/>
                <w:sz w:val="24"/>
              </w:rPr>
              <w:t xml:space="preserve">as referred to in </w:t>
            </w:r>
            <w:r w:rsidRPr="002A677E">
              <w:rPr>
                <w:rFonts w:ascii="Times New Roman" w:hAnsi="Times New Roman"/>
                <w:sz w:val="24"/>
              </w:rPr>
              <w:t xml:space="preserve">Article 140(4) </w:t>
            </w:r>
            <w:r w:rsidR="00027D90" w:rsidRPr="002A677E">
              <w:rPr>
                <w:rFonts w:ascii="Times New Roman" w:hAnsi="Times New Roman"/>
                <w:sz w:val="24"/>
              </w:rPr>
              <w:t>of Directive 2013/36/EU</w:t>
            </w:r>
            <w:r w:rsidRPr="002A677E">
              <w:rPr>
                <w:rFonts w:ascii="Times New Roman" w:hAnsi="Times New Roman"/>
                <w:sz w:val="24"/>
              </w:rPr>
              <w:t xml:space="preserve"> </w:t>
            </w:r>
            <w:r w:rsidR="00CF5466" w:rsidRPr="002A677E">
              <w:rPr>
                <w:rFonts w:ascii="Times New Roman" w:hAnsi="Times New Roman"/>
                <w:sz w:val="24"/>
              </w:rPr>
              <w:t>[</w:t>
            </w:r>
            <w:r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417984" w:rsidRPr="002A677E">
              <w:rPr>
                <w:rFonts w:ascii="Times New Roman" w:hAnsi="Times New Roman"/>
                <w:sz w:val="24"/>
              </w:rPr>
              <w:t xml:space="preserve">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DF30EB" w:rsidRPr="002A677E">
              <w:rPr>
                <w:rFonts w:ascii="Times New Roman" w:hAnsi="Times New Roman"/>
                <w:sz w:val="24"/>
              </w:rPr>
              <w:t xml:space="preserve">; </w:t>
            </w:r>
            <w:r w:rsidRPr="002A677E">
              <w:rPr>
                <w:rFonts w:ascii="Times New Roman" w:hAnsi="Times New Roman"/>
                <w:sz w:val="24"/>
              </w:rPr>
              <w:t>’Total’</w:t>
            </w:r>
            <w:r w:rsidR="00CF5466" w:rsidRPr="002A677E">
              <w:rPr>
                <w:rFonts w:ascii="Times New Roman" w:hAnsi="Times New Roman"/>
                <w:sz w:val="24"/>
              </w:rPr>
              <w:t>]</w:t>
            </w:r>
            <w:r w:rsidRPr="002A677E">
              <w:rPr>
                <w:rFonts w:ascii="Times New Roman" w:hAnsi="Times New Roman"/>
                <w:sz w:val="24"/>
              </w:rPr>
              <w:t>.</w:t>
            </w:r>
          </w:p>
          <w:p w14:paraId="79DAF8D9" w14:textId="77777777" w:rsidR="003B00F4" w:rsidRPr="002A677E" w:rsidRDefault="003B00F4" w:rsidP="003B00F4">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r w:rsidRPr="002A677E">
              <w:rPr>
                <w:rFonts w:ascii="Times New Roman" w:hAnsi="Times New Roman"/>
                <w:sz w:val="24"/>
              </w:rPr>
              <w:t>0</w:t>
            </w:r>
            <w:r w:rsidR="00966663" w:rsidRPr="002A677E">
              <w:rPr>
                <w:rFonts w:ascii="Times New Roman" w:hAnsi="Times New Roman"/>
                <w:sz w:val="24"/>
              </w:rPr>
              <w:t>140</w:t>
            </w:r>
          </w:p>
        </w:tc>
        <w:tc>
          <w:tcPr>
            <w:tcW w:w="8131" w:type="dxa"/>
          </w:tcPr>
          <w:p w14:paraId="6A87A3AD"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p>
        </w:tc>
        <w:tc>
          <w:tcPr>
            <w:tcW w:w="8131" w:type="dxa"/>
          </w:tcPr>
          <w:p w14:paraId="47EF846B"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4AB7D224" w14:textId="600D2883" w:rsidR="00966663"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lastRenderedPageBreak/>
              <w:t xml:space="preserve">Countercyclical capital buffer rate set </w:t>
            </w:r>
            <w:r w:rsidR="008B2119" w:rsidRPr="002A677E">
              <w:rPr>
                <w:rFonts w:ascii="Times New Roman" w:hAnsi="Times New Roman"/>
                <w:sz w:val="24"/>
              </w:rPr>
              <w:t xml:space="preserve">for </w:t>
            </w:r>
            <w:r w:rsidRPr="002A677E">
              <w:rPr>
                <w:rFonts w:ascii="Times New Roman" w:hAnsi="Times New Roman"/>
                <w:sz w:val="24"/>
              </w:rPr>
              <w:t xml:space="preserve">the country in question by the Designated Authority of that country in accordance with </w:t>
            </w:r>
            <w:r w:rsidR="00D47CD7" w:rsidRPr="002A677E">
              <w:rPr>
                <w:rFonts w:ascii="Times New Roman" w:hAnsi="Times New Roman"/>
                <w:sz w:val="24"/>
              </w:rPr>
              <w:t>Article</w:t>
            </w:r>
            <w:r w:rsidR="00A37A04" w:rsidRPr="002A677E">
              <w:rPr>
                <w:rFonts w:ascii="Times New Roman" w:hAnsi="Times New Roman"/>
                <w:sz w:val="24"/>
              </w:rPr>
              <w:t>s</w:t>
            </w:r>
            <w:r w:rsidR="00D47CD7" w:rsidRPr="002A677E">
              <w:rPr>
                <w:rFonts w:ascii="Times New Roman" w:hAnsi="Times New Roman"/>
                <w:sz w:val="24"/>
              </w:rPr>
              <w:t xml:space="preserve"> 136, 137, 139,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oints (a) and (c)</w:t>
            </w:r>
            <w:r w:rsidR="002E7287">
              <w:rPr>
                <w:rFonts w:ascii="Times New Roman" w:hAnsi="Times New Roman"/>
                <w:sz w:val="24"/>
              </w:rPr>
              <w:t>,</w:t>
            </w:r>
            <w:r w:rsidR="00DF4FF2" w:rsidRPr="002A677E">
              <w:rPr>
                <w:rFonts w:ascii="Times New Roman" w:hAnsi="Times New Roman"/>
                <w:sz w:val="24"/>
              </w:rPr>
              <w:t xml:space="preserve"> </w:t>
            </w:r>
            <w:r w:rsidR="00D47CD7" w:rsidRPr="002A677E">
              <w:rPr>
                <w:rFonts w:ascii="Times New Roman" w:hAnsi="Times New Roman"/>
                <w:sz w:val="24"/>
              </w:rPr>
              <w:t xml:space="preserve">and </w:t>
            </w:r>
            <w:r w:rsidR="00D21B29" w:rsidRPr="002A677E">
              <w:rPr>
                <w:rFonts w:ascii="Times New Roman" w:hAnsi="Times New Roman"/>
                <w:sz w:val="24"/>
              </w:rPr>
              <w:t xml:space="preserve">Article </w:t>
            </w:r>
            <w:r w:rsidR="00D47CD7" w:rsidRPr="002A677E">
              <w:rPr>
                <w:rFonts w:ascii="Times New Roman" w:hAnsi="Times New Roman"/>
                <w:sz w:val="24"/>
              </w:rPr>
              <w:t>140(3)</w:t>
            </w:r>
            <w:r w:rsidR="00B83DDE">
              <w:rPr>
                <w:rFonts w:ascii="Times New Roman" w:hAnsi="Times New Roman"/>
                <w:sz w:val="24"/>
              </w:rPr>
              <w:t>, p</w:t>
            </w:r>
            <w:r w:rsidR="00DF4FF2" w:rsidRPr="002A677E">
              <w:rPr>
                <w:rFonts w:ascii="Times New Roman" w:hAnsi="Times New Roman"/>
                <w:sz w:val="24"/>
              </w:rPr>
              <w:t>oint (b)</w:t>
            </w:r>
            <w:r w:rsidR="002E728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p>
          <w:p w14:paraId="09057DAE"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This row</w:t>
            </w:r>
            <w:r w:rsidR="00AA7658" w:rsidRPr="002A677E">
              <w:rPr>
                <w:rFonts w:ascii="Times New Roman" w:hAnsi="Times New Roman"/>
                <w:sz w:val="24"/>
              </w:rPr>
              <w:t xml:space="preserve"> shall </w:t>
            </w:r>
            <w:r w:rsidRPr="002A677E">
              <w:rPr>
                <w:rFonts w:ascii="Times New Roman" w:hAnsi="Times New Roman"/>
                <w:sz w:val="24"/>
              </w:rPr>
              <w:t xml:space="preserve">be left empty when no countercyclical buffer rate was set </w:t>
            </w:r>
            <w:r w:rsidR="008B2119" w:rsidRPr="002A677E">
              <w:rPr>
                <w:rFonts w:ascii="Times New Roman" w:hAnsi="Times New Roman"/>
                <w:sz w:val="24"/>
              </w:rPr>
              <w:t>for</w:t>
            </w:r>
            <w:r w:rsidRPr="002A677E">
              <w:rPr>
                <w:rFonts w:ascii="Times New Roman" w:hAnsi="Times New Roman"/>
                <w:sz w:val="24"/>
              </w:rPr>
              <w:t xml:space="preserve"> the country in question by the Designated Authority of that country.</w:t>
            </w:r>
          </w:p>
          <w:p w14:paraId="32B34471"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225580CA" w14:textId="77777777" w:rsidR="00966663" w:rsidRPr="002A677E" w:rsidRDefault="00966663" w:rsidP="000E6835">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w:t>
            </w:r>
            <w:r w:rsidR="000E6835" w:rsidRPr="002A677E">
              <w:rPr>
                <w:rFonts w:ascii="Times New Roman" w:hAnsi="Times New Roman"/>
                <w:sz w:val="24"/>
              </w:rPr>
              <w:t>shall</w:t>
            </w:r>
            <w:r w:rsidRPr="002A677E">
              <w:rPr>
                <w:rFonts w:ascii="Times New Roman" w:hAnsi="Times New Roman"/>
                <w:sz w:val="24"/>
              </w:rPr>
              <w:t xml:space="preserve"> not </w:t>
            </w:r>
            <w:r w:rsidR="000E6835" w:rsidRPr="002A677E">
              <w:rPr>
                <w:rFonts w:ascii="Times New Roman" w:hAnsi="Times New Roman"/>
                <w:sz w:val="24"/>
              </w:rPr>
              <w:t xml:space="preserve">be reported for the ‘Total’ of all countries.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sidRPr="002A677E">
              <w:rPr>
                <w:rFonts w:ascii="Times New Roman" w:hAnsi="Times New Roman"/>
                <w:sz w:val="24"/>
              </w:rPr>
              <w:lastRenderedPageBreak/>
              <w:t>0</w:t>
            </w:r>
            <w:r w:rsidR="00966663" w:rsidRPr="002A677E">
              <w:rPr>
                <w:rFonts w:ascii="Times New Roman" w:hAnsi="Times New Roman"/>
                <w:sz w:val="24"/>
              </w:rPr>
              <w:t>130</w:t>
            </w:r>
          </w:p>
        </w:tc>
        <w:tc>
          <w:tcPr>
            <w:tcW w:w="8131" w:type="dxa"/>
          </w:tcPr>
          <w:p w14:paraId="16D7169A"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Countercyclical capital buffer rate applicable </w:t>
            </w:r>
            <w:r w:rsidR="00D1786A" w:rsidRPr="002A677E">
              <w:rPr>
                <w:rFonts w:ascii="Times New Roman" w:hAnsi="Times New Roman"/>
                <w:b/>
                <w:bCs/>
                <w:sz w:val="24"/>
                <w:u w:val="single"/>
                <w:lang w:eastAsia="de-DE"/>
              </w:rPr>
              <w:t>for</w:t>
            </w:r>
            <w:r w:rsidRPr="002A677E">
              <w:rPr>
                <w:rFonts w:ascii="Times New Roman" w:hAnsi="Times New Roman"/>
                <w:b/>
                <w:bCs/>
                <w:sz w:val="24"/>
                <w:u w:val="single"/>
                <w:lang w:eastAsia="de-DE"/>
              </w:rPr>
              <w:t xml:space="preserve"> the country of the institution</w:t>
            </w:r>
          </w:p>
          <w:p w14:paraId="548AC006" w14:textId="0959C8F4"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applicable </w:t>
            </w:r>
            <w:r w:rsidR="008B2119" w:rsidRPr="002A677E">
              <w:rPr>
                <w:rFonts w:ascii="Times New Roman" w:hAnsi="Times New Roman"/>
                <w:sz w:val="24"/>
              </w:rPr>
              <w:t xml:space="preserve">for the country in question which was set by the Designated Authority of the </w:t>
            </w:r>
            <w:r w:rsidRPr="002A677E">
              <w:rPr>
                <w:rFonts w:ascii="Times New Roman" w:hAnsi="Times New Roman"/>
                <w:sz w:val="24"/>
              </w:rPr>
              <w:t>country</w:t>
            </w:r>
            <w:r w:rsidR="008B2119" w:rsidRPr="002A677E">
              <w:rPr>
                <w:rFonts w:ascii="Times New Roman" w:hAnsi="Times New Roman"/>
                <w:sz w:val="24"/>
              </w:rPr>
              <w:t xml:space="preserve"> of residence</w:t>
            </w:r>
            <w:r w:rsidRPr="002A677E">
              <w:rPr>
                <w:rFonts w:ascii="Times New Roman" w:hAnsi="Times New Roman"/>
                <w:sz w:val="24"/>
              </w:rPr>
              <w:t xml:space="preserve"> of the institution, in accordance with Article</w:t>
            </w:r>
            <w:r w:rsidR="00A37A04" w:rsidRPr="002A677E">
              <w:rPr>
                <w:rFonts w:ascii="Times New Roman" w:hAnsi="Times New Roman"/>
                <w:sz w:val="24"/>
              </w:rPr>
              <w:t>s</w:t>
            </w:r>
            <w:r w:rsidRPr="002A677E">
              <w:rPr>
                <w:rFonts w:ascii="Times New Roman" w:hAnsi="Times New Roman"/>
                <w:sz w:val="24"/>
              </w:rPr>
              <w:t xml:space="preserve"> 137, 138, 139 and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 xml:space="preserve">oint (b) </w:t>
            </w:r>
            <w:r w:rsidR="00D47CD7" w:rsidRPr="002A677E">
              <w:rPr>
                <w:rFonts w:ascii="Times New Roman" w:hAnsi="Times New Roman"/>
                <w:sz w:val="24"/>
              </w:rPr>
              <w:t xml:space="preserve">and </w:t>
            </w:r>
            <w:r w:rsidR="00D21B29" w:rsidRPr="002A677E">
              <w:rPr>
                <w:rFonts w:ascii="Times New Roman" w:hAnsi="Times New Roman"/>
                <w:sz w:val="24"/>
              </w:rPr>
              <w:t>Article 140</w:t>
            </w:r>
            <w:r w:rsidR="00D47CD7" w:rsidRPr="002A677E">
              <w:rPr>
                <w:rFonts w:ascii="Times New Roman" w:hAnsi="Times New Roman"/>
                <w:sz w:val="24"/>
              </w:rPr>
              <w:t>(3)</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r w:rsidRPr="002A677E">
              <w:rPr>
                <w:rFonts w:ascii="Times New Roman" w:hAnsi="Times New Roman"/>
                <w:sz w:val="24"/>
              </w:rPr>
              <w:t xml:space="preserve"> Countercyclical capital buffer rates that </w:t>
            </w:r>
            <w:r w:rsidR="008B2119" w:rsidRPr="002A677E">
              <w:rPr>
                <w:rFonts w:ascii="Times New Roman" w:hAnsi="Times New Roman"/>
                <w:sz w:val="24"/>
              </w:rPr>
              <w:t>are</w:t>
            </w:r>
            <w:r w:rsidRPr="002A677E">
              <w:rPr>
                <w:rFonts w:ascii="Times New Roman" w:hAnsi="Times New Roman"/>
                <w:sz w:val="24"/>
              </w:rPr>
              <w:t xml:space="preserve"> not yet applicable at the reporting reference date shall not be reported.</w:t>
            </w:r>
          </w:p>
          <w:p w14:paraId="69F59B37"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applicable in the country of the institution </w:t>
            </w:r>
            <w:r w:rsidR="000E6835" w:rsidRPr="002A677E">
              <w:rPr>
                <w:rFonts w:ascii="Times New Roman" w:hAnsi="Times New Roman"/>
                <w:sz w:val="24"/>
              </w:rPr>
              <w:t>shall not be reported for the ‘Total’ of all countries</w:t>
            </w:r>
            <w:r w:rsidRPr="002A677E">
              <w:rPr>
                <w:rFonts w:ascii="Times New Roman" w:hAnsi="Times New Roman"/>
                <w:sz w:val="24"/>
              </w:rPr>
              <w:t>.</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140</w:t>
            </w:r>
          </w:p>
        </w:tc>
        <w:tc>
          <w:tcPr>
            <w:tcW w:w="8131" w:type="dxa"/>
          </w:tcPr>
          <w:p w14:paraId="21515D4E"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497538BA" w14:textId="4237360A"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w:t>
            </w:r>
            <w:r w:rsidR="00A37A04" w:rsidRPr="002A677E">
              <w:rPr>
                <w:rFonts w:ascii="Times New Roman" w:hAnsi="Times New Roman"/>
                <w:sz w:val="24"/>
              </w:rPr>
              <w:t xml:space="preserve">calculated </w:t>
            </w:r>
            <w:r w:rsidRPr="002A677E">
              <w:rPr>
                <w:rFonts w:ascii="Times New Roman" w:hAnsi="Times New Roman"/>
                <w:sz w:val="24"/>
              </w:rPr>
              <w:t xml:space="preserve">in accordance with Article 140(1) </w:t>
            </w:r>
            <w:r w:rsidR="00027D90" w:rsidRPr="002A677E">
              <w:rPr>
                <w:rFonts w:ascii="Times New Roman" w:hAnsi="Times New Roman"/>
                <w:sz w:val="24"/>
              </w:rPr>
              <w:t>of Directive 2013/36/EU</w:t>
            </w:r>
            <w:r w:rsidRPr="002A677E">
              <w:rPr>
                <w:rFonts w:ascii="Times New Roman" w:hAnsi="Times New Roman"/>
                <w:sz w:val="24"/>
              </w:rPr>
              <w:t xml:space="preserve">. </w:t>
            </w:r>
          </w:p>
          <w:p w14:paraId="310E04AC" w14:textId="1449448E"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The institution-specific countercyclical capital buffer rate </w:t>
            </w:r>
            <w:r w:rsidR="00A37A04" w:rsidRPr="002A677E">
              <w:rPr>
                <w:rFonts w:ascii="Times New Roman" w:hAnsi="Times New Roman"/>
                <w:sz w:val="24"/>
              </w:rPr>
              <w:t>shall be</w:t>
            </w:r>
            <w:r w:rsidRPr="002A677E">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Article 139</w:t>
            </w:r>
            <w:r w:rsidR="00B83DDE">
              <w:rPr>
                <w:rFonts w:ascii="Times New Roman" w:hAnsi="Times New Roman"/>
                <w:sz w:val="24"/>
              </w:rPr>
              <w:t>, p</w:t>
            </w:r>
            <w:r w:rsidR="00DF4FF2" w:rsidRPr="002A677E">
              <w:rPr>
                <w:rFonts w:ascii="Times New Roman" w:hAnsi="Times New Roman"/>
                <w:sz w:val="24"/>
              </w:rPr>
              <w:t xml:space="preserve">aragraphs 2 or 3 </w:t>
            </w:r>
            <w:r w:rsidR="00027D90" w:rsidRPr="002A677E">
              <w:rPr>
                <w:rFonts w:ascii="Times New Roman" w:hAnsi="Times New Roman"/>
                <w:sz w:val="24"/>
              </w:rPr>
              <w:t>of Directive 2013/36/EU</w:t>
            </w:r>
            <w:r w:rsidRPr="002A677E">
              <w:rPr>
                <w:rFonts w:ascii="Times New Roman" w:hAnsi="Times New Roman"/>
                <w:sz w:val="24"/>
              </w:rPr>
              <w:t xml:space="preserve">. The relevant countercyclical buffer rate </w:t>
            </w:r>
            <w:r w:rsidR="00A37A04" w:rsidRPr="002A677E">
              <w:rPr>
                <w:rFonts w:ascii="Times New Roman" w:hAnsi="Times New Roman"/>
                <w:sz w:val="24"/>
              </w:rPr>
              <w:t>shall</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120; c</w:t>
            </w:r>
            <w:r w:rsidR="006E0E76" w:rsidRPr="002A677E">
              <w:rPr>
                <w:rFonts w:ascii="Times New Roman" w:hAnsi="Times New Roman"/>
                <w:sz w:val="24"/>
              </w:rPr>
              <w:t>0</w:t>
            </w:r>
            <w:r w:rsidRPr="002A677E">
              <w:rPr>
                <w:rFonts w:ascii="Times New Roman" w:hAnsi="Times New Roman"/>
                <w:sz w:val="24"/>
              </w:rPr>
              <w:t>020; country sheet], or [r</w:t>
            </w:r>
            <w:r w:rsidR="006E0E76" w:rsidRPr="002A677E">
              <w:rPr>
                <w:rFonts w:ascii="Times New Roman" w:hAnsi="Times New Roman"/>
                <w:sz w:val="24"/>
              </w:rPr>
              <w:t>0</w:t>
            </w:r>
            <w:r w:rsidRPr="002A677E">
              <w:rPr>
                <w:rFonts w:ascii="Times New Roman" w:hAnsi="Times New Roman"/>
                <w:sz w:val="24"/>
              </w:rPr>
              <w:t>130; c</w:t>
            </w:r>
            <w:r w:rsidR="006E0E76" w:rsidRPr="002A677E">
              <w:rPr>
                <w:rFonts w:ascii="Times New Roman" w:hAnsi="Times New Roman"/>
                <w:sz w:val="24"/>
              </w:rPr>
              <w:t>0</w:t>
            </w:r>
            <w:r w:rsidRPr="002A677E">
              <w:rPr>
                <w:rFonts w:ascii="Times New Roman" w:hAnsi="Times New Roman"/>
                <w:sz w:val="24"/>
              </w:rPr>
              <w:t>020; country sheet]</w:t>
            </w:r>
            <w:r w:rsidR="00A37A04" w:rsidRPr="002A677E">
              <w:rPr>
                <w:rFonts w:ascii="Times New Roman" w:hAnsi="Times New Roman"/>
                <w:sz w:val="24"/>
              </w:rPr>
              <w:t>,</w:t>
            </w:r>
            <w:r w:rsidRPr="002A677E">
              <w:rPr>
                <w:rFonts w:ascii="Times New Roman" w:hAnsi="Times New Roman"/>
                <w:sz w:val="24"/>
              </w:rPr>
              <w:t xml:space="preserve"> as applicable.</w:t>
            </w:r>
          </w:p>
          <w:p w14:paraId="01D610CE" w14:textId="77777777" w:rsidR="00C4425F" w:rsidRPr="002A677E" w:rsidRDefault="00966663" w:rsidP="00133107">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the share of </w:t>
            </w:r>
            <w:r w:rsidR="00356773" w:rsidRPr="002A677E">
              <w:rPr>
                <w:rFonts w:ascii="Times New Roman" w:hAnsi="Times New Roman"/>
                <w:sz w:val="24"/>
              </w:rPr>
              <w:t xml:space="preserve">own </w:t>
            </w:r>
            <w:r w:rsidRPr="002A677E">
              <w:rPr>
                <w:rFonts w:ascii="Times New Roman" w:hAnsi="Times New Roman"/>
                <w:sz w:val="24"/>
              </w:rPr>
              <w:t xml:space="preserve">funds requirements in total own funds requirements, and </w:t>
            </w:r>
            <w:r w:rsidR="00A37A04" w:rsidRPr="002A677E">
              <w:rPr>
                <w:rFonts w:ascii="Times New Roman" w:hAnsi="Times New Roman"/>
                <w:sz w:val="24"/>
              </w:rPr>
              <w:t>shall be</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110; c</w:t>
            </w:r>
            <w:r w:rsidR="006E0E76" w:rsidRPr="002A677E">
              <w:rPr>
                <w:rFonts w:ascii="Times New Roman" w:hAnsi="Times New Roman"/>
                <w:sz w:val="24"/>
              </w:rPr>
              <w:t>0</w:t>
            </w:r>
            <w:r w:rsidRPr="002A677E">
              <w:rPr>
                <w:rFonts w:ascii="Times New Roman" w:hAnsi="Times New Roman"/>
                <w:sz w:val="24"/>
              </w:rPr>
              <w:t>0</w:t>
            </w:r>
            <w:r w:rsidR="00356773" w:rsidRPr="002A677E">
              <w:rPr>
                <w:rFonts w:ascii="Times New Roman" w:hAnsi="Times New Roman"/>
                <w:sz w:val="24"/>
              </w:rPr>
              <w:t>2</w:t>
            </w:r>
            <w:r w:rsidRPr="002A677E">
              <w:rPr>
                <w:rFonts w:ascii="Times New Roman" w:hAnsi="Times New Roman"/>
                <w:sz w:val="24"/>
              </w:rPr>
              <w:t xml:space="preserve">0; country sheet]. </w:t>
            </w:r>
          </w:p>
          <w:p w14:paraId="0C4F6BE8" w14:textId="77777777" w:rsidR="00966663" w:rsidRPr="002A677E" w:rsidRDefault="00966663" w:rsidP="00B816A3">
            <w:pPr>
              <w:rPr>
                <w:rFonts w:ascii="Times New Roman" w:hAnsi="Times New Roman"/>
                <w:b/>
                <w:bCs/>
                <w:sz w:val="24"/>
                <w:u w:val="single"/>
                <w:lang w:eastAsia="de-DE"/>
              </w:rPr>
            </w:pPr>
            <w:r w:rsidRPr="002A677E">
              <w:rPr>
                <w:rFonts w:ascii="Times New Roman" w:hAnsi="Times New Roman"/>
                <w:sz w:val="24"/>
              </w:rPr>
              <w:t xml:space="preserve">Information on the </w:t>
            </w:r>
            <w:r w:rsidR="00EC0B74" w:rsidRPr="002A677E">
              <w:rPr>
                <w:rFonts w:ascii="Times New Roman" w:hAnsi="Times New Roman"/>
                <w:sz w:val="24"/>
              </w:rPr>
              <w:t>i</w:t>
            </w:r>
            <w:r w:rsidRPr="002A677E">
              <w:rPr>
                <w:rFonts w:ascii="Times New Roman" w:hAnsi="Times New Roman"/>
                <w:sz w:val="24"/>
              </w:rPr>
              <w:t xml:space="preserve">nstitution-specific countercyclical capital buffer rate </w:t>
            </w:r>
            <w:r w:rsidR="00B816A3" w:rsidRPr="002A677E">
              <w:rPr>
                <w:rFonts w:ascii="Times New Roman" w:hAnsi="Times New Roman"/>
                <w:sz w:val="24"/>
              </w:rPr>
              <w:t>shall only be reported for the ‘Total’ of all countries and not for each country separately</w:t>
            </w:r>
            <w:r w:rsidRPr="002A677E">
              <w:rPr>
                <w:rFonts w:ascii="Times New Roman" w:hAnsi="Times New Roman"/>
                <w:sz w:val="24"/>
              </w:rPr>
              <w: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sidRPr="002A677E">
              <w:rPr>
                <w:rFonts w:ascii="Times New Roman" w:hAnsi="Times New Roman"/>
                <w:sz w:val="24"/>
              </w:rPr>
              <w:t>0</w:t>
            </w:r>
            <w:r w:rsidR="006B1A77" w:rsidRPr="002A677E">
              <w:rPr>
                <w:rFonts w:ascii="Times New Roman" w:hAnsi="Times New Roman"/>
                <w:sz w:val="24"/>
              </w:rPr>
              <w:t xml:space="preserve">150 - </w:t>
            </w:r>
            <w:r w:rsidRPr="002A677E">
              <w:rPr>
                <w:rFonts w:ascii="Times New Roman" w:hAnsi="Times New Roman"/>
                <w:sz w:val="24"/>
              </w:rPr>
              <w:t>0</w:t>
            </w:r>
            <w:r w:rsidR="006B1A77" w:rsidRPr="002A677E">
              <w:rPr>
                <w:rFonts w:ascii="Times New Roman" w:hAnsi="Times New Roman"/>
                <w:sz w:val="24"/>
              </w:rPr>
              <w:t>1</w:t>
            </w:r>
            <w:r w:rsidR="00FC0B81" w:rsidRPr="002A677E">
              <w:rPr>
                <w:rFonts w:ascii="Times New Roman" w:hAnsi="Times New Roman"/>
                <w:sz w:val="24"/>
              </w:rPr>
              <w:t>6</w:t>
            </w:r>
            <w:r w:rsidR="006B1A77" w:rsidRPr="002A677E">
              <w:rPr>
                <w:rFonts w:ascii="Times New Roman" w:hAnsi="Times New Roman"/>
                <w:sz w:val="24"/>
              </w:rPr>
              <w:t>0</w:t>
            </w:r>
          </w:p>
        </w:tc>
        <w:tc>
          <w:tcPr>
            <w:tcW w:w="8131" w:type="dxa"/>
          </w:tcPr>
          <w:p w14:paraId="0A12DD68" w14:textId="1DF32C94" w:rsidR="006B1A77" w:rsidRPr="002A677E" w:rsidRDefault="006B1A77" w:rsidP="00133107">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sidR="00B856D5">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006A3A82" w:rsidRPr="002A677E">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 xml:space="preserve">of Commission Delegated Regulation (EU) No 1152/2014, foreign general credit risk exposures, </w:t>
            </w:r>
            <w:r w:rsidR="00A37A04" w:rsidRPr="002A677E">
              <w:rPr>
                <w:rFonts w:ascii="Times New Roman" w:hAnsi="Times New Roman"/>
                <w:sz w:val="24"/>
              </w:rPr>
              <w:t xml:space="preserve">the </w:t>
            </w:r>
            <w:r w:rsidRPr="002A677E">
              <w:rPr>
                <w:rFonts w:ascii="Times New Roman" w:hAnsi="Times New Roman"/>
                <w:sz w:val="24"/>
              </w:rPr>
              <w:t xml:space="preserve">aggregate </w:t>
            </w:r>
            <w:r w:rsidR="00A37A04" w:rsidRPr="002A677E">
              <w:rPr>
                <w:rFonts w:ascii="Times New Roman" w:hAnsi="Times New Roman"/>
                <w:sz w:val="24"/>
              </w:rPr>
              <w:t xml:space="preserve">of which </w:t>
            </w:r>
            <w:r w:rsidRPr="002A677E">
              <w:rPr>
                <w:rFonts w:ascii="Times New Roman" w:hAnsi="Times New Roman"/>
                <w:sz w:val="24"/>
              </w:rPr>
              <w:t>does not exceed 2</w:t>
            </w:r>
            <w:r w:rsidR="00B856D5">
              <w:rPr>
                <w:rFonts w:ascii="Times New Roman" w:hAnsi="Times New Roman"/>
                <w:sz w:val="24"/>
              </w:rPr>
              <w:t xml:space="preserve"> </w:t>
            </w:r>
            <w:r w:rsidRPr="002A677E">
              <w:rPr>
                <w:rFonts w:ascii="Times New Roman" w:hAnsi="Times New Roman"/>
                <w:sz w:val="24"/>
              </w:rPr>
              <w:t xml:space="preserve">% of the aggregate of the general credit, trading book and securitisation exposures of that institution, may be allocated to the institutions’ home member state. The aggregate of the general credit, trading book and securitisation exposures </w:t>
            </w:r>
            <w:r w:rsidR="00A37A04" w:rsidRPr="002A677E">
              <w:rPr>
                <w:rFonts w:ascii="Times New Roman" w:hAnsi="Times New Roman"/>
                <w:sz w:val="24"/>
              </w:rPr>
              <w:t>shall be</w:t>
            </w:r>
            <w:r w:rsidRPr="002A677E">
              <w:rPr>
                <w:rFonts w:ascii="Times New Roman" w:hAnsi="Times New Roman"/>
                <w:sz w:val="24"/>
              </w:rPr>
              <w:t xml:space="preserve"> calculated by excluding the general credit exposures located in accordance with Article 2(5)</w:t>
            </w:r>
            <w:r w:rsidR="00B83DDE">
              <w:rPr>
                <w:rFonts w:ascii="Times New Roman" w:hAnsi="Times New Roman"/>
                <w:sz w:val="24"/>
              </w:rPr>
              <w:t>, p</w:t>
            </w:r>
            <w:r w:rsidR="00DF4FF2" w:rsidRPr="002A677E">
              <w:rPr>
                <w:rFonts w:ascii="Times New Roman" w:hAnsi="Times New Roman"/>
                <w:sz w:val="24"/>
              </w:rPr>
              <w:t>oint (a)</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and Article 2(4) of Commission Delegated Regulation (EU) No 1152/2014.</w:t>
            </w:r>
          </w:p>
          <w:p w14:paraId="02877D2C" w14:textId="77777777" w:rsidR="00966663"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lastRenderedPageBreak/>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22D9B450"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sidRPr="002A677E">
              <w:rPr>
                <w:rFonts w:ascii="Times New Roman" w:hAnsi="Times New Roman"/>
                <w:sz w:val="24"/>
              </w:rPr>
              <w:lastRenderedPageBreak/>
              <w:t>0</w:t>
            </w:r>
            <w:r w:rsidR="00966663" w:rsidRPr="002A677E">
              <w:rPr>
                <w:rFonts w:ascii="Times New Roman" w:hAnsi="Times New Roman"/>
                <w:sz w:val="24"/>
              </w:rPr>
              <w:t>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369B6ABC" w14:textId="03692703"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w:t>
            </w:r>
            <w:r w:rsidR="002C4D74" w:rsidRPr="002A677E">
              <w:rPr>
                <w:rFonts w:ascii="Times New Roman" w:hAnsi="Times New Roman"/>
                <w:sz w:val="24"/>
              </w:rPr>
              <w:t> </w:t>
            </w:r>
            <w:r w:rsidRPr="002A677E">
              <w:rPr>
                <w:rFonts w:ascii="Times New Roman" w:hAnsi="Times New Roman"/>
                <w:sz w:val="24"/>
              </w:rPr>
              <w:t>1152/2014, institutions may allocate trading book exposures to their home Member State</w:t>
            </w:r>
            <w:r w:rsidR="002C4D74" w:rsidRPr="002A677E">
              <w:rPr>
                <w:rFonts w:ascii="Times New Roman" w:hAnsi="Times New Roman"/>
                <w:sz w:val="24"/>
              </w:rPr>
              <w:t xml:space="preserve"> where</w:t>
            </w:r>
            <w:r w:rsidRPr="002A677E">
              <w:rPr>
                <w:rFonts w:ascii="Times New Roman" w:hAnsi="Times New Roman"/>
                <w:sz w:val="24"/>
              </w:rPr>
              <w:t xml:space="preserve"> the total trading book exposures do not exceed 2</w:t>
            </w:r>
            <w:r w:rsidR="00B856D5">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35A6DB1" w14:textId="77777777" w:rsidR="006A3A82" w:rsidRPr="002A677E" w:rsidRDefault="006A3A82" w:rsidP="006A3A82">
            <w:pPr>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3F2EC60A" w14:textId="77777777" w:rsidR="00966663" w:rsidRPr="002A677E" w:rsidRDefault="006A3A82" w:rsidP="006A3A8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7CCDC340" w14:textId="32775927" w:rsidR="634F01E0" w:rsidRDefault="634F01E0" w:rsidP="634F01E0">
      <w:pPr>
        <w:spacing w:before="0" w:after="0"/>
        <w:jc w:val="left"/>
        <w:rPr>
          <w:rFonts w:ascii="Times New Roman" w:hAnsi="Times New Roman"/>
          <w:sz w:val="24"/>
          <w:lang w:eastAsia="de-DE"/>
        </w:rPr>
      </w:pPr>
    </w:p>
    <w:p w14:paraId="35504F3B" w14:textId="03115421" w:rsidR="00DD58BA" w:rsidRDefault="00CB616D" w:rsidP="00DD58BA">
      <w:pPr>
        <w:pStyle w:val="Instructionsberschrift2"/>
        <w:numPr>
          <w:ilvl w:val="0"/>
          <w:numId w:val="0"/>
        </w:numPr>
        <w:ind w:left="720" w:hanging="360"/>
        <w:rPr>
          <w:rFonts w:ascii="Times New Roman" w:hAnsi="Times New Roman" w:cs="Times New Roman"/>
          <w:sz w:val="24"/>
          <w:u w:val="none"/>
          <w:lang w:val="en-GB"/>
        </w:rPr>
      </w:pPr>
      <w:bookmarkStart w:id="381" w:name="_Toc151714424"/>
      <w:bookmarkStart w:id="382" w:name="_Toc295829919"/>
      <w:bookmarkStart w:id="383" w:name="_Toc310415031"/>
      <w:bookmarkStart w:id="384" w:name="_Toc360188369"/>
      <w:bookmarkStart w:id="385" w:name="_Toc473560920"/>
      <w:r>
        <w:rPr>
          <w:rFonts w:ascii="Times New Roman" w:hAnsi="Times New Roman" w:cs="Times New Roman"/>
          <w:sz w:val="24"/>
          <w:u w:val="none"/>
          <w:lang w:val="en-GB"/>
        </w:rPr>
        <w:t xml:space="preserve">3.5a. </w:t>
      </w:r>
      <w:r w:rsidR="00DD58BA">
        <w:rPr>
          <w:rFonts w:ascii="Times New Roman" w:hAnsi="Times New Roman" w:cs="Times New Roman"/>
          <w:sz w:val="24"/>
          <w:u w:val="none"/>
          <w:lang w:val="en-GB"/>
        </w:rPr>
        <w:t>C 10.00 – Credit and counterparty credit risks and free deliveries: IRB exposures subject to output floor</w:t>
      </w:r>
      <w:bookmarkEnd w:id="381"/>
    </w:p>
    <w:p w14:paraId="64FC646C" w14:textId="4AD52DF6" w:rsidR="00DD58BA" w:rsidRPr="004637BB" w:rsidRDefault="00DD58BA" w:rsidP="00660F94">
      <w:pPr>
        <w:pStyle w:val="Instructionsberschrift2"/>
        <w:numPr>
          <w:ilvl w:val="0"/>
          <w:numId w:val="0"/>
        </w:numPr>
        <w:ind w:left="360"/>
        <w:rPr>
          <w:rFonts w:ascii="Times New Roman" w:hAnsi="Times New Roman" w:cs="Times New Roman"/>
          <w:sz w:val="24"/>
          <w:lang w:val="en-GB"/>
        </w:rPr>
      </w:pPr>
      <w:bookmarkStart w:id="386" w:name="_Toc151714425"/>
      <w:r>
        <w:rPr>
          <w:rFonts w:ascii="Times New Roman" w:hAnsi="Times New Roman" w:cs="Times New Roman"/>
          <w:sz w:val="24"/>
          <w:u w:val="none"/>
          <w:lang w:val="en-GB"/>
        </w:rPr>
        <w:t>3.</w:t>
      </w:r>
      <w:r w:rsidR="00CB616D">
        <w:rPr>
          <w:rFonts w:ascii="Times New Roman" w:hAnsi="Times New Roman" w:cs="Times New Roman"/>
          <w:sz w:val="24"/>
          <w:u w:val="none"/>
          <w:lang w:val="en-GB"/>
        </w:rPr>
        <w:t>5a</w:t>
      </w:r>
      <w:r>
        <w:rPr>
          <w:rFonts w:ascii="Times New Roman" w:hAnsi="Times New Roman" w:cs="Times New Roman"/>
          <w:sz w:val="24"/>
          <w:u w:val="none"/>
          <w:lang w:val="en-GB"/>
        </w:rPr>
        <w:t xml:space="preserve">.1. </w:t>
      </w:r>
      <w:r w:rsidRPr="004637BB">
        <w:rPr>
          <w:rFonts w:ascii="Times New Roman" w:hAnsi="Times New Roman" w:cs="Times New Roman"/>
          <w:sz w:val="24"/>
          <w:lang w:val="en-GB"/>
        </w:rPr>
        <w:t>General remarks</w:t>
      </w:r>
      <w:bookmarkEnd w:id="386"/>
    </w:p>
    <w:p w14:paraId="295A9B13" w14:textId="2CC1E4A0" w:rsidR="00F21665" w:rsidRPr="00B64C8A" w:rsidRDefault="00996DFF" w:rsidP="00660F94">
      <w:pPr>
        <w:pStyle w:val="InstructionsText2"/>
        <w:numPr>
          <w:ilvl w:val="0"/>
          <w:numId w:val="0"/>
        </w:numPr>
        <w:ind w:left="993"/>
        <w:rPr>
          <w:noProof/>
        </w:rPr>
      </w:pPr>
      <w:r>
        <w:rPr>
          <w:noProof/>
        </w:rPr>
        <w:fldChar w:fldCharType="begin"/>
      </w:r>
      <w:r>
        <w:rPr>
          <w:noProof/>
        </w:rPr>
        <w:instrText xml:space="preserve"> seq paragraphs </w:instrText>
      </w:r>
      <w:r>
        <w:rPr>
          <w:noProof/>
        </w:rPr>
        <w:fldChar w:fldCharType="separate"/>
      </w:r>
      <w:r w:rsidR="005E3D5A">
        <w:rPr>
          <w:noProof/>
        </w:rPr>
        <w:t>92</w:t>
      </w:r>
      <w:r>
        <w:rPr>
          <w:noProof/>
        </w:rPr>
        <w:fldChar w:fldCharType="end"/>
      </w:r>
      <w:r w:rsidR="00F110CF">
        <w:rPr>
          <w:noProof/>
        </w:rPr>
        <w:t>.</w:t>
      </w:r>
      <w:r>
        <w:rPr>
          <w:noProof/>
        </w:rPr>
        <w:t xml:space="preserve"> </w:t>
      </w:r>
      <w:r w:rsidR="008A77DA">
        <w:rPr>
          <w:noProof/>
        </w:rPr>
        <w:t>Insti</w:t>
      </w:r>
      <w:r w:rsidR="00406AB4">
        <w:rPr>
          <w:noProof/>
        </w:rPr>
        <w:t>tu</w:t>
      </w:r>
      <w:r w:rsidR="008A77DA">
        <w:rPr>
          <w:noProof/>
        </w:rPr>
        <w:t>tio</w:t>
      </w:r>
      <w:r w:rsidR="00F206C3">
        <w:rPr>
          <w:noProof/>
        </w:rPr>
        <w:t xml:space="preserve">ns </w:t>
      </w:r>
      <w:r w:rsidR="00397BC5">
        <w:rPr>
          <w:noProof/>
        </w:rPr>
        <w:t>which apply the IRB approach shall rep</w:t>
      </w:r>
      <w:r w:rsidR="00A247B4">
        <w:rPr>
          <w:noProof/>
        </w:rPr>
        <w:t xml:space="preserve">ort </w:t>
      </w:r>
      <w:r w:rsidR="00AF540A">
        <w:rPr>
          <w:noProof/>
        </w:rPr>
        <w:t>in C 10.00</w:t>
      </w:r>
      <w:r w:rsidR="00262056">
        <w:rPr>
          <w:noProof/>
        </w:rPr>
        <w:t xml:space="preserve"> </w:t>
      </w:r>
      <w:r w:rsidR="007D16CC">
        <w:rPr>
          <w:noProof/>
        </w:rPr>
        <w:t>the</w:t>
      </w:r>
      <w:r w:rsidR="002E60EC">
        <w:rPr>
          <w:noProof/>
        </w:rPr>
        <w:t xml:space="preserve"> I</w:t>
      </w:r>
      <w:r w:rsidR="00C11025">
        <w:rPr>
          <w:noProof/>
        </w:rPr>
        <w:t>R</w:t>
      </w:r>
      <w:r w:rsidR="002E60EC">
        <w:rPr>
          <w:noProof/>
        </w:rPr>
        <w:t>B exposures broken down by SA exposure classes</w:t>
      </w:r>
      <w:r w:rsidR="001D09F5">
        <w:rPr>
          <w:noProof/>
        </w:rPr>
        <w:t xml:space="preserve"> and information </w:t>
      </w:r>
      <w:r w:rsidR="00C52499">
        <w:rPr>
          <w:noProof/>
        </w:rPr>
        <w:t>on the calculation of standardised total risk exposure amount</w:t>
      </w:r>
      <w:r w:rsidR="003A4772">
        <w:rPr>
          <w:noProof/>
        </w:rPr>
        <w:t xml:space="preserve"> for these exposures. </w:t>
      </w:r>
      <w:r w:rsidR="00D16330">
        <w:rPr>
          <w:noProof/>
        </w:rPr>
        <w:t>Columns</w:t>
      </w:r>
      <w:r w:rsidR="00106764">
        <w:rPr>
          <w:noProof/>
        </w:rPr>
        <w:t xml:space="preserve"> </w:t>
      </w:r>
      <w:r w:rsidR="00C35EDC">
        <w:rPr>
          <w:noProof/>
        </w:rPr>
        <w:t>0100</w:t>
      </w:r>
      <w:r w:rsidR="00611940">
        <w:rPr>
          <w:noProof/>
        </w:rPr>
        <w:t>-0120</w:t>
      </w:r>
      <w:r w:rsidR="00426A9E">
        <w:rPr>
          <w:noProof/>
        </w:rPr>
        <w:t xml:space="preserve"> collect information on the impact of </w:t>
      </w:r>
      <w:r w:rsidR="00A3376F">
        <w:rPr>
          <w:noProof/>
        </w:rPr>
        <w:t>transitional provisions related to the output floor for these exposures.</w:t>
      </w:r>
    </w:p>
    <w:p w14:paraId="00CDC99F" w14:textId="1218DEC1" w:rsidR="00DD58BA" w:rsidRDefault="00DD58BA" w:rsidP="00DD58BA">
      <w:pPr>
        <w:pStyle w:val="Instructionsberschrift2"/>
        <w:numPr>
          <w:ilvl w:val="0"/>
          <w:numId w:val="0"/>
        </w:numPr>
        <w:ind w:left="360"/>
        <w:rPr>
          <w:rFonts w:ascii="Times New Roman" w:hAnsi="Times New Roman" w:cs="Times New Roman"/>
          <w:sz w:val="24"/>
          <w:lang w:val="en-GB"/>
        </w:rPr>
      </w:pPr>
      <w:bookmarkStart w:id="387" w:name="_Toc151714426"/>
      <w:r>
        <w:rPr>
          <w:rFonts w:ascii="Times New Roman" w:hAnsi="Times New Roman" w:cs="Times New Roman"/>
          <w:sz w:val="24"/>
          <w:u w:val="none"/>
          <w:lang w:val="en-GB"/>
        </w:rPr>
        <w:t>3.</w:t>
      </w:r>
      <w:r w:rsidR="00CB616D">
        <w:rPr>
          <w:rFonts w:ascii="Times New Roman" w:hAnsi="Times New Roman" w:cs="Times New Roman"/>
          <w:sz w:val="24"/>
          <w:u w:val="none"/>
          <w:lang w:val="en-GB"/>
        </w:rPr>
        <w:t>5a</w:t>
      </w:r>
      <w:r>
        <w:rPr>
          <w:rFonts w:ascii="Times New Roman" w:hAnsi="Times New Roman" w:cs="Times New Roman"/>
          <w:sz w:val="24"/>
          <w:u w:val="none"/>
          <w:lang w:val="en-GB"/>
        </w:rPr>
        <w:t xml:space="preserve">.2. </w:t>
      </w:r>
      <w:r w:rsidRPr="002A677E">
        <w:rPr>
          <w:rFonts w:ascii="Times New Roman" w:hAnsi="Times New Roman" w:cs="Times New Roman"/>
          <w:sz w:val="24"/>
          <w:lang w:val="en-GB"/>
        </w:rPr>
        <w:t>Instructions concerning specific positions</w:t>
      </w:r>
      <w:bookmarkEnd w:id="387"/>
    </w:p>
    <w:tbl>
      <w:tblPr>
        <w:tblW w:w="9634" w:type="dxa"/>
        <w:tblLook w:val="01E0" w:firstRow="1" w:lastRow="1" w:firstColumn="1" w:lastColumn="1" w:noHBand="0" w:noVBand="0"/>
      </w:tblPr>
      <w:tblGrid>
        <w:gridCol w:w="1137"/>
        <w:gridCol w:w="8497"/>
      </w:tblGrid>
      <w:tr w:rsidR="00DD58BA" w:rsidRPr="002A677E" w14:paraId="67BC0495" w14:textId="77777777" w:rsidTr="000059B8">
        <w:tc>
          <w:tcPr>
            <w:tcW w:w="9634" w:type="dxa"/>
            <w:gridSpan w:val="2"/>
            <w:tcBorders>
              <w:top w:val="single" w:sz="4" w:space="0" w:color="auto"/>
              <w:left w:val="single" w:sz="4" w:space="0" w:color="auto"/>
              <w:bottom w:val="single" w:sz="4" w:space="0" w:color="auto"/>
              <w:right w:val="single" w:sz="4" w:space="0" w:color="auto"/>
            </w:tcBorders>
            <w:shd w:val="clear" w:color="auto" w:fill="BFBFBF"/>
          </w:tcPr>
          <w:p w14:paraId="71BC815F" w14:textId="77777777" w:rsidR="00DD58BA" w:rsidRPr="001235ED" w:rsidRDefault="00DD58BA" w:rsidP="00E40F04">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DD58BA" w:rsidRPr="000059B8" w14:paraId="303F0568"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0FE9A24B" w14:textId="3182BDD6"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497" w:type="dxa"/>
          </w:tcPr>
          <w:p w14:paraId="7D032B94" w14:textId="77777777" w:rsidR="001839FD" w:rsidRPr="00BF08E5" w:rsidRDefault="001839FD" w:rsidP="00B055FF">
            <w:pPr>
              <w:pStyle w:val="InstructionsText"/>
              <w:rPr>
                <w:rStyle w:val="InstructionsTabelleberschrift"/>
                <w:rFonts w:ascii="Times New Roman" w:hAnsi="Times New Roman"/>
                <w:sz w:val="24"/>
                <w:lang w:eastAsia="en-US"/>
              </w:rPr>
            </w:pPr>
            <w:r w:rsidRPr="00BF08E5">
              <w:rPr>
                <w:rStyle w:val="InstructionsTabelleberschrift"/>
                <w:rFonts w:ascii="Times New Roman" w:hAnsi="Times New Roman"/>
                <w:sz w:val="24"/>
              </w:rPr>
              <w:t>ORIGINAL EXPOSURE PRE-CONVERSION FACTORS</w:t>
            </w:r>
          </w:p>
          <w:p w14:paraId="72B8A280" w14:textId="5F264763" w:rsidR="00DD58BA" w:rsidRPr="00BF08E5" w:rsidRDefault="00F93458" w:rsidP="00E40F04">
            <w:pPr>
              <w:spacing w:beforeLines="60" w:before="144" w:afterLines="60" w:after="144"/>
              <w:rPr>
                <w:rStyle w:val="InstructionsTabelleText"/>
                <w:rFonts w:ascii="Times New Roman" w:hAnsi="Times New Roman"/>
                <w:sz w:val="24"/>
              </w:rPr>
            </w:pPr>
            <w:r w:rsidRPr="000059B8">
              <w:rPr>
                <w:rFonts w:ascii="Times New Roman" w:hAnsi="Times New Roman"/>
                <w:sz w:val="24"/>
              </w:rPr>
              <w:t>See instructions for template C 07.00, column 0010.</w:t>
            </w:r>
          </w:p>
        </w:tc>
      </w:tr>
      <w:tr w:rsidR="00DD58BA" w:rsidRPr="000059B8" w14:paraId="1077E15D"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7CBF38D3"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0020</w:t>
            </w:r>
          </w:p>
        </w:tc>
        <w:tc>
          <w:tcPr>
            <w:tcW w:w="8497" w:type="dxa"/>
          </w:tcPr>
          <w:p w14:paraId="4EF3F2E2" w14:textId="77777777" w:rsidR="00DD58BA" w:rsidRPr="00BF08E5" w:rsidRDefault="00DD58BA"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VALUE ADJUSTMENTS AND PROVISIONS ASSOCIATED WITH THE ORIGINAL EXPOSURE</w:t>
            </w:r>
          </w:p>
          <w:p w14:paraId="7FB9A83B" w14:textId="3A20C351" w:rsidR="00DD58BA" w:rsidRPr="00BF08E5" w:rsidRDefault="001D476C" w:rsidP="00E40F04">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See instructions for template C 07.00, column 0030.</w:t>
            </w:r>
          </w:p>
        </w:tc>
      </w:tr>
      <w:tr w:rsidR="00DD58BA" w:rsidRPr="000059B8" w14:paraId="7A1871A9"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620D5F0F"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0030</w:t>
            </w:r>
          </w:p>
        </w:tc>
        <w:tc>
          <w:tcPr>
            <w:tcW w:w="8497" w:type="dxa"/>
          </w:tcPr>
          <w:p w14:paraId="3604BE15" w14:textId="77777777" w:rsidR="00DD58BA" w:rsidRPr="00BF08E5" w:rsidRDefault="00DD58BA"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NET OF VALUE ADJUSTMENTS AND PROVISIONS</w:t>
            </w:r>
          </w:p>
          <w:p w14:paraId="6EFCFA3A" w14:textId="4D6C2662" w:rsidR="00DD58BA" w:rsidRPr="00BF08E5" w:rsidRDefault="006213EF" w:rsidP="00E40F04">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Sum of columns 0010 and 0020</w:t>
            </w:r>
          </w:p>
        </w:tc>
      </w:tr>
      <w:tr w:rsidR="00DD58BA" w:rsidRPr="000059B8" w14:paraId="076FEF1A"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300F8B30" w14:textId="511C971B"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0040</w:t>
            </w:r>
          </w:p>
        </w:tc>
        <w:tc>
          <w:tcPr>
            <w:tcW w:w="8497" w:type="dxa"/>
          </w:tcPr>
          <w:p w14:paraId="5F5B8D46" w14:textId="77777777" w:rsidR="00DD58BA" w:rsidRPr="00BF08E5" w:rsidRDefault="00DD58BA"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VALUE</w:t>
            </w:r>
          </w:p>
          <w:p w14:paraId="12C41540" w14:textId="7C1D9703" w:rsidR="00DD58BA" w:rsidRPr="00BF08E5" w:rsidRDefault="00423FB5" w:rsidP="00E40F04">
            <w:pPr>
              <w:spacing w:beforeLines="60" w:before="144" w:afterLines="60" w:after="144"/>
              <w:rPr>
                <w:rStyle w:val="InstructionsTabelleText"/>
                <w:rFonts w:ascii="Times New Roman" w:hAnsi="Times New Roman"/>
                <w:sz w:val="24"/>
              </w:rPr>
            </w:pPr>
            <w:r w:rsidRPr="000059B8">
              <w:t>See instructions for template C 07.00, column 0</w:t>
            </w:r>
            <w:r w:rsidRPr="006834AB">
              <w:t>20</w:t>
            </w:r>
            <w:r w:rsidRPr="000059B8">
              <w:t>0.</w:t>
            </w:r>
          </w:p>
        </w:tc>
      </w:tr>
      <w:tr w:rsidR="00DD58BA" w:rsidRPr="000059B8" w14:paraId="291732E6"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6C346A6C" w14:textId="4987D79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lastRenderedPageBreak/>
              <w:t>0050</w:t>
            </w:r>
          </w:p>
        </w:tc>
        <w:tc>
          <w:tcPr>
            <w:tcW w:w="8497" w:type="dxa"/>
          </w:tcPr>
          <w:p w14:paraId="205C9B23" w14:textId="39EDB453" w:rsidR="00423FB5" w:rsidRPr="000059B8" w:rsidRDefault="00DD58BA" w:rsidP="000059B8">
            <w:pPr>
              <w:rPr>
                <w:rFonts w:ascii="Times New Roman" w:hAnsi="Times New Roman"/>
                <w:sz w:val="24"/>
                <w:lang w:eastAsia="en-GB" w:bidi="ne-NP"/>
              </w:rPr>
            </w:pPr>
            <w:r w:rsidRPr="00BF08E5">
              <w:rPr>
                <w:rStyle w:val="InstructionsTabelleberschrift"/>
                <w:rFonts w:ascii="Times New Roman" w:hAnsi="Times New Roman"/>
                <w:sz w:val="24"/>
                <w:lang w:eastAsia="en-GB" w:bidi="ne-NP"/>
              </w:rPr>
              <w:t>OF WHICH: ARISING FROM COUNTERPARTY CREDIT RISK</w:t>
            </w:r>
          </w:p>
          <w:p w14:paraId="023E3F83" w14:textId="530538B2" w:rsidR="00DD58BA" w:rsidRPr="00BF08E5" w:rsidRDefault="00423FB5" w:rsidP="00E40F04">
            <w:pPr>
              <w:spacing w:beforeLines="60" w:before="144" w:afterLines="60" w:after="144"/>
              <w:rPr>
                <w:rStyle w:val="InstructionsTabelleberschrift"/>
                <w:rFonts w:ascii="Times New Roman" w:hAnsi="Times New Roman"/>
                <w:b w:val="0"/>
                <w:sz w:val="24"/>
              </w:rPr>
            </w:pPr>
            <w:r w:rsidRPr="000059B8">
              <w:rPr>
                <w:rFonts w:ascii="Times New Roman" w:hAnsi="Times New Roman"/>
                <w:sz w:val="24"/>
              </w:rPr>
              <w:t>See instructions for template C 07.00, column 0210.</w:t>
            </w:r>
          </w:p>
        </w:tc>
      </w:tr>
      <w:tr w:rsidR="00DD58BA" w:rsidRPr="000059B8" w14:paraId="32B311DD"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2C6E951D" w14:textId="5FFAA328"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6</w:t>
            </w:r>
            <w:r w:rsidRPr="000059B8">
              <w:rPr>
                <w:rStyle w:val="InstructionsTabelleText"/>
                <w:rFonts w:ascii="Times New Roman" w:hAnsi="Times New Roman"/>
                <w:sz w:val="24"/>
                <w:lang w:eastAsia="en-GB" w:bidi="ne-NP"/>
              </w:rPr>
              <w:t>0-</w:t>
            </w:r>
            <w:r w:rsidRPr="00BF08E5">
              <w:rPr>
                <w:rStyle w:val="InstructionsTabelleText"/>
                <w:rFonts w:ascii="Times New Roman" w:hAnsi="Times New Roman"/>
                <w:sz w:val="24"/>
                <w:lang w:eastAsia="en-GB" w:bidi="ne-NP"/>
              </w:rPr>
              <w:t>00</w:t>
            </w:r>
            <w:r w:rsidR="00646CAA" w:rsidRPr="00BF08E5">
              <w:rPr>
                <w:rStyle w:val="InstructionsTabelleText"/>
                <w:rFonts w:ascii="Times New Roman" w:hAnsi="Times New Roman"/>
                <w:sz w:val="24"/>
                <w:lang w:eastAsia="en-GB" w:bidi="ne-NP"/>
              </w:rPr>
              <w:t>8</w:t>
            </w:r>
            <w:r w:rsidRPr="00BF08E5">
              <w:rPr>
                <w:rStyle w:val="InstructionsTabelleText"/>
                <w:rFonts w:ascii="Times New Roman" w:hAnsi="Times New Roman"/>
                <w:sz w:val="24"/>
                <w:lang w:eastAsia="en-GB" w:bidi="ne-NP"/>
              </w:rPr>
              <w:t>0</w:t>
            </w:r>
          </w:p>
        </w:tc>
        <w:tc>
          <w:tcPr>
            <w:tcW w:w="8497" w:type="dxa"/>
          </w:tcPr>
          <w:p w14:paraId="295B3E65" w14:textId="357B1B98" w:rsidR="00DD58BA" w:rsidRPr="00BF08E5" w:rsidRDefault="00DD58BA"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OUTPUT FLOOR</w:t>
            </w:r>
          </w:p>
          <w:p w14:paraId="2C757FC2" w14:textId="7D3442AF" w:rsidR="00DD58BA" w:rsidRPr="00BF08E5" w:rsidRDefault="00D51261" w:rsidP="00E40F04">
            <w:pPr>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w:t>
            </w:r>
            <w:r w:rsidR="00B4001F" w:rsidRPr="000059B8">
              <w:rPr>
                <w:rFonts w:ascii="Times New Roman" w:hAnsi="Times New Roman"/>
                <w:sz w:val="24"/>
              </w:rPr>
              <w:t xml:space="preserve">and </w:t>
            </w:r>
            <w:r w:rsidR="00B4001F" w:rsidRPr="000059B8">
              <w:rPr>
                <w:rFonts w:ascii="Times New Roman" w:hAnsi="Times New Roman"/>
                <w:sz w:val="24"/>
                <w:lang w:val="en-US"/>
              </w:rPr>
              <w:t xml:space="preserve">Article 92(5) </w:t>
            </w:r>
            <w:r w:rsidRPr="000059B8" w:rsidDel="0006617B">
              <w:rPr>
                <w:rFonts w:ascii="Times New Roman" w:hAnsi="Times New Roman"/>
                <w:sz w:val="24"/>
                <w:lang w:val="en-US"/>
              </w:rPr>
              <w:t>of Regulation (EU) No 575/2013</w:t>
            </w:r>
            <w:r w:rsidR="00B4001F" w:rsidRPr="000059B8">
              <w:rPr>
                <w:rFonts w:ascii="Times New Roman" w:hAnsi="Times New Roman"/>
                <w:sz w:val="24"/>
                <w:lang w:val="en-US"/>
              </w:rPr>
              <w:t>.</w:t>
            </w:r>
            <w:r w:rsidRPr="000059B8">
              <w:rPr>
                <w:rFonts w:ascii="Times New Roman" w:hAnsi="Times New Roman"/>
                <w:sz w:val="24"/>
                <w:lang w:val="en-US"/>
              </w:rPr>
              <w:t xml:space="preserve"> </w:t>
            </w:r>
          </w:p>
        </w:tc>
      </w:tr>
      <w:tr w:rsidR="00DD58BA" w:rsidRPr="000059B8" w14:paraId="13897714"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1AC123B4" w14:textId="3A0848E0"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6</w:t>
            </w:r>
            <w:r w:rsidRPr="000059B8">
              <w:rPr>
                <w:rStyle w:val="InstructionsTabelleText"/>
                <w:rFonts w:ascii="Times New Roman" w:hAnsi="Times New Roman"/>
                <w:sz w:val="24"/>
                <w:lang w:eastAsia="en-GB" w:bidi="ne-NP"/>
              </w:rPr>
              <w:t>0</w:t>
            </w:r>
          </w:p>
        </w:tc>
        <w:tc>
          <w:tcPr>
            <w:tcW w:w="8497" w:type="dxa"/>
          </w:tcPr>
          <w:p w14:paraId="5AE0321A" w14:textId="77777777"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S-TREA</w:t>
            </w:r>
          </w:p>
          <w:p w14:paraId="7E8370C0" w14:textId="65EEF26C" w:rsidR="00DD58BA" w:rsidRPr="00BF08E5" w:rsidDel="007E4D58" w:rsidRDefault="00C174D0" w:rsidP="00E40F04">
            <w:pPr>
              <w:spacing w:beforeLines="60" w:before="144" w:afterLines="60" w:after="144"/>
              <w:rPr>
                <w:rStyle w:val="InstructionsTabelleberschrift"/>
                <w:rFonts w:ascii="Times New Roman" w:hAnsi="Times New Roman"/>
                <w:sz w:val="24"/>
              </w:rPr>
            </w:pPr>
            <w:r w:rsidRPr="000059B8">
              <w:rPr>
                <w:rFonts w:ascii="Times New Roman" w:hAnsi="Times New Roman"/>
                <w:sz w:val="24"/>
                <w:lang w:val="en-US"/>
              </w:rPr>
              <w:t xml:space="preserve">The standardised total risk exposure amount (S-TREA) calculated in accordance with 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w:t>
            </w:r>
          </w:p>
        </w:tc>
      </w:tr>
      <w:tr w:rsidR="00DD58BA" w:rsidRPr="000059B8" w14:paraId="5224B030"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1BAA0186" w14:textId="19CA7C2D"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7</w:t>
            </w:r>
            <w:r w:rsidRPr="000059B8">
              <w:rPr>
                <w:rStyle w:val="InstructionsTabelleText"/>
                <w:rFonts w:ascii="Times New Roman" w:hAnsi="Times New Roman"/>
                <w:sz w:val="24"/>
                <w:lang w:eastAsia="en-GB" w:bidi="ne-NP"/>
              </w:rPr>
              <w:t>0</w:t>
            </w:r>
          </w:p>
        </w:tc>
        <w:tc>
          <w:tcPr>
            <w:tcW w:w="8497" w:type="dxa"/>
          </w:tcPr>
          <w:p w14:paraId="0CBC660A" w14:textId="77777777"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ARISING FROM COUNTERPARTY CREDIT RISK</w:t>
            </w:r>
          </w:p>
          <w:p w14:paraId="6409418D" w14:textId="30E730E0" w:rsidR="00DD58BA" w:rsidRPr="00BF08E5" w:rsidDel="007E4D58" w:rsidRDefault="00195FFE" w:rsidP="00E40F04">
            <w:pPr>
              <w:spacing w:beforeLines="60" w:before="144" w:afterLines="60" w:after="144"/>
              <w:rPr>
                <w:rStyle w:val="InstructionsTabelleberschrift"/>
                <w:rFonts w:ascii="Times New Roman" w:hAnsi="Times New Roman"/>
                <w:sz w:val="24"/>
              </w:rPr>
            </w:pPr>
            <w:r w:rsidRPr="00BF08E5">
              <w:rPr>
                <w:rFonts w:ascii="Times New Roman" w:hAnsi="Times New Roman"/>
                <w:sz w:val="24"/>
              </w:rPr>
              <w:t>T</w:t>
            </w:r>
            <w:r w:rsidRPr="000059B8">
              <w:rPr>
                <w:rFonts w:ascii="Times New Roman" w:hAnsi="Times New Roman"/>
                <w:sz w:val="24"/>
              </w:rPr>
              <w:t xml:space="preserve">he </w:t>
            </w:r>
            <w:r w:rsidR="00777B5E" w:rsidRPr="000059B8">
              <w:rPr>
                <w:rFonts w:ascii="Times New Roman" w:hAnsi="Times New Roman"/>
                <w:sz w:val="24"/>
              </w:rPr>
              <w:t>S-TREA</w:t>
            </w:r>
            <w:r w:rsidR="004A7CE4" w:rsidRPr="000059B8">
              <w:rPr>
                <w:rFonts w:ascii="Times New Roman" w:hAnsi="Times New Roman"/>
                <w:sz w:val="24"/>
              </w:rPr>
              <w:t xml:space="preserve"> for </w:t>
            </w:r>
            <w:r w:rsidR="001863CA" w:rsidRPr="000059B8">
              <w:rPr>
                <w:rFonts w:ascii="Times New Roman" w:hAnsi="Times New Roman"/>
                <w:sz w:val="24"/>
              </w:rPr>
              <w:t>counterparty credit risk</w:t>
            </w:r>
            <w:r w:rsidRPr="00BF08E5">
              <w:rPr>
                <w:rFonts w:ascii="Times New Roman" w:hAnsi="Times New Roman"/>
                <w:sz w:val="24"/>
              </w:rPr>
              <w:t xml:space="preserve"> calculated in accordance with the methods laid down in Part Three, Title II, Chapter 6 of </w:t>
            </w:r>
            <w:r w:rsidRPr="00BF08E5">
              <w:rPr>
                <w:rFonts w:ascii="Times New Roman" w:hAnsi="Times New Roman"/>
                <w:sz w:val="24"/>
                <w:lang w:val="en-US"/>
              </w:rPr>
              <w:t>Regulation (EU) No 575/2013</w:t>
            </w:r>
          </w:p>
        </w:tc>
      </w:tr>
      <w:tr w:rsidR="00DD58BA" w:rsidRPr="000059B8" w14:paraId="42DD9534"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648805D7" w14:textId="3498CFCA"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8</w:t>
            </w:r>
            <w:r w:rsidRPr="000059B8">
              <w:rPr>
                <w:rStyle w:val="InstructionsTabelleText"/>
                <w:rFonts w:ascii="Times New Roman" w:hAnsi="Times New Roman"/>
                <w:sz w:val="24"/>
                <w:lang w:eastAsia="en-GB" w:bidi="ne-NP"/>
              </w:rPr>
              <w:t>0</w:t>
            </w:r>
          </w:p>
        </w:tc>
        <w:tc>
          <w:tcPr>
            <w:tcW w:w="8497" w:type="dxa"/>
          </w:tcPr>
          <w:p w14:paraId="54F46459" w14:textId="77777777" w:rsidR="00DD58BA" w:rsidRPr="00BF08E5" w:rsidRDefault="00DD58BA"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WITH A CREDIT ASSESSMENT BY A NOMINATED ECAI</w:t>
            </w:r>
          </w:p>
          <w:p w14:paraId="5154F23B" w14:textId="3EBA9149" w:rsidR="00DD58BA" w:rsidRPr="00BF08E5" w:rsidDel="007E4D58" w:rsidRDefault="00462FBB" w:rsidP="00E40F04">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Article 112, points (a) to (d), (f), (g), (l), (n), (o) and (q), </w:t>
            </w:r>
            <w:r w:rsidRPr="000059B8">
              <w:rPr>
                <w:rFonts w:ascii="Times New Roman" w:hAnsi="Times New Roman"/>
                <w:sz w:val="24"/>
                <w:lang w:val="en-US"/>
              </w:rPr>
              <w:t>of Regulation (EU) No 575/2013</w:t>
            </w:r>
          </w:p>
        </w:tc>
      </w:tr>
      <w:tr w:rsidR="00DD58BA" w:rsidRPr="000059B8" w14:paraId="7D5C938A"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49B1C894" w14:textId="5E19A679"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090</w:t>
            </w:r>
            <w:r w:rsidRPr="000059B8">
              <w:rPr>
                <w:rStyle w:val="InstructionsTabelleText"/>
                <w:rFonts w:ascii="Times New Roman" w:hAnsi="Times New Roman"/>
                <w:sz w:val="24"/>
                <w:lang w:eastAsia="en-GB" w:bidi="ne-NP"/>
              </w:rPr>
              <w:t>-01</w:t>
            </w:r>
            <w:r w:rsidR="00646CAA" w:rsidRPr="000059B8">
              <w:rPr>
                <w:rStyle w:val="InstructionsTabelleText"/>
                <w:rFonts w:ascii="Times New Roman" w:hAnsi="Times New Roman"/>
                <w:sz w:val="24"/>
                <w:lang w:eastAsia="en-GB" w:bidi="ne-NP"/>
              </w:rPr>
              <w:t>1</w:t>
            </w:r>
            <w:r w:rsidRPr="000059B8">
              <w:rPr>
                <w:rStyle w:val="InstructionsTabelleText"/>
                <w:rFonts w:ascii="Times New Roman" w:hAnsi="Times New Roman"/>
                <w:sz w:val="24"/>
                <w:lang w:eastAsia="en-GB" w:bidi="ne-NP"/>
              </w:rPr>
              <w:t>0</w:t>
            </w:r>
          </w:p>
        </w:tc>
        <w:tc>
          <w:tcPr>
            <w:tcW w:w="8497" w:type="dxa"/>
          </w:tcPr>
          <w:p w14:paraId="438977F2" w14:textId="0A5CEC4B"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MEMORANDUM ITEMS: RWEA RELATED TO THE IMPACT OF APPLICATION OF CERTAIN TRANSITIONAL PROVISIONS</w:t>
            </w:r>
          </w:p>
          <w:p w14:paraId="4468A3B1" w14:textId="21DEA569" w:rsidR="00DD58BA" w:rsidRPr="00BF08E5" w:rsidDel="007E4D58" w:rsidRDefault="00DC404F" w:rsidP="00E40F04">
            <w:pPr>
              <w:spacing w:beforeLines="60" w:before="144" w:afterLines="60" w:after="144"/>
              <w:rPr>
                <w:rStyle w:val="InstructionsTabelleberschrift"/>
                <w:rFonts w:ascii="Times New Roman" w:hAnsi="Times New Roman"/>
                <w:sz w:val="24"/>
                <w:u w:val="none"/>
              </w:rPr>
            </w:pPr>
            <w:r w:rsidRPr="00BF08E5">
              <w:rPr>
                <w:rStyle w:val="InstructionsTabelleberschrift"/>
                <w:rFonts w:ascii="Times New Roman" w:hAnsi="Times New Roman"/>
                <w:b w:val="0"/>
                <w:bCs w:val="0"/>
                <w:sz w:val="24"/>
                <w:u w:val="none"/>
              </w:rPr>
              <w:t>A</w:t>
            </w:r>
            <w:r w:rsidRPr="000059B8">
              <w:rPr>
                <w:rStyle w:val="InstructionsTabelleberschrift"/>
                <w:rFonts w:ascii="Times New Roman" w:hAnsi="Times New Roman"/>
                <w:b w:val="0"/>
                <w:bCs w:val="0"/>
                <w:sz w:val="24"/>
                <w:u w:val="none"/>
              </w:rPr>
              <w:t xml:space="preserve">rticle 92(3) and </w:t>
            </w:r>
            <w:r w:rsidR="004E2734" w:rsidRPr="000059B8">
              <w:rPr>
                <w:rStyle w:val="InstructionsTabelleberschrift"/>
                <w:rFonts w:ascii="Times New Roman" w:hAnsi="Times New Roman"/>
                <w:b w:val="0"/>
                <w:bCs w:val="0"/>
                <w:sz w:val="24"/>
                <w:u w:val="none"/>
              </w:rPr>
              <w:t xml:space="preserve">Article 465 of </w:t>
            </w:r>
            <w:r w:rsidR="004E2734" w:rsidRPr="000059B8" w:rsidDel="0006617B">
              <w:rPr>
                <w:rFonts w:ascii="Times New Roman" w:hAnsi="Times New Roman"/>
                <w:sz w:val="24"/>
                <w:lang w:val="en-US"/>
              </w:rPr>
              <w:t>Regulation (EU) No 575/2013</w:t>
            </w:r>
            <w:r w:rsidR="009D5BF9" w:rsidRPr="000059B8">
              <w:rPr>
                <w:rFonts w:ascii="Times New Roman" w:hAnsi="Times New Roman"/>
                <w:sz w:val="24"/>
                <w:lang w:val="en-US"/>
              </w:rPr>
              <w:t>.</w:t>
            </w:r>
            <w:r w:rsidR="005B3220" w:rsidRPr="000059B8">
              <w:rPr>
                <w:rFonts w:ascii="Times New Roman" w:hAnsi="Times New Roman"/>
                <w:sz w:val="24"/>
                <w:lang w:val="en-US"/>
              </w:rPr>
              <w:t xml:space="preserve"> The difference between the </w:t>
            </w:r>
            <w:r w:rsidR="009D5BF9" w:rsidRPr="000059B8">
              <w:rPr>
                <w:rFonts w:ascii="Times New Roman" w:hAnsi="Times New Roman"/>
                <w:sz w:val="24"/>
                <w:lang w:val="en-US"/>
              </w:rPr>
              <w:t xml:space="preserve">amount of RWEA without application of the </w:t>
            </w:r>
            <w:r w:rsidR="009268E2" w:rsidRPr="000059B8">
              <w:rPr>
                <w:rFonts w:ascii="Times New Roman" w:hAnsi="Times New Roman"/>
                <w:sz w:val="24"/>
                <w:lang w:val="en-US"/>
              </w:rPr>
              <w:t xml:space="preserve">transitional provisions and the amount </w:t>
            </w:r>
            <w:r w:rsidR="003A17F7" w:rsidRPr="000059B8">
              <w:rPr>
                <w:rFonts w:ascii="Times New Roman" w:hAnsi="Times New Roman"/>
                <w:sz w:val="24"/>
                <w:lang w:val="en-US"/>
              </w:rPr>
              <w:t xml:space="preserve">of RWEA </w:t>
            </w:r>
            <w:r w:rsidR="009268E2" w:rsidRPr="000059B8">
              <w:rPr>
                <w:rFonts w:ascii="Times New Roman" w:hAnsi="Times New Roman"/>
                <w:sz w:val="24"/>
                <w:lang w:val="en-US"/>
              </w:rPr>
              <w:t>with application of the transitional provisions shall be reported.</w:t>
            </w:r>
          </w:p>
        </w:tc>
      </w:tr>
      <w:tr w:rsidR="00DD58BA" w:rsidRPr="000059B8" w14:paraId="43730550"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639517F5" w14:textId="416E3394"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090</w:t>
            </w:r>
          </w:p>
        </w:tc>
        <w:tc>
          <w:tcPr>
            <w:tcW w:w="8497" w:type="dxa"/>
          </w:tcPr>
          <w:p w14:paraId="03E4A726" w14:textId="77777777"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UP TO 55% OF THE PROPERTY VALUE</w:t>
            </w:r>
          </w:p>
          <w:p w14:paraId="69C4F189" w14:textId="63FD35BD" w:rsidR="00DD58BA" w:rsidRPr="00BF08E5" w:rsidDel="007E4D58" w:rsidRDefault="00B03D14"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b w:val="0"/>
                <w:bCs w:val="0"/>
                <w:sz w:val="24"/>
                <w:u w:val="none"/>
              </w:rPr>
              <w:t>Article 465</w:t>
            </w:r>
            <w:r w:rsidR="00577AE1" w:rsidRPr="00BF08E5">
              <w:rPr>
                <w:rStyle w:val="InstructionsTabelleberschrift"/>
                <w:rFonts w:ascii="Times New Roman" w:hAnsi="Times New Roman"/>
                <w:b w:val="0"/>
                <w:bCs w:val="0"/>
                <w:sz w:val="24"/>
                <w:u w:val="none"/>
              </w:rPr>
              <w:t>(</w:t>
            </w:r>
            <w:r w:rsidR="000D6F90" w:rsidRPr="00BF08E5">
              <w:rPr>
                <w:rStyle w:val="InstructionsTabelleberschrift"/>
                <w:rFonts w:ascii="Times New Roman" w:hAnsi="Times New Roman"/>
                <w:b w:val="0"/>
                <w:bCs w:val="0"/>
                <w:sz w:val="24"/>
                <w:u w:val="none"/>
              </w:rPr>
              <w:t>5</w:t>
            </w:r>
            <w:r w:rsidR="00577AE1" w:rsidRPr="00BF08E5">
              <w:rPr>
                <w:rStyle w:val="InstructionsTabelleberschrift"/>
                <w:rFonts w:ascii="Times New Roman" w:hAnsi="Times New Roman"/>
                <w:sz w:val="24"/>
              </w:rPr>
              <w:t>)</w:t>
            </w:r>
            <w:r w:rsidR="004C1A0F" w:rsidRPr="00BF08E5">
              <w:rPr>
                <w:rStyle w:val="InstructionsTabelleberschrift"/>
                <w:rFonts w:ascii="Times New Roman" w:hAnsi="Times New Roman"/>
                <w:b w:val="0"/>
                <w:bCs w:val="0"/>
                <w:sz w:val="24"/>
                <w:u w:val="none"/>
              </w:rPr>
              <w:t>, point (a</w:t>
            </w:r>
            <w:r w:rsidR="00577AE1" w:rsidRPr="00BF08E5">
              <w:rPr>
                <w:rStyle w:val="InstructionsTabelleberschrift"/>
                <w:rFonts w:ascii="Times New Roman" w:hAnsi="Times New Roman"/>
                <w:b w:val="0"/>
                <w:sz w:val="24"/>
                <w:u w:val="none"/>
              </w:rPr>
              <w:t>)</w:t>
            </w:r>
            <w:r w:rsidRPr="00BF08E5">
              <w:rPr>
                <w:rStyle w:val="InstructionsTabelleberschrift"/>
                <w:rFonts w:ascii="Times New Roman" w:hAnsi="Times New Roman"/>
                <w:b w:val="0"/>
                <w:bCs w:val="0"/>
                <w:sz w:val="24"/>
                <w:u w:val="none"/>
              </w:rPr>
              <w:t xml:space="preserve">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p>
        </w:tc>
      </w:tr>
      <w:tr w:rsidR="00DD58BA" w:rsidRPr="000059B8" w14:paraId="53BCB216"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2E9FA129" w14:textId="5E3585F6"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w:t>
            </w:r>
            <w:r w:rsidR="00646CAA" w:rsidRPr="000059B8">
              <w:rPr>
                <w:rStyle w:val="InstructionsTabelleText"/>
                <w:rFonts w:ascii="Times New Roman" w:hAnsi="Times New Roman"/>
                <w:sz w:val="24"/>
                <w:lang w:eastAsia="en-GB" w:bidi="ne-NP"/>
              </w:rPr>
              <w:t>00</w:t>
            </w:r>
          </w:p>
        </w:tc>
        <w:tc>
          <w:tcPr>
            <w:tcW w:w="8497" w:type="dxa"/>
          </w:tcPr>
          <w:p w14:paraId="1DF34C94" w14:textId="77777777"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BETWEEN 55% AND 80% OF THE PROPERTY VALUE</w:t>
            </w:r>
          </w:p>
          <w:p w14:paraId="3CF6663B" w14:textId="74A6998C" w:rsidR="00DD58BA" w:rsidRPr="00BF08E5" w:rsidDel="007E4D58" w:rsidRDefault="00C87795"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b w:val="0"/>
                <w:bCs w:val="0"/>
                <w:sz w:val="24"/>
                <w:u w:val="none"/>
              </w:rPr>
              <w:t>Article 465(</w:t>
            </w:r>
            <w:r w:rsidR="00A0575F" w:rsidRPr="00BF08E5">
              <w:rPr>
                <w:rStyle w:val="InstructionsTabelleberschrift"/>
                <w:rFonts w:ascii="Times New Roman" w:hAnsi="Times New Roman"/>
                <w:b w:val="0"/>
                <w:bCs w:val="0"/>
                <w:sz w:val="24"/>
                <w:u w:val="none"/>
              </w:rPr>
              <w:t>5</w:t>
            </w:r>
            <w:r w:rsidRPr="00BF08E5">
              <w:rPr>
                <w:rStyle w:val="InstructionsTabelleberschrift"/>
                <w:rFonts w:ascii="Times New Roman" w:hAnsi="Times New Roman"/>
                <w:b w:val="0"/>
                <w:bCs w:val="0"/>
                <w:sz w:val="24"/>
                <w:u w:val="none"/>
              </w:rPr>
              <w:t>)</w:t>
            </w:r>
            <w:r w:rsidR="006F127B" w:rsidRPr="00BF08E5">
              <w:rPr>
                <w:rStyle w:val="InstructionsTabelleberschrift"/>
                <w:rFonts w:ascii="Times New Roman" w:hAnsi="Times New Roman"/>
                <w:b w:val="0"/>
                <w:bCs w:val="0"/>
                <w:sz w:val="24"/>
                <w:u w:val="none"/>
              </w:rPr>
              <w:t>, point (b</w:t>
            </w:r>
            <w:r w:rsidRPr="00BF08E5">
              <w:rPr>
                <w:rStyle w:val="InstructionsTabelleberschrift"/>
                <w:rFonts w:ascii="Times New Roman" w:hAnsi="Times New Roman"/>
                <w:b w:val="0"/>
                <w:bCs w:val="0"/>
                <w:sz w:val="24"/>
                <w:u w:val="none"/>
              </w:rPr>
              <w:t>)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p>
        </w:tc>
      </w:tr>
      <w:tr w:rsidR="00DD58BA" w:rsidRPr="000059B8" w14:paraId="18868448"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tcPr>
          <w:p w14:paraId="0908C8DE" w14:textId="47A4A1E6"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w:t>
            </w:r>
            <w:r w:rsidR="00646CAA" w:rsidRPr="000059B8">
              <w:rPr>
                <w:rStyle w:val="InstructionsTabelleText"/>
                <w:rFonts w:ascii="Times New Roman" w:hAnsi="Times New Roman"/>
                <w:sz w:val="24"/>
                <w:lang w:eastAsia="en-GB" w:bidi="ne-NP"/>
              </w:rPr>
              <w:t>10</w:t>
            </w:r>
          </w:p>
        </w:tc>
        <w:tc>
          <w:tcPr>
            <w:tcW w:w="8497" w:type="dxa"/>
          </w:tcPr>
          <w:p w14:paraId="3033DA8D" w14:textId="77777777" w:rsidR="00DD58BA" w:rsidRPr="00BF08E5" w:rsidRDefault="00DD58BA">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TO UNRATED CORPORATES WITH A PD ESTIMATE</w:t>
            </w:r>
          </w:p>
          <w:p w14:paraId="310E9C14" w14:textId="1986CE96" w:rsidR="00DD58BA" w:rsidRPr="00BF08E5" w:rsidDel="007E4D58" w:rsidRDefault="00C63CBF" w:rsidP="00E40F04">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b w:val="0"/>
                <w:bCs w:val="0"/>
                <w:sz w:val="24"/>
                <w:u w:val="none"/>
              </w:rPr>
              <w:t>Article 465(</w:t>
            </w:r>
            <w:r w:rsidR="00A7708A" w:rsidRPr="00BF08E5">
              <w:rPr>
                <w:rStyle w:val="InstructionsTabelleberschrift"/>
                <w:rFonts w:ascii="Times New Roman" w:hAnsi="Times New Roman"/>
                <w:b w:val="0"/>
                <w:bCs w:val="0"/>
                <w:sz w:val="24"/>
                <w:u w:val="none"/>
              </w:rPr>
              <w:t>3</w:t>
            </w:r>
            <w:r w:rsidRPr="00BF08E5">
              <w:rPr>
                <w:rStyle w:val="InstructionsTabelleberschrift"/>
                <w:rFonts w:ascii="Times New Roman" w:hAnsi="Times New Roman"/>
                <w:b w:val="0"/>
                <w:bCs w:val="0"/>
                <w:sz w:val="24"/>
                <w:u w:val="none"/>
              </w:rPr>
              <w:t>)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p>
        </w:tc>
      </w:tr>
      <w:tr w:rsidR="00DD58BA" w:rsidRPr="000059B8" w14:paraId="3DC47B0C" w14:textId="77777777" w:rsidTr="000059B8">
        <w:tc>
          <w:tcPr>
            <w:tcW w:w="9634" w:type="dxa"/>
            <w:gridSpan w:val="2"/>
            <w:tcBorders>
              <w:top w:val="single" w:sz="4" w:space="0" w:color="auto"/>
              <w:left w:val="single" w:sz="4" w:space="0" w:color="auto"/>
              <w:bottom w:val="single" w:sz="4" w:space="0" w:color="auto"/>
              <w:right w:val="single" w:sz="4" w:space="0" w:color="auto"/>
            </w:tcBorders>
            <w:shd w:val="clear" w:color="auto" w:fill="A6A6A6"/>
          </w:tcPr>
          <w:p w14:paraId="00D67148" w14:textId="77777777" w:rsidR="00DD58BA" w:rsidRPr="00BF08E5" w:rsidRDefault="00DD58BA" w:rsidP="00E40F04">
            <w:pPr>
              <w:spacing w:beforeLines="60" w:before="144" w:afterLines="60" w:after="144"/>
              <w:rPr>
                <w:rStyle w:val="InstructionsTabelleText"/>
                <w:rFonts w:ascii="Times New Roman" w:hAnsi="Times New Roman"/>
                <w:b/>
                <w:sz w:val="24"/>
              </w:rPr>
            </w:pPr>
            <w:r w:rsidRPr="00BF08E5">
              <w:rPr>
                <w:rStyle w:val="InstructionsTabelleText"/>
                <w:rFonts w:ascii="Times New Roman" w:hAnsi="Times New Roman"/>
                <w:b/>
                <w:sz w:val="24"/>
              </w:rPr>
              <w:t>Rows</w:t>
            </w:r>
          </w:p>
        </w:tc>
      </w:tr>
      <w:tr w:rsidR="00DD58BA" w:rsidRPr="000059B8" w14:paraId="7C36F78C" w14:textId="77777777" w:rsidTr="000059B8">
        <w:tc>
          <w:tcPr>
            <w:tcW w:w="1129" w:type="dxa"/>
            <w:tcBorders>
              <w:top w:val="single" w:sz="4" w:space="0" w:color="auto"/>
              <w:left w:val="single" w:sz="4" w:space="0" w:color="auto"/>
              <w:bottom w:val="single" w:sz="4" w:space="0" w:color="auto"/>
              <w:right w:val="single" w:sz="4" w:space="0" w:color="auto"/>
            </w:tcBorders>
          </w:tcPr>
          <w:p w14:paraId="35B1556D"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505" w:type="dxa"/>
            <w:tcBorders>
              <w:top w:val="single" w:sz="4" w:space="0" w:color="auto"/>
              <w:left w:val="single" w:sz="4" w:space="0" w:color="auto"/>
              <w:bottom w:val="single" w:sz="4" w:space="0" w:color="auto"/>
              <w:right w:val="single" w:sz="4" w:space="0" w:color="auto"/>
            </w:tcBorders>
          </w:tcPr>
          <w:p w14:paraId="6F270246"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TOTAL EXPOSURES</w:t>
            </w:r>
          </w:p>
          <w:p w14:paraId="468F22CD" w14:textId="4913B667" w:rsidR="00DD58BA" w:rsidRPr="00BF08E5" w:rsidRDefault="001F1F5F" w:rsidP="00E40F04">
            <w:pPr>
              <w:keepNext/>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and Articles 95, 96 and 98 </w:t>
            </w:r>
            <w:r w:rsidRPr="000059B8">
              <w:rPr>
                <w:rFonts w:ascii="Times New Roman" w:hAnsi="Times New Roman"/>
                <w:sz w:val="24"/>
                <w:lang w:val="en-US"/>
              </w:rPr>
              <w:t>of Regulation (EU) No 575/2013</w:t>
            </w:r>
          </w:p>
        </w:tc>
      </w:tr>
      <w:tr w:rsidR="00DD58BA" w:rsidRPr="000059B8" w14:paraId="367D9D5C" w14:textId="77777777" w:rsidTr="000059B8">
        <w:tc>
          <w:tcPr>
            <w:tcW w:w="1129" w:type="dxa"/>
            <w:tcBorders>
              <w:top w:val="single" w:sz="4" w:space="0" w:color="auto"/>
              <w:left w:val="single" w:sz="4" w:space="0" w:color="auto"/>
              <w:bottom w:val="single" w:sz="4" w:space="0" w:color="auto"/>
              <w:right w:val="single" w:sz="4" w:space="0" w:color="auto"/>
            </w:tcBorders>
          </w:tcPr>
          <w:p w14:paraId="63C3B755"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w:t>
            </w:r>
            <w:r w:rsidRPr="000059B8">
              <w:rPr>
                <w:rStyle w:val="InstructionsTabelleText"/>
                <w:rFonts w:ascii="Times New Roman" w:hAnsi="Times New Roman"/>
                <w:sz w:val="24"/>
              </w:rPr>
              <w:t>020</w:t>
            </w:r>
          </w:p>
        </w:tc>
        <w:tc>
          <w:tcPr>
            <w:tcW w:w="8505" w:type="dxa"/>
            <w:tcBorders>
              <w:top w:val="single" w:sz="4" w:space="0" w:color="auto"/>
              <w:left w:val="single" w:sz="4" w:space="0" w:color="auto"/>
              <w:bottom w:val="single" w:sz="4" w:space="0" w:color="auto"/>
              <w:right w:val="single" w:sz="4" w:space="0" w:color="auto"/>
            </w:tcBorders>
          </w:tcPr>
          <w:p w14:paraId="665D3349"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Of which: </w:t>
            </w:r>
            <w:r w:rsidRPr="00BF08E5" w:rsidDel="00DB7DDF">
              <w:rPr>
                <w:rStyle w:val="InstructionsTabelleberschrift"/>
                <w:rFonts w:ascii="Times New Roman" w:hAnsi="Times New Roman"/>
                <w:sz w:val="24"/>
              </w:rPr>
              <w:t>Additional stricter</w:t>
            </w:r>
            <w:r w:rsidRPr="00BF08E5">
              <w:rPr>
                <w:rStyle w:val="InstructionsTabelleberschrift"/>
                <w:rFonts w:ascii="Times New Roman" w:hAnsi="Times New Roman"/>
                <w:sz w:val="24"/>
              </w:rPr>
              <w:t xml:space="preserve"> prudential requirements based on Article 124 of Regulation (EU) No 575/2013</w:t>
            </w:r>
          </w:p>
          <w:p w14:paraId="20855794" w14:textId="7A2D6E77" w:rsidR="00DD58BA" w:rsidRPr="00BF08E5" w:rsidRDefault="00DD68D8" w:rsidP="00E40F04">
            <w:pPr>
              <w:keepNext/>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Institutions shall report the additional risk exposure amounts needed to comply with the stricter prudential requirements as communicated to the institutions after having been consulted with EBA, in accordance with Article 124, paragraphs 2 and 5 </w:t>
            </w:r>
            <w:r w:rsidRPr="000059B8">
              <w:rPr>
                <w:rFonts w:ascii="Times New Roman" w:hAnsi="Times New Roman"/>
                <w:sz w:val="24"/>
                <w:lang w:val="en-US"/>
              </w:rPr>
              <w:t>of Regulation (EU) No 575/2013</w:t>
            </w:r>
            <w:r w:rsidRPr="000059B8">
              <w:rPr>
                <w:rFonts w:ascii="Times New Roman" w:hAnsi="Times New Roman"/>
                <w:sz w:val="24"/>
              </w:rPr>
              <w:t>.</w:t>
            </w:r>
          </w:p>
        </w:tc>
      </w:tr>
      <w:tr w:rsidR="00DD58BA" w:rsidRPr="000059B8" w14:paraId="708D926E" w14:textId="77777777" w:rsidTr="000059B8">
        <w:tc>
          <w:tcPr>
            <w:tcW w:w="1129" w:type="dxa"/>
            <w:tcBorders>
              <w:top w:val="single" w:sz="4" w:space="0" w:color="auto"/>
              <w:left w:val="single" w:sz="4" w:space="0" w:color="auto"/>
              <w:bottom w:val="single" w:sz="4" w:space="0" w:color="auto"/>
              <w:right w:val="single" w:sz="4" w:space="0" w:color="auto"/>
            </w:tcBorders>
          </w:tcPr>
          <w:p w14:paraId="0C0AAF09"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030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904B894"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SA exposure classes excluding securitisation positions</w:t>
            </w:r>
          </w:p>
          <w:p w14:paraId="10E9B33B" w14:textId="4792A7E7" w:rsidR="00DD58BA" w:rsidRPr="00BF08E5" w:rsidRDefault="00B4613E"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 xml:space="preserve">CR SA template at the level of total exposures. The SA exposure classes are those </w:t>
            </w:r>
            <w:r w:rsidRPr="00BF08E5">
              <w:rPr>
                <w:rStyle w:val="InstructionsTabelleberschrift"/>
                <w:rFonts w:ascii="Times New Roman" w:hAnsi="Times New Roman"/>
                <w:b w:val="0"/>
                <w:sz w:val="24"/>
                <w:u w:val="none"/>
              </w:rPr>
              <w:t>mentioned</w:t>
            </w:r>
            <w:r w:rsidRPr="00BF08E5">
              <w:rPr>
                <w:rStyle w:val="FormatvorlageInstructionsTabelleText"/>
                <w:rFonts w:ascii="Times New Roman" w:hAnsi="Times New Roman"/>
                <w:sz w:val="24"/>
              </w:rPr>
              <w:t xml:space="preserve"> in Article 112 </w:t>
            </w:r>
            <w:r w:rsidRPr="000059B8">
              <w:rPr>
                <w:rFonts w:ascii="Times New Roman" w:hAnsi="Times New Roman"/>
                <w:sz w:val="24"/>
                <w:lang w:val="en-US"/>
              </w:rPr>
              <w:t>of Regulation (EU) No 575/2013</w:t>
            </w:r>
            <w:r w:rsidRPr="00BF08E5">
              <w:rPr>
                <w:rStyle w:val="FormatvorlageInstructionsTabelleText"/>
                <w:rFonts w:ascii="Times New Roman" w:hAnsi="Times New Roman"/>
                <w:sz w:val="24"/>
              </w:rPr>
              <w:t>, excluding securitisation positions.</w:t>
            </w:r>
          </w:p>
        </w:tc>
      </w:tr>
      <w:tr w:rsidR="00DD58BA" w:rsidRPr="000059B8" w14:paraId="69132E71" w14:textId="77777777" w:rsidTr="000059B8">
        <w:tc>
          <w:tcPr>
            <w:tcW w:w="1129" w:type="dxa"/>
            <w:tcBorders>
              <w:top w:val="single" w:sz="4" w:space="0" w:color="auto"/>
              <w:left w:val="single" w:sz="4" w:space="0" w:color="auto"/>
              <w:bottom w:val="single" w:sz="4" w:space="0" w:color="auto"/>
              <w:right w:val="single" w:sz="4" w:space="0" w:color="auto"/>
            </w:tcBorders>
          </w:tcPr>
          <w:p w14:paraId="0237886A"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040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9BCBE4A"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Central governments or central banks</w:t>
            </w:r>
          </w:p>
          <w:p w14:paraId="27790720" w14:textId="78DCD0CE" w:rsidR="00DD58BA" w:rsidRPr="00BF08E5" w:rsidRDefault="00FD20EE"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4CE3ACE2" w14:textId="77777777" w:rsidTr="000059B8">
        <w:tc>
          <w:tcPr>
            <w:tcW w:w="1129" w:type="dxa"/>
            <w:tcBorders>
              <w:top w:val="single" w:sz="4" w:space="0" w:color="auto"/>
              <w:left w:val="single" w:sz="4" w:space="0" w:color="auto"/>
              <w:bottom w:val="single" w:sz="4" w:space="0" w:color="auto"/>
              <w:right w:val="single" w:sz="4" w:space="0" w:color="auto"/>
            </w:tcBorders>
          </w:tcPr>
          <w:p w14:paraId="1FE99166"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050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39B1C3B"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Regional governments or local authorities</w:t>
            </w:r>
          </w:p>
          <w:p w14:paraId="5E7BC28E" w14:textId="5096E524" w:rsidR="00DD58BA" w:rsidRPr="00BF08E5" w:rsidRDefault="00217E95"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5F586BF9" w14:textId="77777777" w:rsidTr="000059B8">
        <w:tc>
          <w:tcPr>
            <w:tcW w:w="1129" w:type="dxa"/>
            <w:tcBorders>
              <w:top w:val="single" w:sz="4" w:space="0" w:color="auto"/>
              <w:left w:val="single" w:sz="4" w:space="0" w:color="auto"/>
              <w:bottom w:val="single" w:sz="4" w:space="0" w:color="auto"/>
              <w:right w:val="single" w:sz="4" w:space="0" w:color="auto"/>
            </w:tcBorders>
          </w:tcPr>
          <w:p w14:paraId="556C3823"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060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F5B869F"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Public sector entities </w:t>
            </w:r>
          </w:p>
          <w:p w14:paraId="33B26EFB" w14:textId="454847E5" w:rsidR="00DD58BA" w:rsidRPr="00BF08E5" w:rsidRDefault="00217E95"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3DD9A9E1" w14:textId="77777777" w:rsidTr="000059B8">
        <w:tc>
          <w:tcPr>
            <w:tcW w:w="1129" w:type="dxa"/>
            <w:tcBorders>
              <w:top w:val="single" w:sz="4" w:space="0" w:color="auto"/>
              <w:left w:val="single" w:sz="4" w:space="0" w:color="auto"/>
              <w:bottom w:val="single" w:sz="4" w:space="0" w:color="auto"/>
              <w:right w:val="single" w:sz="4" w:space="0" w:color="auto"/>
            </w:tcBorders>
          </w:tcPr>
          <w:p w14:paraId="5E3312A9"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070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7A9832E"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Multilateral Development Banks</w:t>
            </w:r>
          </w:p>
          <w:p w14:paraId="685FCA1D" w14:textId="6D1A7757" w:rsidR="00DD58BA" w:rsidRPr="00BF08E5" w:rsidRDefault="00217E95"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05060BAC" w14:textId="77777777" w:rsidTr="000059B8">
        <w:tc>
          <w:tcPr>
            <w:tcW w:w="1129" w:type="dxa"/>
            <w:tcBorders>
              <w:top w:val="single" w:sz="4" w:space="0" w:color="auto"/>
              <w:left w:val="single" w:sz="4" w:space="0" w:color="auto"/>
              <w:bottom w:val="single" w:sz="4" w:space="0" w:color="auto"/>
              <w:right w:val="single" w:sz="4" w:space="0" w:color="auto"/>
            </w:tcBorders>
          </w:tcPr>
          <w:p w14:paraId="6256F36E"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0080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8CA1753"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International Organisations</w:t>
            </w:r>
          </w:p>
          <w:p w14:paraId="3CC5A2DF" w14:textId="4BED70B1" w:rsidR="00DD58BA" w:rsidRPr="00BF08E5" w:rsidRDefault="00217E95"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10C3F1F4" w14:textId="77777777" w:rsidTr="000059B8">
        <w:tc>
          <w:tcPr>
            <w:tcW w:w="1129" w:type="dxa"/>
            <w:tcBorders>
              <w:top w:val="single" w:sz="4" w:space="0" w:color="auto"/>
              <w:left w:val="single" w:sz="4" w:space="0" w:color="auto"/>
              <w:bottom w:val="single" w:sz="4" w:space="0" w:color="auto"/>
              <w:right w:val="single" w:sz="4" w:space="0" w:color="auto"/>
            </w:tcBorders>
          </w:tcPr>
          <w:p w14:paraId="53FA83F9"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0090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15847E8"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Institutions</w:t>
            </w:r>
          </w:p>
          <w:p w14:paraId="4CA5D407" w14:textId="52CB6047" w:rsidR="00DD58BA" w:rsidRPr="00BF08E5" w:rsidRDefault="007A5EE1"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4CFF03FE" w14:textId="77777777" w:rsidTr="000059B8">
        <w:tc>
          <w:tcPr>
            <w:tcW w:w="1129" w:type="dxa"/>
            <w:tcBorders>
              <w:top w:val="single" w:sz="4" w:space="0" w:color="auto"/>
              <w:left w:val="single" w:sz="4" w:space="0" w:color="auto"/>
              <w:bottom w:val="single" w:sz="4" w:space="0" w:color="auto"/>
              <w:right w:val="single" w:sz="4" w:space="0" w:color="auto"/>
            </w:tcBorders>
          </w:tcPr>
          <w:p w14:paraId="4825D636" w14:textId="7777777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0100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45E96A9" w14:textId="66FF016D"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Corporates </w:t>
            </w:r>
            <w:r w:rsidR="007A5EE1" w:rsidRPr="00BF08E5">
              <w:rPr>
                <w:rStyle w:val="InstructionsTabelleberschrift"/>
                <w:rFonts w:ascii="Times New Roman" w:hAnsi="Times New Roman"/>
                <w:sz w:val="24"/>
              </w:rPr>
              <w:t>–</w:t>
            </w:r>
            <w:r w:rsidRPr="00BF08E5">
              <w:rPr>
                <w:rStyle w:val="InstructionsTabelleberschrift"/>
                <w:rFonts w:ascii="Times New Roman" w:hAnsi="Times New Roman"/>
                <w:sz w:val="24"/>
              </w:rPr>
              <w:t xml:space="preserve"> Other</w:t>
            </w:r>
          </w:p>
          <w:p w14:paraId="6E97B4C6" w14:textId="4809065D" w:rsidR="00DD58BA" w:rsidRPr="00BF08E5" w:rsidRDefault="007A5EE1"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BE2659" w:rsidRPr="000059B8" w14:paraId="10A4D6D8" w14:textId="77777777" w:rsidTr="000059B8">
        <w:tc>
          <w:tcPr>
            <w:tcW w:w="1129" w:type="dxa"/>
            <w:tcBorders>
              <w:top w:val="single" w:sz="4" w:space="0" w:color="auto"/>
              <w:left w:val="single" w:sz="4" w:space="0" w:color="auto"/>
              <w:bottom w:val="single" w:sz="4" w:space="0" w:color="auto"/>
              <w:right w:val="single" w:sz="4" w:space="0" w:color="auto"/>
            </w:tcBorders>
          </w:tcPr>
          <w:p w14:paraId="08540A8F" w14:textId="608B9DE5" w:rsidR="00BE2659" w:rsidRPr="00BF08E5" w:rsidRDefault="009165A7"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300E1CA" w14:textId="77777777" w:rsidR="00BE2659" w:rsidRPr="00660F94" w:rsidRDefault="005232FC" w:rsidP="00E40F04">
            <w:pPr>
              <w:keepNext/>
              <w:spacing w:beforeLines="60" w:before="144" w:afterLines="60" w:after="144"/>
              <w:rPr>
                <w:rStyle w:val="InstructionsTabelleberschrift"/>
                <w:rFonts w:ascii="Times New Roman" w:hAnsi="Times New Roman"/>
                <w:sz w:val="24"/>
                <w:u w:val="none"/>
              </w:rPr>
            </w:pPr>
            <w:r w:rsidRPr="00E01263">
              <w:rPr>
                <w:rStyle w:val="InstructionsTabelleberschrift"/>
                <w:rFonts w:ascii="Times New Roman" w:hAnsi="Times New Roman"/>
                <w:sz w:val="24"/>
                <w:u w:val="none"/>
              </w:rPr>
              <w:t xml:space="preserve"> </w:t>
            </w:r>
            <w:r w:rsidRPr="00E01263">
              <w:rPr>
                <w:rStyle w:val="InstructionsTabelleberschrift"/>
                <w:u w:val="none"/>
              </w:rPr>
              <w:t xml:space="preserve">  </w:t>
            </w:r>
            <w:r w:rsidRPr="00660F94">
              <w:rPr>
                <w:rStyle w:val="InstructionsTabelleberschrift"/>
                <w:rFonts w:ascii="Times New Roman" w:hAnsi="Times New Roman"/>
                <w:sz w:val="24"/>
                <w:u w:val="none"/>
              </w:rPr>
              <w:t>Of which: Purchased receivables</w:t>
            </w:r>
          </w:p>
          <w:p w14:paraId="1B25B531" w14:textId="024958D7" w:rsidR="003B333A" w:rsidRPr="004F4F7B" w:rsidRDefault="00A22433" w:rsidP="00E40F04">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Exposures assigned </w:t>
            </w:r>
            <w:r w:rsidR="00585ED0">
              <w:rPr>
                <w:rStyle w:val="InstructionsTabelleberschrift"/>
                <w:rFonts w:ascii="Times New Roman" w:hAnsi="Times New Roman"/>
                <w:b w:val="0"/>
                <w:bCs w:val="0"/>
                <w:sz w:val="24"/>
                <w:u w:val="none"/>
              </w:rPr>
              <w:t xml:space="preserve">under the IRB approach </w:t>
            </w:r>
            <w:r>
              <w:rPr>
                <w:rStyle w:val="InstructionsTabelleberschrift"/>
                <w:rFonts w:ascii="Times New Roman" w:hAnsi="Times New Roman"/>
                <w:b w:val="0"/>
                <w:bCs w:val="0"/>
                <w:sz w:val="24"/>
                <w:u w:val="none"/>
              </w:rPr>
              <w:t xml:space="preserve">to </w:t>
            </w:r>
            <w:r w:rsidR="00585ED0">
              <w:rPr>
                <w:rStyle w:val="InstructionsTabelleberschrift"/>
                <w:rFonts w:ascii="Times New Roman" w:hAnsi="Times New Roman"/>
                <w:b w:val="0"/>
                <w:bCs w:val="0"/>
                <w:sz w:val="24"/>
                <w:u w:val="none"/>
              </w:rPr>
              <w:t xml:space="preserve">the exposure class ‘Purchased receivables’ pursuant to </w:t>
            </w:r>
            <w:r w:rsidR="00C33A0C">
              <w:rPr>
                <w:rStyle w:val="InstructionsTabelleberschrift"/>
                <w:rFonts w:ascii="Times New Roman" w:hAnsi="Times New Roman"/>
                <w:b w:val="0"/>
                <w:bCs w:val="0"/>
                <w:sz w:val="24"/>
                <w:u w:val="none"/>
              </w:rPr>
              <w:t>Article 147(2), point (c)(iii)</w:t>
            </w:r>
            <w:r w:rsidR="004F4F7B">
              <w:rPr>
                <w:rStyle w:val="InstructionsTabelleberschrift"/>
                <w:rFonts w:ascii="Times New Roman" w:hAnsi="Times New Roman"/>
                <w:b w:val="0"/>
                <w:bCs w:val="0"/>
                <w:sz w:val="24"/>
                <w:u w:val="none"/>
              </w:rPr>
              <w:t xml:space="preserve"> </w:t>
            </w:r>
            <w:r w:rsidR="004F4F7B" w:rsidRPr="000059B8">
              <w:rPr>
                <w:rFonts w:ascii="Times New Roman" w:hAnsi="Times New Roman"/>
                <w:sz w:val="24"/>
                <w:lang w:val="en-US"/>
              </w:rPr>
              <w:t>of Regulation (EU) No 575/2013</w:t>
            </w:r>
            <w:r w:rsidR="004F4F7B">
              <w:rPr>
                <w:rFonts w:ascii="Times New Roman" w:hAnsi="Times New Roman"/>
                <w:sz w:val="24"/>
                <w:lang w:val="en-US"/>
              </w:rPr>
              <w:t>.</w:t>
            </w:r>
          </w:p>
        </w:tc>
      </w:tr>
      <w:tr w:rsidR="00DD58BA" w:rsidRPr="000059B8" w14:paraId="57C4C54E" w14:textId="77777777" w:rsidTr="000059B8">
        <w:tc>
          <w:tcPr>
            <w:tcW w:w="1129" w:type="dxa"/>
            <w:tcBorders>
              <w:top w:val="single" w:sz="4" w:space="0" w:color="auto"/>
              <w:left w:val="single" w:sz="4" w:space="0" w:color="auto"/>
              <w:bottom w:val="single" w:sz="4" w:space="0" w:color="auto"/>
              <w:right w:val="single" w:sz="4" w:space="0" w:color="auto"/>
            </w:tcBorders>
          </w:tcPr>
          <w:p w14:paraId="6E490F0C" w14:textId="116D7AAD"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9165A7">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23B5D91"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Corporates - Specialised Lending</w:t>
            </w:r>
          </w:p>
          <w:p w14:paraId="03D32F28" w14:textId="6A816F32"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4CC5E573" w14:textId="77777777" w:rsidTr="000059B8">
        <w:tc>
          <w:tcPr>
            <w:tcW w:w="1129" w:type="dxa"/>
            <w:tcBorders>
              <w:top w:val="single" w:sz="4" w:space="0" w:color="auto"/>
              <w:left w:val="single" w:sz="4" w:space="0" w:color="auto"/>
              <w:bottom w:val="single" w:sz="4" w:space="0" w:color="auto"/>
              <w:right w:val="single" w:sz="4" w:space="0" w:color="auto"/>
            </w:tcBorders>
          </w:tcPr>
          <w:p w14:paraId="32D22EE2" w14:textId="3D23A9BF"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9165A7">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0C13228"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Retail</w:t>
            </w:r>
          </w:p>
          <w:p w14:paraId="445D5D02" w14:textId="2EADF901"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BD7419" w:rsidRPr="000059B8" w14:paraId="545CD86C" w14:textId="77777777" w:rsidTr="000059B8">
        <w:tc>
          <w:tcPr>
            <w:tcW w:w="1129" w:type="dxa"/>
            <w:tcBorders>
              <w:top w:val="single" w:sz="4" w:space="0" w:color="auto"/>
              <w:left w:val="single" w:sz="4" w:space="0" w:color="auto"/>
              <w:bottom w:val="single" w:sz="4" w:space="0" w:color="auto"/>
              <w:right w:val="single" w:sz="4" w:space="0" w:color="auto"/>
            </w:tcBorders>
          </w:tcPr>
          <w:p w14:paraId="761EAB2D" w14:textId="30B39BAE" w:rsidR="00BD7419" w:rsidRPr="00BF08E5" w:rsidRDefault="0027053D"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w:t>
            </w:r>
            <w:r>
              <w:rPr>
                <w:rStyle w:val="InstructionsTabelleText"/>
              </w:rPr>
              <w:t>140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82032F6" w14:textId="77777777" w:rsidR="00BD7419" w:rsidRPr="00660F94" w:rsidRDefault="0027053D" w:rsidP="00E40F04">
            <w:pPr>
              <w:keepNext/>
              <w:spacing w:beforeLines="60" w:before="144" w:afterLines="60" w:after="144"/>
              <w:rPr>
                <w:rStyle w:val="InstructionsTabelleberschrift"/>
                <w:rFonts w:ascii="Times New Roman" w:hAnsi="Times New Roman"/>
                <w:sz w:val="24"/>
                <w:u w:val="none"/>
              </w:rPr>
            </w:pPr>
            <w:r w:rsidRPr="00E01263">
              <w:rPr>
                <w:rStyle w:val="InstructionsTabelleberschrift"/>
                <w:rFonts w:ascii="Times New Roman" w:hAnsi="Times New Roman"/>
                <w:sz w:val="24"/>
                <w:u w:val="none"/>
              </w:rPr>
              <w:t xml:space="preserve"> </w:t>
            </w:r>
            <w:r w:rsidRPr="00E01263">
              <w:rPr>
                <w:rStyle w:val="InstructionsTabelleberschrift"/>
                <w:u w:val="none"/>
              </w:rPr>
              <w:t xml:space="preserve"> </w:t>
            </w:r>
            <w:r w:rsidRPr="00660F94">
              <w:rPr>
                <w:rStyle w:val="InstructionsTabelleberschrift"/>
                <w:rFonts w:ascii="Times New Roman" w:hAnsi="Times New Roman"/>
                <w:sz w:val="24"/>
                <w:u w:val="none"/>
              </w:rPr>
              <w:t>Of which: Qualifying revolving</w:t>
            </w:r>
          </w:p>
          <w:p w14:paraId="1199CD12" w14:textId="3B93F80F" w:rsidR="003229D3" w:rsidRPr="00682248" w:rsidRDefault="003229D3" w:rsidP="00E40F04">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 </w:t>
            </w:r>
            <w:r w:rsidRPr="000059B8">
              <w:rPr>
                <w:rFonts w:ascii="Times New Roman" w:hAnsi="Times New Roman"/>
                <w:sz w:val="24"/>
                <w:lang w:val="en-US"/>
              </w:rPr>
              <w:t>of Regulation (EU) No 575/2013</w:t>
            </w:r>
            <w:r>
              <w:rPr>
                <w:rFonts w:ascii="Times New Roman" w:hAnsi="Times New Roman"/>
                <w:sz w:val="24"/>
                <w:lang w:val="en-US"/>
              </w:rPr>
              <w:t>.</w:t>
            </w:r>
          </w:p>
        </w:tc>
      </w:tr>
      <w:tr w:rsidR="00BD7419" w:rsidRPr="000059B8" w14:paraId="6A4DC90B" w14:textId="77777777" w:rsidTr="000059B8">
        <w:tc>
          <w:tcPr>
            <w:tcW w:w="1129" w:type="dxa"/>
            <w:tcBorders>
              <w:top w:val="single" w:sz="4" w:space="0" w:color="auto"/>
              <w:left w:val="single" w:sz="4" w:space="0" w:color="auto"/>
              <w:bottom w:val="single" w:sz="4" w:space="0" w:color="auto"/>
              <w:right w:val="single" w:sz="4" w:space="0" w:color="auto"/>
            </w:tcBorders>
          </w:tcPr>
          <w:p w14:paraId="0504D74B" w14:textId="54E69D75" w:rsidR="00BD7419" w:rsidRPr="00BF08E5" w:rsidRDefault="0027053D"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150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B7E9785" w14:textId="77777777" w:rsidR="00BD7419" w:rsidRPr="00660F94" w:rsidRDefault="0027053D" w:rsidP="00E40F04">
            <w:pPr>
              <w:keepNext/>
              <w:spacing w:beforeLines="60" w:before="144" w:afterLines="60" w:after="144"/>
              <w:rPr>
                <w:rStyle w:val="InstructionsTabelleberschrift"/>
                <w:rFonts w:ascii="Times New Roman" w:hAnsi="Times New Roman"/>
                <w:sz w:val="24"/>
                <w:u w:val="none"/>
              </w:rPr>
            </w:pPr>
            <w:r w:rsidRPr="00052EE6">
              <w:rPr>
                <w:rStyle w:val="InstructionsTabelleberschrift"/>
                <w:rFonts w:ascii="Times New Roman" w:hAnsi="Times New Roman"/>
                <w:sz w:val="24"/>
                <w:u w:val="none"/>
              </w:rPr>
              <w:t xml:space="preserve"> </w:t>
            </w:r>
            <w:r w:rsidRPr="00660F94">
              <w:rPr>
                <w:rStyle w:val="InstructionsTabelleberschrift"/>
                <w:rFonts w:ascii="Times New Roman" w:hAnsi="Times New Roman"/>
                <w:sz w:val="24"/>
                <w:u w:val="none"/>
              </w:rPr>
              <w:t xml:space="preserve"> Of which: Purchased receivables</w:t>
            </w:r>
          </w:p>
          <w:p w14:paraId="25C3F9AB" w14:textId="48360FCC" w:rsidR="004B58EF" w:rsidRPr="00682248" w:rsidRDefault="004B58EF" w:rsidP="00E40F04">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(d)(iii) </w:t>
            </w:r>
            <w:r w:rsidRPr="000059B8">
              <w:rPr>
                <w:rFonts w:ascii="Times New Roman" w:hAnsi="Times New Roman"/>
                <w:sz w:val="24"/>
                <w:lang w:val="en-US"/>
              </w:rPr>
              <w:t>of Regulation (EU) No 575/2013</w:t>
            </w:r>
            <w:r>
              <w:rPr>
                <w:rFonts w:ascii="Times New Roman" w:hAnsi="Times New Roman"/>
                <w:sz w:val="24"/>
                <w:lang w:val="en-US"/>
              </w:rPr>
              <w:t>.</w:t>
            </w:r>
          </w:p>
        </w:tc>
      </w:tr>
      <w:tr w:rsidR="00DD58BA" w:rsidRPr="000059B8" w14:paraId="7C78E60E" w14:textId="77777777" w:rsidTr="000059B8">
        <w:tc>
          <w:tcPr>
            <w:tcW w:w="1129" w:type="dxa"/>
            <w:tcBorders>
              <w:top w:val="single" w:sz="4" w:space="0" w:color="auto"/>
              <w:left w:val="single" w:sz="4" w:space="0" w:color="auto"/>
              <w:bottom w:val="single" w:sz="4" w:space="0" w:color="auto"/>
              <w:right w:val="single" w:sz="4" w:space="0" w:color="auto"/>
            </w:tcBorders>
          </w:tcPr>
          <w:p w14:paraId="5F0050CE" w14:textId="0258651A"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8B2E48">
              <w:rPr>
                <w:rStyle w:val="InstructionsTabelleText"/>
                <w:rFonts w:ascii="Times New Roman" w:hAnsi="Times New Roman"/>
                <w:sz w:val="24"/>
              </w:rPr>
              <w:t>6</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DE23910"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Secured by mortgages on immovable property and ADC exposures </w:t>
            </w:r>
          </w:p>
          <w:p w14:paraId="2A28DB7C" w14:textId="4AB41312"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8B2E48" w:rsidRPr="000059B8" w14:paraId="02308407" w14:textId="77777777" w:rsidTr="000059B8">
        <w:tc>
          <w:tcPr>
            <w:tcW w:w="1129" w:type="dxa"/>
            <w:tcBorders>
              <w:top w:val="single" w:sz="4" w:space="0" w:color="auto"/>
              <w:left w:val="single" w:sz="4" w:space="0" w:color="auto"/>
              <w:bottom w:val="single" w:sz="4" w:space="0" w:color="auto"/>
              <w:right w:val="single" w:sz="4" w:space="0" w:color="auto"/>
            </w:tcBorders>
          </w:tcPr>
          <w:p w14:paraId="62806E29" w14:textId="035831B4" w:rsidR="008B2E48" w:rsidRPr="00BF08E5" w:rsidRDefault="008B2E48"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170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61D07D5" w14:textId="77777777" w:rsidR="008B2E48" w:rsidRPr="00660F94" w:rsidRDefault="008B2E48" w:rsidP="00E40F04">
            <w:pPr>
              <w:keepNext/>
              <w:spacing w:beforeLines="60" w:before="144" w:afterLines="60" w:after="144"/>
              <w:rPr>
                <w:rStyle w:val="InstructionsTabelleberschrift"/>
                <w:rFonts w:ascii="Times New Roman" w:hAnsi="Times New Roman"/>
                <w:sz w:val="24"/>
                <w:u w:val="none"/>
              </w:rPr>
            </w:pPr>
            <w:r w:rsidRPr="00052EE6">
              <w:rPr>
                <w:rStyle w:val="InstructionsTabelleberschrift"/>
                <w:rFonts w:ascii="Times New Roman" w:hAnsi="Times New Roman"/>
                <w:sz w:val="24"/>
                <w:u w:val="none"/>
              </w:rPr>
              <w:t xml:space="preserve"> </w:t>
            </w:r>
            <w:r w:rsidRPr="00660F94">
              <w:rPr>
                <w:rStyle w:val="InstructionsTabelleberschrift"/>
                <w:rFonts w:ascii="Times New Roman" w:hAnsi="Times New Roman"/>
                <w:sz w:val="24"/>
                <w:u w:val="none"/>
              </w:rPr>
              <w:t xml:space="preserve"> Of which: </w:t>
            </w:r>
            <w:r w:rsidR="00E01263" w:rsidRPr="00660F94">
              <w:rPr>
                <w:rStyle w:val="InstructionsTabelleberschrift"/>
                <w:rFonts w:ascii="Times New Roman" w:hAnsi="Times New Roman"/>
                <w:sz w:val="24"/>
                <w:u w:val="none"/>
              </w:rPr>
              <w:t>Categorised as secured by residential real estate in IRB</w:t>
            </w:r>
          </w:p>
          <w:p w14:paraId="740F189F" w14:textId="6A1A9122" w:rsidR="00F62336" w:rsidRPr="00660F94" w:rsidRDefault="00F62336" w:rsidP="00E40F04">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(d)(ii) </w:t>
            </w:r>
            <w:r w:rsidRPr="000059B8">
              <w:rPr>
                <w:rFonts w:ascii="Times New Roman" w:hAnsi="Times New Roman"/>
                <w:sz w:val="24"/>
                <w:lang w:val="en-US"/>
              </w:rPr>
              <w:t>of Regulation (EU) No 575/2013</w:t>
            </w:r>
            <w:r>
              <w:rPr>
                <w:rFonts w:ascii="Times New Roman" w:hAnsi="Times New Roman"/>
                <w:sz w:val="24"/>
                <w:lang w:val="en-US"/>
              </w:rPr>
              <w:t>.</w:t>
            </w:r>
          </w:p>
        </w:tc>
      </w:tr>
      <w:tr w:rsidR="00DD58BA" w:rsidRPr="000059B8" w14:paraId="1830E88F" w14:textId="77777777" w:rsidTr="000059B8">
        <w:tc>
          <w:tcPr>
            <w:tcW w:w="1129" w:type="dxa"/>
            <w:tcBorders>
              <w:top w:val="single" w:sz="4" w:space="0" w:color="auto"/>
              <w:left w:val="single" w:sz="4" w:space="0" w:color="auto"/>
              <w:bottom w:val="single" w:sz="4" w:space="0" w:color="auto"/>
              <w:right w:val="single" w:sz="4" w:space="0" w:color="auto"/>
            </w:tcBorders>
          </w:tcPr>
          <w:p w14:paraId="451EA843" w14:textId="4F3126B2"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E01263">
              <w:rPr>
                <w:rStyle w:val="InstructionsTabelleText"/>
                <w:rFonts w:ascii="Times New Roman" w:hAnsi="Times New Roman"/>
                <w:sz w:val="24"/>
              </w:rPr>
              <w:t>8</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4EA5548"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Exposures in default </w:t>
            </w:r>
          </w:p>
          <w:p w14:paraId="4429F1E0" w14:textId="4CD66F7E"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0914924D" w14:textId="77777777" w:rsidTr="000059B8">
        <w:tc>
          <w:tcPr>
            <w:tcW w:w="1129" w:type="dxa"/>
            <w:tcBorders>
              <w:top w:val="single" w:sz="4" w:space="0" w:color="auto"/>
              <w:left w:val="single" w:sz="4" w:space="0" w:color="auto"/>
              <w:bottom w:val="single" w:sz="4" w:space="0" w:color="auto"/>
              <w:right w:val="single" w:sz="4" w:space="0" w:color="auto"/>
            </w:tcBorders>
          </w:tcPr>
          <w:p w14:paraId="275662AF" w14:textId="29D34EE3"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009C621C">
              <w:rPr>
                <w:rStyle w:val="InstructionsTabelleText"/>
                <w:rFonts w:ascii="Times New Roman" w:hAnsi="Times New Roman"/>
                <w:sz w:val="24"/>
              </w:rPr>
              <w:t>19</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071F8C1"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Subordinated debt exposures</w:t>
            </w:r>
          </w:p>
          <w:p w14:paraId="381497E9" w14:textId="1F60DEC7"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1EEA156A" w14:textId="77777777" w:rsidTr="000059B8">
        <w:tc>
          <w:tcPr>
            <w:tcW w:w="1129" w:type="dxa"/>
            <w:tcBorders>
              <w:top w:val="single" w:sz="4" w:space="0" w:color="auto"/>
              <w:left w:val="single" w:sz="4" w:space="0" w:color="auto"/>
              <w:bottom w:val="single" w:sz="4" w:space="0" w:color="auto"/>
              <w:right w:val="single" w:sz="4" w:space="0" w:color="auto"/>
            </w:tcBorders>
          </w:tcPr>
          <w:p w14:paraId="753D407A" w14:textId="27960267"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sidR="009C621C">
              <w:rPr>
                <w:rStyle w:val="InstructionsTabelleText"/>
                <w:rFonts w:ascii="Times New Roman" w:hAnsi="Times New Roman"/>
                <w:sz w:val="24"/>
              </w:rPr>
              <w:t>0</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DE495FE"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Covered bonds</w:t>
            </w:r>
          </w:p>
          <w:p w14:paraId="49DF847A" w14:textId="655AE040" w:rsidR="00DD58BA" w:rsidRPr="00BF08E5" w:rsidRDefault="0081259F"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60DF905F" w14:textId="77777777" w:rsidTr="000059B8">
        <w:tc>
          <w:tcPr>
            <w:tcW w:w="1129" w:type="dxa"/>
            <w:tcBorders>
              <w:top w:val="single" w:sz="4" w:space="0" w:color="auto"/>
              <w:left w:val="single" w:sz="4" w:space="0" w:color="auto"/>
              <w:bottom w:val="single" w:sz="4" w:space="0" w:color="auto"/>
              <w:right w:val="single" w:sz="4" w:space="0" w:color="auto"/>
            </w:tcBorders>
          </w:tcPr>
          <w:p w14:paraId="154435DD" w14:textId="0AEA9698"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sidR="009C621C">
              <w:rPr>
                <w:rStyle w:val="InstructionsTabelleText"/>
                <w:rFonts w:ascii="Times New Roman" w:hAnsi="Times New Roman"/>
                <w:sz w:val="24"/>
              </w:rPr>
              <w:t>1</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05B676E"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Claims on institutions and corporates with a short-term credit assessment </w:t>
            </w:r>
          </w:p>
          <w:p w14:paraId="74D31528" w14:textId="7D9BEAFB" w:rsidR="00DD58BA" w:rsidRPr="00BF08E5" w:rsidRDefault="00ED56DA"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1FBAD4A3" w14:textId="77777777" w:rsidTr="000059B8">
        <w:tc>
          <w:tcPr>
            <w:tcW w:w="1129" w:type="dxa"/>
            <w:tcBorders>
              <w:top w:val="single" w:sz="4" w:space="0" w:color="auto"/>
              <w:left w:val="single" w:sz="4" w:space="0" w:color="auto"/>
              <w:bottom w:val="single" w:sz="4" w:space="0" w:color="auto"/>
              <w:right w:val="single" w:sz="4" w:space="0" w:color="auto"/>
            </w:tcBorders>
          </w:tcPr>
          <w:p w14:paraId="7BB27BA1" w14:textId="0FD88AA2"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sidR="009C621C">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8AECEA9"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Collective investments undertakings (CIU)</w:t>
            </w:r>
          </w:p>
          <w:p w14:paraId="093DB7A4" w14:textId="153B25B4" w:rsidR="00DD58BA" w:rsidRPr="00BF08E5" w:rsidRDefault="00ED56DA"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27E5A829" w14:textId="77777777" w:rsidTr="000059B8">
        <w:tc>
          <w:tcPr>
            <w:tcW w:w="1129" w:type="dxa"/>
            <w:tcBorders>
              <w:top w:val="single" w:sz="4" w:space="0" w:color="auto"/>
              <w:left w:val="single" w:sz="4" w:space="0" w:color="auto"/>
              <w:bottom w:val="single" w:sz="4" w:space="0" w:color="auto"/>
              <w:right w:val="single" w:sz="4" w:space="0" w:color="auto"/>
            </w:tcBorders>
          </w:tcPr>
          <w:p w14:paraId="5D7C44AF" w14:textId="2831BB54"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sidR="009C621C">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C86E6D"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Equity</w:t>
            </w:r>
          </w:p>
          <w:p w14:paraId="0363D4C1" w14:textId="164114A8" w:rsidR="00DD58BA" w:rsidRPr="00BF08E5" w:rsidRDefault="00ED56DA"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DD58BA" w:rsidRPr="000059B8" w14:paraId="381B81EB" w14:textId="77777777" w:rsidTr="000059B8">
        <w:tc>
          <w:tcPr>
            <w:tcW w:w="1129" w:type="dxa"/>
            <w:tcBorders>
              <w:top w:val="single" w:sz="4" w:space="0" w:color="auto"/>
              <w:left w:val="single" w:sz="4" w:space="0" w:color="auto"/>
              <w:bottom w:val="single" w:sz="4" w:space="0" w:color="auto"/>
              <w:right w:val="single" w:sz="4" w:space="0" w:color="auto"/>
            </w:tcBorders>
          </w:tcPr>
          <w:p w14:paraId="307101A4" w14:textId="156816B5" w:rsidR="00DD58BA" w:rsidRPr="00BF08E5" w:rsidRDefault="00DD58BA" w:rsidP="00E40F04">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sidR="009C621C">
              <w:rPr>
                <w:rStyle w:val="InstructionsTabelleText"/>
                <w:rFonts w:ascii="Times New Roman" w:hAnsi="Times New Roman"/>
                <w:sz w:val="24"/>
              </w:rPr>
              <w:t>4</w:t>
            </w:r>
            <w:r w:rsidRPr="00BF08E5">
              <w:rPr>
                <w:rStyle w:val="InstructionsTabelleText"/>
                <w:rFonts w:ascii="Times New Roman" w:hAnsi="Times New Roman"/>
                <w:sz w:val="24"/>
              </w:rPr>
              <w:t>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8FD6497" w14:textId="77777777" w:rsidR="00DD58BA" w:rsidRPr="00BF08E5" w:rsidRDefault="00DD58BA" w:rsidP="00E40F04">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Other items</w:t>
            </w:r>
          </w:p>
          <w:p w14:paraId="7A58B4C2" w14:textId="0C08EC38" w:rsidR="00DD58BA" w:rsidRPr="00BF08E5" w:rsidRDefault="00ED56DA" w:rsidP="00E40F04">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A46D8" w:rsidRPr="000059B8" w14:paraId="7412D239" w14:textId="77777777" w:rsidTr="003B499E">
        <w:tc>
          <w:tcPr>
            <w:tcW w:w="9634" w:type="dxa"/>
            <w:gridSpan w:val="2"/>
            <w:tcBorders>
              <w:top w:val="single" w:sz="4" w:space="0" w:color="auto"/>
              <w:left w:val="single" w:sz="4" w:space="0" w:color="auto"/>
              <w:bottom w:val="single" w:sz="4" w:space="0" w:color="auto"/>
              <w:right w:val="single" w:sz="4" w:space="0" w:color="auto"/>
            </w:tcBorders>
          </w:tcPr>
          <w:p w14:paraId="4DA2A7F9" w14:textId="5E71FDA5" w:rsidR="009A46D8" w:rsidRPr="00BF08E5" w:rsidRDefault="009A46D8" w:rsidP="00E40F04">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w:t>
            </w:r>
            <w:r>
              <w:rPr>
                <w:rStyle w:val="InstructionsTabelleberschrift"/>
              </w:rPr>
              <w:t>EMORANDUM ITEMS</w:t>
            </w:r>
          </w:p>
        </w:tc>
      </w:tr>
      <w:tr w:rsidR="009D37EA" w:rsidRPr="000059B8" w14:paraId="09402A18" w14:textId="77777777" w:rsidTr="000059B8">
        <w:tc>
          <w:tcPr>
            <w:tcW w:w="1129" w:type="dxa"/>
            <w:tcBorders>
              <w:top w:val="single" w:sz="4" w:space="0" w:color="auto"/>
              <w:left w:val="single" w:sz="4" w:space="0" w:color="auto"/>
              <w:bottom w:val="single" w:sz="4" w:space="0" w:color="auto"/>
              <w:right w:val="single" w:sz="4" w:space="0" w:color="auto"/>
            </w:tcBorders>
          </w:tcPr>
          <w:p w14:paraId="311A2F4E" w14:textId="2D135F56" w:rsidR="009D37EA" w:rsidRPr="00BF08E5" w:rsidRDefault="009A46D8"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250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D648023" w14:textId="77777777" w:rsidR="009D37EA" w:rsidRDefault="000C348C" w:rsidP="00E40F04">
            <w:pPr>
              <w:keepNext/>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sz w:val="24"/>
                <w:u w:val="none"/>
              </w:rPr>
              <w:t>Corporates – F-IRB</w:t>
            </w:r>
          </w:p>
          <w:p w14:paraId="54959349" w14:textId="663EB5AC" w:rsidR="00552F61" w:rsidRPr="00660F94" w:rsidRDefault="00552F61" w:rsidP="00E40F04">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Expo</w:t>
            </w:r>
            <w:r w:rsidR="00C01311">
              <w:rPr>
                <w:rStyle w:val="InstructionsTabelleberschrift"/>
                <w:rFonts w:ascii="Times New Roman" w:hAnsi="Times New Roman"/>
                <w:b w:val="0"/>
                <w:bCs w:val="0"/>
                <w:sz w:val="24"/>
                <w:u w:val="none"/>
              </w:rPr>
              <w:t>sures to corporates treated under the foundation IRB approac</w:t>
            </w:r>
            <w:r w:rsidR="00CD1325">
              <w:rPr>
                <w:rStyle w:val="InstructionsTabelleberschrift"/>
                <w:rFonts w:ascii="Times New Roman" w:hAnsi="Times New Roman"/>
                <w:b w:val="0"/>
                <w:bCs w:val="0"/>
                <w:sz w:val="24"/>
                <w:u w:val="none"/>
              </w:rPr>
              <w:t>h</w:t>
            </w:r>
          </w:p>
        </w:tc>
      </w:tr>
      <w:tr w:rsidR="009D37EA" w:rsidRPr="000059B8" w14:paraId="10D5BF6C" w14:textId="77777777" w:rsidTr="000059B8">
        <w:tc>
          <w:tcPr>
            <w:tcW w:w="1129" w:type="dxa"/>
            <w:tcBorders>
              <w:top w:val="single" w:sz="4" w:space="0" w:color="auto"/>
              <w:left w:val="single" w:sz="4" w:space="0" w:color="auto"/>
              <w:bottom w:val="single" w:sz="4" w:space="0" w:color="auto"/>
              <w:right w:val="single" w:sz="4" w:space="0" w:color="auto"/>
            </w:tcBorders>
          </w:tcPr>
          <w:p w14:paraId="33FFAF30" w14:textId="71D54434" w:rsidR="009D37EA" w:rsidRPr="00BF08E5" w:rsidRDefault="009A46D8" w:rsidP="00E40F04">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w:t>
            </w:r>
            <w:r>
              <w:rPr>
                <w:rStyle w:val="InstructionsTabelleText"/>
              </w:rPr>
              <w:t>260</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5F9689C" w14:textId="77777777" w:rsidR="009D37EA" w:rsidRDefault="000C348C" w:rsidP="00E40F04">
            <w:pPr>
              <w:keepNext/>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Corporates </w:t>
            </w:r>
            <w:r w:rsidR="00552F61">
              <w:rPr>
                <w:rStyle w:val="InstructionsTabelleberschrift"/>
                <w:rFonts w:ascii="Times New Roman" w:hAnsi="Times New Roman"/>
                <w:sz w:val="24"/>
                <w:u w:val="none"/>
              </w:rPr>
              <w:t>–</w:t>
            </w:r>
            <w:r>
              <w:rPr>
                <w:rStyle w:val="InstructionsTabelleberschrift"/>
                <w:rFonts w:ascii="Times New Roman" w:hAnsi="Times New Roman"/>
                <w:sz w:val="24"/>
                <w:u w:val="none"/>
              </w:rPr>
              <w:t xml:space="preserve"> A</w:t>
            </w:r>
            <w:r w:rsidR="00552F61">
              <w:rPr>
                <w:rStyle w:val="InstructionsTabelleberschrift"/>
                <w:rFonts w:ascii="Times New Roman" w:hAnsi="Times New Roman"/>
                <w:sz w:val="24"/>
                <w:u w:val="none"/>
              </w:rPr>
              <w:t>-IRB</w:t>
            </w:r>
          </w:p>
          <w:p w14:paraId="72F08972" w14:textId="4BFECD4D" w:rsidR="00E373E2" w:rsidRPr="00552F61" w:rsidRDefault="00E373E2" w:rsidP="00E40F04">
            <w:pPr>
              <w:keepNext/>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bCs w:val="0"/>
                <w:sz w:val="24"/>
                <w:u w:val="none"/>
              </w:rPr>
              <w:t>Exposures to corporates treated under the advanced IRB approach</w:t>
            </w:r>
          </w:p>
        </w:tc>
      </w:tr>
    </w:tbl>
    <w:p w14:paraId="041A8F06" w14:textId="27F68286"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8" w:name="_Toc15171442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10.01 and C 10.02 </w:t>
      </w:r>
      <w:r w:rsidR="00C61FF5" w:rsidRPr="002A677E">
        <w:rPr>
          <w:rFonts w:ascii="Times New Roman" w:hAnsi="Times New Roman" w:cs="Times New Roman"/>
          <w:sz w:val="24"/>
          <w:lang w:val="en-GB"/>
        </w:rPr>
        <w:t>– Equity exposures under the internal ratings based approach</w:t>
      </w:r>
      <w:bookmarkEnd w:id="382"/>
      <w:bookmarkEnd w:id="383"/>
      <w:bookmarkEnd w:id="384"/>
      <w:r w:rsidR="009769DE" w:rsidRPr="002A677E">
        <w:rPr>
          <w:rFonts w:ascii="Times New Roman" w:hAnsi="Times New Roman" w:cs="Times New Roman"/>
          <w:sz w:val="24"/>
          <w:lang w:val="en-GB"/>
        </w:rPr>
        <w:t xml:space="preserve"> (CR EQU IRB 1 and CR EQU IRB 2)</w:t>
      </w:r>
      <w:bookmarkEnd w:id="385"/>
      <w:bookmarkEnd w:id="388"/>
    </w:p>
    <w:p w14:paraId="76E91391" w14:textId="7CFD2F01" w:rsidR="00D821E5" w:rsidRPr="002A677E" w:rsidRDefault="0041257B" w:rsidP="00BE08DE">
      <w:pPr>
        <w:pStyle w:val="Instructionsberschrift2"/>
        <w:numPr>
          <w:ilvl w:val="0"/>
          <w:numId w:val="0"/>
        </w:numPr>
        <w:rPr>
          <w:rFonts w:ascii="Times New Roman" w:hAnsi="Times New Roman" w:cs="Times New Roman"/>
          <w:sz w:val="24"/>
          <w:lang w:val="en-GB"/>
        </w:rPr>
      </w:pPr>
      <w:bookmarkStart w:id="389" w:name="_Toc151714428"/>
      <w:r w:rsidRPr="004E10E6">
        <w:rPr>
          <w:rFonts w:ascii="Times New Roman" w:hAnsi="Times New Roman" w:cs="Times New Roman"/>
          <w:sz w:val="24"/>
          <w:lang w:val="en-GB"/>
        </w:rPr>
        <w:t>3.5.1.</w:t>
      </w:r>
      <w:r w:rsidRPr="004E10E6">
        <w:rPr>
          <w:rFonts w:ascii="Times New Roman" w:hAnsi="Times New Roman" w:cs="Times New Roman"/>
          <w:sz w:val="24"/>
          <w:lang w:val="en-GB"/>
        </w:rPr>
        <w:tab/>
      </w:r>
      <w:r w:rsidRPr="00A712E1">
        <w:rPr>
          <w:rFonts w:ascii="Times New Roman" w:hAnsi="Times New Roman" w:cs="Times New Roman"/>
          <w:sz w:val="24"/>
          <w:lang w:val="en-GB"/>
        </w:rPr>
        <w:t>General remarks</w:t>
      </w:r>
      <w:bookmarkEnd w:id="389"/>
    </w:p>
    <w:p w14:paraId="1C02012C" w14:textId="4155D523" w:rsidR="005F1697" w:rsidRPr="002A677E" w:rsidRDefault="005F1697" w:rsidP="00DA09CD">
      <w:pPr>
        <w:pStyle w:val="InstructionsText2"/>
        <w:numPr>
          <w:ilvl w:val="0"/>
          <w:numId w:val="0"/>
        </w:numPr>
        <w:ind w:left="993"/>
      </w:pPr>
      <w:r>
        <w:t>92a. The CR EQU IRB template consists of two templates: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129E6696" w14:textId="38FC86D7" w:rsidR="00C61FF5" w:rsidRPr="002A677E" w:rsidRDefault="008F3052" w:rsidP="00DA09CD">
      <w:pPr>
        <w:pStyle w:val="InstructionsText2"/>
        <w:numPr>
          <w:ilvl w:val="0"/>
          <w:numId w:val="0"/>
        </w:numPr>
        <w:ind w:left="993"/>
      </w:pPr>
      <w:r>
        <w:fldChar w:fldCharType="begin"/>
      </w:r>
      <w:r>
        <w:instrText>seq paragraphs</w:instrText>
      </w:r>
      <w:r>
        <w:fldChar w:fldCharType="separate"/>
      </w:r>
      <w:r w:rsidR="005E3D5A">
        <w:rPr>
          <w:noProof/>
        </w:rPr>
        <w:t>93</w:t>
      </w:r>
      <w:r>
        <w:fldChar w:fldCharType="end"/>
      </w:r>
      <w:r w:rsidR="00125707" w:rsidRPr="002A677E">
        <w:t>.</w:t>
      </w:r>
      <w:r w:rsidR="00125707" w:rsidRPr="002A677E">
        <w:tab/>
      </w:r>
      <w:r w:rsidR="00C61FF5" w:rsidRPr="002A677E">
        <w:t>The CR EQU IRB template provides information on the calculation of risk weighted exposure amounts for credit risk (Article 92(</w:t>
      </w:r>
      <w:r w:rsidR="004A139E">
        <w:t>4</w:t>
      </w:r>
      <w:r w:rsidR="00C61FF5" w:rsidRPr="002A677E">
        <w:t>)</w:t>
      </w:r>
      <w:r w:rsidR="00B83DDE">
        <w:t>, p</w:t>
      </w:r>
      <w:r w:rsidR="00DF4FF2" w:rsidRPr="002A677E">
        <w:t>oint (a)</w:t>
      </w:r>
      <w:r w:rsidR="00CF5957">
        <w:t>,</w:t>
      </w:r>
      <w:r w:rsidR="00DF4FF2" w:rsidRPr="002A677E">
        <w:t xml:space="preserve"> </w:t>
      </w:r>
      <w:r w:rsidR="006B0EEE" w:rsidRPr="001235ED">
        <w:rPr>
          <w:lang w:val="en-US"/>
        </w:rPr>
        <w:t>of Regulation (EU) No 575/2013</w:t>
      </w:r>
      <w:r w:rsidR="00C61FF5" w:rsidRPr="002A677E">
        <w:t xml:space="preserve">) </w:t>
      </w:r>
      <w:r w:rsidR="00BB22D4" w:rsidRPr="002A677E">
        <w:t>in accordance with</w:t>
      </w:r>
      <w:r w:rsidR="00C61FF5" w:rsidRPr="002A677E">
        <w:t xml:space="preserve"> Part Three</w:t>
      </w:r>
      <w:r w:rsidR="006B0EEE" w:rsidRPr="002A677E">
        <w:t>,</w:t>
      </w:r>
      <w:r w:rsidR="00C61FF5" w:rsidRPr="002A677E">
        <w:t xml:space="preserve"> </w:t>
      </w:r>
      <w:r w:rsidR="006B0EEE" w:rsidRPr="002A677E">
        <w:t xml:space="preserve">Title II, Chapter 3 </w:t>
      </w:r>
      <w:r w:rsidR="006B0EEE" w:rsidRPr="001235ED">
        <w:rPr>
          <w:lang w:val="en-US"/>
        </w:rPr>
        <w:t>of Regulation (EU) No 575/2013</w:t>
      </w:r>
      <w:r w:rsidR="00C61FF5" w:rsidRPr="002A677E">
        <w:t xml:space="preserve"> for equity exposures </w:t>
      </w:r>
      <w:r w:rsidR="002C4D74" w:rsidRPr="002A677E">
        <w:t xml:space="preserve">as </w:t>
      </w:r>
      <w:r w:rsidR="00C61FF5" w:rsidRPr="002A677E">
        <w:t xml:space="preserve">referred to in </w:t>
      </w:r>
      <w:r w:rsidR="00705025" w:rsidRPr="002A677E">
        <w:t xml:space="preserve">of </w:t>
      </w:r>
      <w:r w:rsidR="00C61FF5" w:rsidRPr="002A677E">
        <w:t>Article 147(2)</w:t>
      </w:r>
      <w:r w:rsidR="00B83DDE">
        <w:t>, p</w:t>
      </w:r>
      <w:r w:rsidR="00DF4FF2" w:rsidRPr="002A677E">
        <w:t>oint (e)</w:t>
      </w:r>
      <w:r w:rsidR="00BE1277">
        <w:t>,</w:t>
      </w:r>
      <w:r w:rsidR="00DF4FF2" w:rsidRPr="002A677E">
        <w:t xml:space="preserve"> </w:t>
      </w:r>
      <w:r w:rsidR="006B0EEE" w:rsidRPr="001235ED">
        <w:rPr>
          <w:lang w:val="en-US"/>
        </w:rPr>
        <w:t>of that Regulation</w:t>
      </w:r>
      <w:r w:rsidR="00C61FF5" w:rsidRPr="002A677E">
        <w:t>.</w:t>
      </w:r>
    </w:p>
    <w:p w14:paraId="61D24B1A" w14:textId="4ACDB65A" w:rsidR="00C61FF5" w:rsidRPr="002A677E" w:rsidRDefault="008F3052" w:rsidP="00DA09CD">
      <w:pPr>
        <w:pStyle w:val="InstructionsText2"/>
        <w:numPr>
          <w:ilvl w:val="0"/>
          <w:numId w:val="0"/>
        </w:numPr>
        <w:ind w:left="993"/>
      </w:pPr>
      <w:r>
        <w:fldChar w:fldCharType="begin"/>
      </w:r>
      <w:r>
        <w:instrText>seq paragraphs</w:instrText>
      </w:r>
      <w:r>
        <w:fldChar w:fldCharType="separate"/>
      </w:r>
      <w:r w:rsidR="005E3D5A">
        <w:rPr>
          <w:noProof/>
        </w:rPr>
        <w:t>94</w:t>
      </w:r>
      <w:r>
        <w:fldChar w:fldCharType="end"/>
      </w:r>
      <w:r w:rsidR="00125707" w:rsidRPr="002A677E">
        <w:t>.</w:t>
      </w:r>
      <w:r w:rsidR="00125707" w:rsidRPr="002A677E">
        <w:tab/>
      </w:r>
      <w:r w:rsidR="00BB22D4" w:rsidRPr="002A677E">
        <w:t>In accordance with</w:t>
      </w:r>
      <w:r w:rsidR="00C61FF5" w:rsidRPr="002A677E">
        <w:t xml:space="preserve"> Article 147(6) </w:t>
      </w:r>
      <w:r w:rsidR="00FD2AE8" w:rsidRPr="001235ED">
        <w:rPr>
          <w:lang w:val="en-US"/>
        </w:rPr>
        <w:t>of Regulation (EU) No 575/2013</w:t>
      </w:r>
      <w:r w:rsidR="00C61FF5" w:rsidRPr="002A677E">
        <w:t>, the following exposures shall be assigned to the</w:t>
      </w:r>
      <w:r w:rsidR="00730040" w:rsidRPr="002A677E">
        <w:t xml:space="preserve"> </w:t>
      </w:r>
      <w:r w:rsidR="00C61FF5" w:rsidRPr="002A677E">
        <w:t>equity exposure class:</w:t>
      </w:r>
    </w:p>
    <w:p w14:paraId="5B9810A4" w14:textId="77777777" w:rsidR="00C61FF5" w:rsidRPr="002A677E" w:rsidRDefault="00125707" w:rsidP="00DA09CD">
      <w:pPr>
        <w:pStyle w:val="InstructionsText2"/>
        <w:numPr>
          <w:ilvl w:val="0"/>
          <w:numId w:val="0"/>
        </w:numPr>
        <w:ind w:left="993"/>
      </w:pPr>
      <w:r w:rsidRPr="002A677E">
        <w:t>(a)</w:t>
      </w:r>
      <w:r w:rsidRPr="002A677E">
        <w:tab/>
      </w:r>
      <w:r w:rsidR="00C61FF5" w:rsidRPr="002A677E">
        <w:t>non-debt exposures conveying a subordinated, residual claim on the assets or income of the issuer;</w:t>
      </w:r>
    </w:p>
    <w:p w14:paraId="73C34881" w14:textId="3555FA5A" w:rsidR="00C61FF5" w:rsidRPr="002A677E" w:rsidRDefault="00125707" w:rsidP="00DA09CD">
      <w:pPr>
        <w:pStyle w:val="InstructionsText2"/>
        <w:numPr>
          <w:ilvl w:val="0"/>
          <w:numId w:val="0"/>
        </w:numPr>
        <w:ind w:left="993"/>
      </w:pPr>
      <w:r w:rsidRPr="002A677E">
        <w:t>(b)</w:t>
      </w:r>
      <w:r w:rsidRPr="002A677E">
        <w:tab/>
      </w:r>
      <w:r w:rsidR="00C61FF5" w:rsidRPr="002A677E">
        <w:t>debt exposures and other securities</w:t>
      </w:r>
      <w:r w:rsidR="00B83DDE">
        <w:t>, p</w:t>
      </w:r>
      <w:r w:rsidR="00C61FF5" w:rsidRPr="002A677E">
        <w:t>artnerships, derivatives, or other vehicles, the economic substance of which is similar to the exposures specified in point (a).</w:t>
      </w:r>
    </w:p>
    <w:p w14:paraId="25C17068" w14:textId="50D98924" w:rsidR="00C61FF5" w:rsidRPr="002A677E" w:rsidRDefault="008F3052" w:rsidP="00DA09CD">
      <w:pPr>
        <w:pStyle w:val="InstructionsText2"/>
        <w:numPr>
          <w:ilvl w:val="0"/>
          <w:numId w:val="0"/>
        </w:numPr>
        <w:ind w:left="993"/>
      </w:pPr>
      <w:r>
        <w:fldChar w:fldCharType="begin"/>
      </w:r>
      <w:r>
        <w:instrText>seq paragraphs</w:instrText>
      </w:r>
      <w:r>
        <w:fldChar w:fldCharType="separate"/>
      </w:r>
      <w:r w:rsidR="005E3D5A">
        <w:rPr>
          <w:noProof/>
        </w:rPr>
        <w:t>95</w:t>
      </w:r>
      <w:r>
        <w:fldChar w:fldCharType="end"/>
      </w:r>
      <w:r w:rsidR="00125707" w:rsidRPr="002A677E">
        <w:t>.</w:t>
      </w:r>
      <w:r w:rsidR="00125707" w:rsidRPr="002A677E">
        <w:tab/>
      </w:r>
      <w:r w:rsidR="00C61FF5" w:rsidRPr="002A677E">
        <w:t xml:space="preserve">Collective investment undertakings treated </w:t>
      </w:r>
      <w:r w:rsidR="00BB22D4" w:rsidRPr="002A677E">
        <w:t>in accordance with</w:t>
      </w:r>
      <w:r w:rsidR="00C61FF5" w:rsidRPr="002A677E">
        <w:t xml:space="preserve"> the simple risk weight approach as referred to in Article 152</w:t>
      </w:r>
      <w:r w:rsidR="005C7A65">
        <w:t>(4)</w:t>
      </w:r>
      <w:r w:rsidR="000763E0">
        <w:t>, point (a)</w:t>
      </w:r>
      <w:r w:rsidR="00CF5957">
        <w:t>,</w:t>
      </w:r>
      <w:r w:rsidR="00C61FF5" w:rsidRPr="002A677E">
        <w:t xml:space="preserve"> </w:t>
      </w:r>
      <w:r w:rsidR="00FD2AE8" w:rsidRPr="001235ED">
        <w:rPr>
          <w:lang w:val="en-US"/>
        </w:rPr>
        <w:t>of Regulation (EU) No 575/2013</w:t>
      </w:r>
      <w:r w:rsidR="00C61FF5" w:rsidRPr="002A677E">
        <w:t xml:space="preserve"> </w:t>
      </w:r>
      <w:r w:rsidR="005C7A65">
        <w:t xml:space="preserve">or treated in accordcnace with the fall-back approach of Article 152(6) of that Regulation </w:t>
      </w:r>
      <w:r w:rsidR="00C61FF5" w:rsidRPr="002A677E">
        <w:t>shall also be reported in the CR EQU IRB template.</w:t>
      </w:r>
    </w:p>
    <w:p w14:paraId="0901FCDB" w14:textId="446EF9E0" w:rsidR="00C61FF5" w:rsidRPr="002A677E" w:rsidRDefault="008F3052" w:rsidP="00DA09CD">
      <w:pPr>
        <w:pStyle w:val="InstructionsText2"/>
        <w:numPr>
          <w:ilvl w:val="0"/>
          <w:numId w:val="0"/>
        </w:numPr>
        <w:ind w:left="993"/>
      </w:pPr>
      <w:r>
        <w:fldChar w:fldCharType="begin"/>
      </w:r>
      <w:r>
        <w:instrText>seq paragraphs</w:instrText>
      </w:r>
      <w:r>
        <w:fldChar w:fldCharType="separate"/>
      </w:r>
      <w:r w:rsidR="005E3D5A">
        <w:rPr>
          <w:noProof/>
        </w:rPr>
        <w:t>96</w:t>
      </w:r>
      <w:r>
        <w:fldChar w:fldCharType="end"/>
      </w:r>
      <w:r w:rsidR="00125707" w:rsidRPr="002A677E">
        <w:t>.</w:t>
      </w:r>
      <w:r w:rsidR="00125707" w:rsidRPr="002A677E">
        <w:tab/>
      </w:r>
      <w:r w:rsidR="00C61FF5" w:rsidRPr="002A677E">
        <w:t xml:space="preserve">In accordance with Article 151(1) </w:t>
      </w:r>
      <w:r w:rsidR="00FD2AE8" w:rsidRPr="001235ED">
        <w:rPr>
          <w:lang w:val="en-US"/>
        </w:rPr>
        <w:t>of Regulation (EU) No 575/2013</w:t>
      </w:r>
      <w:r w:rsidR="00C61FF5" w:rsidRPr="002A677E">
        <w:t xml:space="preserve">, institutions shall provide the CR EQU IRB template when applying one of the three approaches referred to in Article 155 </w:t>
      </w:r>
      <w:r w:rsidR="00FD2AE8" w:rsidRPr="001235ED">
        <w:rPr>
          <w:lang w:val="en-US"/>
        </w:rPr>
        <w:t>of Regulation (EU) No 575/2013</w:t>
      </w:r>
      <w:r w:rsidR="00C61FF5" w:rsidRPr="002A677E">
        <w:t xml:space="preserve">: </w:t>
      </w:r>
    </w:p>
    <w:p w14:paraId="2C4E2471" w14:textId="77777777" w:rsidR="00C61FF5" w:rsidRPr="002A677E" w:rsidRDefault="00C61FF5" w:rsidP="00B055FF">
      <w:pPr>
        <w:pStyle w:val="InstructionsText"/>
      </w:pPr>
      <w:r w:rsidRPr="002A677E">
        <w:t>- the Simple Risk Weight approach</w:t>
      </w:r>
      <w:r w:rsidR="002C4D74" w:rsidRPr="002A677E">
        <w:t>;</w:t>
      </w:r>
    </w:p>
    <w:p w14:paraId="4CD8D672" w14:textId="77777777" w:rsidR="00C61FF5" w:rsidRPr="002A677E" w:rsidRDefault="00C61FF5" w:rsidP="00B055FF">
      <w:pPr>
        <w:pStyle w:val="InstructionsText"/>
      </w:pPr>
      <w:r w:rsidRPr="002A677E">
        <w:t>- the PD/LGD approach</w:t>
      </w:r>
      <w:r w:rsidR="002C4D74" w:rsidRPr="002A677E">
        <w:t>;</w:t>
      </w:r>
    </w:p>
    <w:p w14:paraId="35A7B39F" w14:textId="5F994C21" w:rsidR="00C61FF5" w:rsidRDefault="00C61FF5" w:rsidP="00B055FF">
      <w:pPr>
        <w:pStyle w:val="InstructionsText"/>
      </w:pPr>
      <w:r w:rsidRPr="002A677E">
        <w:t>- the Internal Models approach.</w:t>
      </w:r>
    </w:p>
    <w:p w14:paraId="170A8607" w14:textId="1E36CA6D" w:rsidR="00BB1DFE" w:rsidRPr="002A677E" w:rsidRDefault="00B055FF" w:rsidP="00660F94">
      <w:pPr>
        <w:pStyle w:val="InstructionsText2"/>
        <w:numPr>
          <w:ilvl w:val="0"/>
          <w:numId w:val="0"/>
        </w:numPr>
        <w:ind w:left="993"/>
        <w:rPr>
          <w:noProof/>
        </w:rPr>
      </w:pPr>
      <w:r>
        <w:rPr>
          <w:noProof/>
        </w:rPr>
        <w:fldChar w:fldCharType="begin"/>
      </w:r>
      <w:r>
        <w:rPr>
          <w:noProof/>
        </w:rPr>
        <w:instrText xml:space="preserve"> </w:instrText>
      </w:r>
      <w:r w:rsidR="00DA09CD">
        <w:rPr>
          <w:noProof/>
        </w:rPr>
        <w:instrText>seq paragraphs</w:instrText>
      </w:r>
      <w:r>
        <w:rPr>
          <w:noProof/>
        </w:rPr>
        <w:instrText xml:space="preserve"> </w:instrText>
      </w:r>
      <w:r>
        <w:rPr>
          <w:noProof/>
        </w:rPr>
        <w:fldChar w:fldCharType="separate"/>
      </w:r>
      <w:r w:rsidR="005E3D5A">
        <w:rPr>
          <w:noProof/>
        </w:rPr>
        <w:t>97</w:t>
      </w:r>
      <w:r>
        <w:rPr>
          <w:noProof/>
        </w:rPr>
        <w:fldChar w:fldCharType="end"/>
      </w:r>
      <w:r w:rsidR="00DA09CD">
        <w:rPr>
          <w:noProof/>
        </w:rPr>
        <w:t xml:space="preserve">. </w:t>
      </w:r>
      <w:r w:rsidR="00084388" w:rsidRPr="002A677E">
        <w:tab/>
      </w:r>
      <w:r w:rsidR="00084388" w:rsidRPr="002A677E">
        <w:tab/>
      </w:r>
      <w:r w:rsidR="00BB1DFE" w:rsidRPr="002A677E">
        <w:rPr>
          <w:noProof/>
        </w:rPr>
        <w:t xml:space="preserve">In accordance with Article 155 </w:t>
      </w:r>
      <w:r w:rsidR="00BB1DFE" w:rsidRPr="00660F94">
        <w:rPr>
          <w:noProof/>
        </w:rPr>
        <w:t>of Regulation (EU) No 575/2013</w:t>
      </w:r>
      <w:r w:rsidR="00BB1DFE" w:rsidRPr="002A677E">
        <w:rPr>
          <w:noProof/>
        </w:rPr>
        <w:t>, institutions may employ different approaches (Simple Risk Weight approach, PD/LGD approach or Internal Models approach) to different portfolios when they use these different approaches internally.</w:t>
      </w:r>
    </w:p>
    <w:p w14:paraId="7DA2BD4A" w14:textId="321A4D3D" w:rsidR="00C61FF5" w:rsidRPr="002A677E" w:rsidRDefault="005E3D5A" w:rsidP="00660F94">
      <w:pPr>
        <w:pStyle w:val="InstructionsText2"/>
        <w:numPr>
          <w:ilvl w:val="0"/>
          <w:numId w:val="0"/>
        </w:numPr>
        <w:ind w:left="993"/>
        <w:rPr>
          <w:noProof/>
        </w:rPr>
      </w:pPr>
      <w:r>
        <w:rPr>
          <w:noProof/>
        </w:rPr>
        <w:fldChar w:fldCharType="begin"/>
      </w:r>
      <w:r>
        <w:rPr>
          <w:noProof/>
        </w:rPr>
        <w:instrText xml:space="preserve"> seq paragraphs </w:instrText>
      </w:r>
      <w:r>
        <w:rPr>
          <w:noProof/>
        </w:rPr>
        <w:fldChar w:fldCharType="separate"/>
      </w:r>
      <w:r>
        <w:rPr>
          <w:noProof/>
        </w:rPr>
        <w:t>98</w:t>
      </w:r>
      <w:r>
        <w:rPr>
          <w:noProof/>
        </w:rPr>
        <w:fldChar w:fldCharType="end"/>
      </w:r>
      <w:r w:rsidR="00084388">
        <w:rPr>
          <w:noProof/>
        </w:rPr>
        <w:t xml:space="preserve">. </w:t>
      </w:r>
      <w:r w:rsidR="00084388" w:rsidRPr="002A677E">
        <w:tab/>
      </w:r>
      <w:r w:rsidR="00084388" w:rsidRPr="002A677E">
        <w:tab/>
      </w:r>
      <w:r w:rsidR="00C61FF5" w:rsidRPr="002A677E">
        <w:rPr>
          <w:noProof/>
        </w:rPr>
        <w:t xml:space="preserve">Moreover, institutions applying the </w:t>
      </w:r>
      <w:r w:rsidR="008241B9" w:rsidRPr="002A677E">
        <w:rPr>
          <w:noProof/>
        </w:rPr>
        <w:t xml:space="preserve">IRB </w:t>
      </w:r>
      <w:r w:rsidR="009A4399" w:rsidRPr="002A677E">
        <w:rPr>
          <w:noProof/>
        </w:rPr>
        <w:t xml:space="preserve">approach </w:t>
      </w:r>
      <w:r w:rsidR="00C61FF5" w:rsidRPr="002A677E">
        <w:rPr>
          <w:noProof/>
        </w:rPr>
        <w:t>shall also report in the CR EQU IRB template risk</w:t>
      </w:r>
      <w:r w:rsidR="00D82B60" w:rsidRPr="002A677E">
        <w:rPr>
          <w:noProof/>
        </w:rPr>
        <w:t>-</w:t>
      </w:r>
      <w:r w:rsidR="00C61FF5" w:rsidRPr="002A677E">
        <w:rPr>
          <w:noProof/>
        </w:rPr>
        <w:t xml:space="preserve">weighted exposure amounts for those equity exposures </w:t>
      </w:r>
      <w:r w:rsidR="00C61FF5" w:rsidRPr="002A677E">
        <w:rPr>
          <w:noProof/>
        </w:rPr>
        <w:lastRenderedPageBreak/>
        <w:t>which attract a fixed risk</w:t>
      </w:r>
      <w:r w:rsidR="00D82B60" w:rsidRPr="002A677E">
        <w:rPr>
          <w:noProof/>
        </w:rPr>
        <w:t>-</w:t>
      </w:r>
      <w:r w:rsidR="00C61FF5" w:rsidRPr="002A677E">
        <w:rPr>
          <w:noProof/>
        </w:rPr>
        <w:t xml:space="preserve">weight treatment (without however being explicitly treated </w:t>
      </w:r>
      <w:r w:rsidR="00BB22D4" w:rsidRPr="002A677E">
        <w:rPr>
          <w:noProof/>
        </w:rPr>
        <w:t>in accordance with</w:t>
      </w:r>
      <w:r w:rsidR="00C61FF5" w:rsidRPr="002A677E">
        <w:rPr>
          <w:noProof/>
        </w:rPr>
        <w:t xml:space="preserve"> the Simple Risk Weight approach or the (temporary or permanent) partial use of the </w:t>
      </w:r>
      <w:r w:rsidR="00CA21CA" w:rsidRPr="002A677E">
        <w:rPr>
          <w:noProof/>
        </w:rPr>
        <w:t xml:space="preserve">Standardised </w:t>
      </w:r>
      <w:r w:rsidR="009A4399" w:rsidRPr="002A677E">
        <w:rPr>
          <w:noProof/>
        </w:rPr>
        <w:t xml:space="preserve">approach </w:t>
      </w:r>
      <w:r w:rsidR="007745EB" w:rsidRPr="002A677E">
        <w:rPr>
          <w:noProof/>
        </w:rPr>
        <w:t xml:space="preserve">for credit risk), </w:t>
      </w:r>
      <w:r w:rsidR="00C61FF5" w:rsidRPr="002A677E">
        <w:rPr>
          <w:noProof/>
        </w:rPr>
        <w:t>e.g. equity exposures attracting a risk</w:t>
      </w:r>
      <w:r w:rsidR="00D82B60" w:rsidRPr="002A677E">
        <w:rPr>
          <w:noProof/>
        </w:rPr>
        <w:t>-</w:t>
      </w:r>
      <w:r w:rsidR="00C61FF5" w:rsidRPr="002A677E">
        <w:rPr>
          <w:noProof/>
        </w:rPr>
        <w:t>weight of 250</w:t>
      </w:r>
      <w:r w:rsidR="00B856D5">
        <w:rPr>
          <w:noProof/>
        </w:rPr>
        <w:t> </w:t>
      </w:r>
      <w:r w:rsidR="00C61FF5" w:rsidRPr="002A677E">
        <w:rPr>
          <w:noProof/>
        </w:rPr>
        <w:t xml:space="preserve">% in accordance with Article 48(4) </w:t>
      </w:r>
      <w:r w:rsidR="00FD2AE8" w:rsidRPr="00660F94">
        <w:rPr>
          <w:noProof/>
        </w:rPr>
        <w:t>of Regulation (EU) No 575/2013</w:t>
      </w:r>
      <w:r w:rsidR="00C61FF5" w:rsidRPr="002A677E">
        <w:rPr>
          <w:noProof/>
        </w:rPr>
        <w:t>, respectively a risk</w:t>
      </w:r>
      <w:r w:rsidR="00D82B60" w:rsidRPr="002A677E">
        <w:rPr>
          <w:noProof/>
        </w:rPr>
        <w:t>-</w:t>
      </w:r>
      <w:r w:rsidR="00C61FF5" w:rsidRPr="002A677E">
        <w:rPr>
          <w:noProof/>
        </w:rPr>
        <w:t>weight of 370</w:t>
      </w:r>
      <w:r w:rsidR="00B856D5">
        <w:rPr>
          <w:noProof/>
        </w:rPr>
        <w:t> </w:t>
      </w:r>
      <w:r w:rsidR="00C61FF5" w:rsidRPr="002A677E">
        <w:rPr>
          <w:noProof/>
        </w:rPr>
        <w:t xml:space="preserve">% in accordance with Article 471(2) </w:t>
      </w:r>
      <w:r w:rsidR="00FD2AE8" w:rsidRPr="002A677E">
        <w:rPr>
          <w:noProof/>
        </w:rPr>
        <w:t>of the Regulation</w:t>
      </w:r>
      <w:r w:rsidR="00C61FF5" w:rsidRPr="002A677E">
        <w:rPr>
          <w:noProof/>
        </w:rPr>
        <w:t>.</w:t>
      </w:r>
    </w:p>
    <w:p w14:paraId="6744BA9D" w14:textId="7074F15F" w:rsidR="00C61FF5" w:rsidRPr="002A677E" w:rsidRDefault="008F3052" w:rsidP="00DA09CD">
      <w:pPr>
        <w:pStyle w:val="InstructionsText2"/>
        <w:numPr>
          <w:ilvl w:val="0"/>
          <w:numId w:val="0"/>
        </w:numPr>
        <w:ind w:left="993"/>
      </w:pPr>
      <w:r>
        <w:fldChar w:fldCharType="begin"/>
      </w:r>
      <w:r>
        <w:instrText>seq paragraphs</w:instrText>
      </w:r>
      <w:r>
        <w:fldChar w:fldCharType="separate"/>
      </w:r>
      <w:r w:rsidR="005E3D5A">
        <w:rPr>
          <w:noProof/>
        </w:rPr>
        <w:t>99</w:t>
      </w:r>
      <w:r>
        <w:fldChar w:fldCharType="end"/>
      </w:r>
      <w:r w:rsidR="00125707" w:rsidRPr="002A677E">
        <w:t>.</w:t>
      </w:r>
      <w:r w:rsidR="00125707" w:rsidRPr="002A677E">
        <w:tab/>
      </w:r>
      <w:r w:rsidR="00C61FF5" w:rsidRPr="002A677E">
        <w:t>The following equity claims shall not be reported in the CR EQU IRB template:</w:t>
      </w:r>
    </w:p>
    <w:p w14:paraId="52B80741" w14:textId="295CAC5C" w:rsidR="00C61FF5" w:rsidRPr="002A677E" w:rsidRDefault="00C61FF5" w:rsidP="00B055FF">
      <w:pPr>
        <w:pStyle w:val="InstructionsText"/>
      </w:pPr>
      <w:r w:rsidRPr="002A677E">
        <w:t xml:space="preserve">- Equity exposures in the trading book (where institutions are not exempted from calculating own funds requirements for trading book positions </w:t>
      </w:r>
      <w:r w:rsidR="002C4D74" w:rsidRPr="002A677E">
        <w:t>(</w:t>
      </w:r>
      <w:r w:rsidRPr="002A677E">
        <w:t xml:space="preserve">Article 94 </w:t>
      </w:r>
      <w:r w:rsidR="00FD2AE8" w:rsidRPr="001235ED">
        <w:rPr>
          <w:lang w:val="en-US"/>
        </w:rPr>
        <w:t>of Regulation (EU) No 575/2013</w:t>
      </w:r>
      <w:r w:rsidR="002C4D74" w:rsidRPr="002A677E">
        <w:t>)</w:t>
      </w:r>
      <w:r w:rsidRPr="002A677E">
        <w:t xml:space="preserve">). </w:t>
      </w:r>
    </w:p>
    <w:p w14:paraId="78FB29DE" w14:textId="634D0482" w:rsidR="00C61FF5" w:rsidRPr="002A677E" w:rsidRDefault="00C61FF5" w:rsidP="00B055FF">
      <w:pPr>
        <w:pStyle w:val="InstructionsText"/>
      </w:pPr>
      <w:r w:rsidRPr="002A677E">
        <w:t xml:space="preserve">- Equity exposures subject to the partial use of the </w:t>
      </w:r>
      <w:r w:rsidR="00CA21CA" w:rsidRPr="002A677E">
        <w:t xml:space="preserve">Standardised </w:t>
      </w:r>
      <w:r w:rsidR="009A4399" w:rsidRPr="002A677E">
        <w:t xml:space="preserve">approach </w:t>
      </w:r>
      <w:r w:rsidRPr="002A677E">
        <w:t xml:space="preserve">(Article 150 </w:t>
      </w:r>
      <w:r w:rsidR="00FD2AE8" w:rsidRPr="001235ED">
        <w:rPr>
          <w:lang w:val="en-US"/>
        </w:rPr>
        <w:t>of Regulation (EU) No 575/2013</w:t>
      </w:r>
      <w:r w:rsidRPr="002A677E">
        <w:t>), including:</w:t>
      </w:r>
    </w:p>
    <w:p w14:paraId="56822102" w14:textId="1CB2ED2F" w:rsidR="00C61FF5" w:rsidRPr="002A677E" w:rsidRDefault="00C61FF5" w:rsidP="00B055FF">
      <w:pPr>
        <w:pStyle w:val="InstructionsText"/>
      </w:pPr>
      <w:r w:rsidRPr="002A677E">
        <w:t xml:space="preserve">- </w:t>
      </w:r>
      <w:r w:rsidR="002C4D74" w:rsidRPr="002A677E">
        <w:t>E</w:t>
      </w:r>
      <w:r w:rsidRPr="002A677E">
        <w:t xml:space="preserve">quity exposures </w:t>
      </w:r>
      <w:r w:rsidR="002C4D74" w:rsidRPr="002A677E">
        <w:t>grandfathered</w:t>
      </w:r>
      <w:r w:rsidR="002C4D74" w:rsidRPr="002A677E" w:rsidDel="00BB22D4">
        <w:t xml:space="preserve"> </w:t>
      </w:r>
      <w:r w:rsidR="00BB22D4" w:rsidRPr="002A677E">
        <w:t>in accordance with</w:t>
      </w:r>
      <w:r w:rsidRPr="002A677E">
        <w:t xml:space="preserve"> Article 495(1) </w:t>
      </w:r>
      <w:r w:rsidR="00FD2AE8" w:rsidRPr="001235ED">
        <w:rPr>
          <w:lang w:val="en-US"/>
        </w:rPr>
        <w:t>of Regulation (EU) No 575/2013</w:t>
      </w:r>
      <w:r w:rsidR="002C4D74" w:rsidRPr="002A677E">
        <w:t>;</w:t>
      </w:r>
    </w:p>
    <w:p w14:paraId="59393134" w14:textId="0195DC0A" w:rsidR="00C61FF5" w:rsidRPr="002A677E" w:rsidRDefault="00C61FF5" w:rsidP="00B055FF">
      <w:pPr>
        <w:pStyle w:val="InstructionsText"/>
      </w:pPr>
      <w:r w:rsidRPr="002A677E">
        <w:t xml:space="preserve">- Equity exposures to entities </w:t>
      </w:r>
      <w:r w:rsidR="002C4D74" w:rsidRPr="002A677E">
        <w:t xml:space="preserve">the </w:t>
      </w:r>
      <w:r w:rsidRPr="002A677E">
        <w:t xml:space="preserve">credit obligations </w:t>
      </w:r>
      <w:r w:rsidR="002C4D74" w:rsidRPr="002A677E">
        <w:t xml:space="preserve">of which </w:t>
      </w:r>
      <w:r w:rsidRPr="002A677E">
        <w:t>are assigned a 0</w:t>
      </w:r>
      <w:r w:rsidR="00B856D5">
        <w:t> </w:t>
      </w:r>
      <w:r w:rsidRPr="002A677E">
        <w:t xml:space="preserve">% risk weight under the Standardised </w:t>
      </w:r>
      <w:r w:rsidR="009A4399" w:rsidRPr="002A677E">
        <w:t>approach</w:t>
      </w:r>
      <w:r w:rsidRPr="002A677E">
        <w:t>, including those publicly sponsored entities where a 0</w:t>
      </w:r>
      <w:r w:rsidR="00B856D5">
        <w:t> </w:t>
      </w:r>
      <w:r w:rsidRPr="002A677E">
        <w:t>% risk weight can be applied (Article 150(1)</w:t>
      </w:r>
      <w:r w:rsidR="00B83DDE">
        <w:t>, p</w:t>
      </w:r>
      <w:r w:rsidR="00DF4FF2" w:rsidRPr="002A677E">
        <w:t>oint (g)</w:t>
      </w:r>
      <w:r w:rsidR="00BE1277">
        <w:t>,</w:t>
      </w:r>
      <w:r w:rsidR="00DF4FF2" w:rsidRPr="002A677E">
        <w:t xml:space="preserve"> </w:t>
      </w:r>
      <w:r w:rsidR="00FD2AE8" w:rsidRPr="001235ED">
        <w:rPr>
          <w:lang w:val="en-US"/>
        </w:rPr>
        <w:t>of Regulation (EU) No 575/2013</w:t>
      </w:r>
      <w:r w:rsidRPr="002A677E">
        <w:t>),</w:t>
      </w:r>
    </w:p>
    <w:p w14:paraId="02216BD0" w14:textId="593717E7" w:rsidR="00C61FF5" w:rsidRPr="002A677E" w:rsidRDefault="00C61FF5" w:rsidP="00B055FF">
      <w:pPr>
        <w:pStyle w:val="InstructionsText"/>
      </w:pPr>
      <w:r w:rsidRPr="002A677E">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DF4FF2" w:rsidRPr="002A677E">
        <w:t>Article 150(1)</w:t>
      </w:r>
      <w:r w:rsidR="00B83DDE">
        <w:t>, p</w:t>
      </w:r>
      <w:r w:rsidR="00DF4FF2" w:rsidRPr="002A677E">
        <w:t>oint (h)</w:t>
      </w:r>
      <w:r w:rsidR="00BE1277">
        <w:t>,</w:t>
      </w:r>
      <w:r w:rsidR="00DF4FF2" w:rsidRPr="002A677E">
        <w:t xml:space="preserve"> </w:t>
      </w:r>
      <w:r w:rsidR="00FD2AE8" w:rsidRPr="001235ED">
        <w:rPr>
          <w:lang w:val="en-US"/>
        </w:rPr>
        <w:t>of Regulation (EU) No 575/2013</w:t>
      </w:r>
      <w:r w:rsidRPr="002A677E">
        <w:t>)</w:t>
      </w:r>
      <w:r w:rsidR="005C14B0" w:rsidRPr="002A677E">
        <w:t>,</w:t>
      </w:r>
    </w:p>
    <w:p w14:paraId="5731CED2" w14:textId="0B282E6D" w:rsidR="00C61FF5" w:rsidRPr="002A677E" w:rsidRDefault="00C61FF5" w:rsidP="00B055FF">
      <w:pPr>
        <w:pStyle w:val="InstructionsText"/>
      </w:pPr>
      <w:r w:rsidRPr="002A677E">
        <w:t xml:space="preserve">- Equity exposures to ancillary services undertakings </w:t>
      </w:r>
      <w:r w:rsidR="002C4D74" w:rsidRPr="002A677E">
        <w:t xml:space="preserve">the </w:t>
      </w:r>
      <w:r w:rsidRPr="002A677E">
        <w:t xml:space="preserve">risk weighted exposure amounts </w:t>
      </w:r>
      <w:r w:rsidR="002C4D74" w:rsidRPr="002A677E">
        <w:t xml:space="preserve">of which </w:t>
      </w:r>
      <w:r w:rsidRPr="002A677E">
        <w:t xml:space="preserve">may be calculated </w:t>
      </w:r>
      <w:r w:rsidR="00BB22D4" w:rsidRPr="002A677E">
        <w:t>in accordance with</w:t>
      </w:r>
      <w:r w:rsidRPr="002A677E">
        <w:t xml:space="preserve"> the treatment of “other non</w:t>
      </w:r>
      <w:r w:rsidR="00151B44" w:rsidRPr="002A677E">
        <w:t xml:space="preserve"> </w:t>
      </w:r>
      <w:r w:rsidRPr="002A677E">
        <w:t xml:space="preserve">credit-obligation assets” (Article 155(1) </w:t>
      </w:r>
      <w:r w:rsidR="00FD2AE8" w:rsidRPr="001235ED">
        <w:rPr>
          <w:lang w:val="en-US"/>
        </w:rPr>
        <w:t>of Regulation (EU) No 575/2013</w:t>
      </w:r>
      <w:r w:rsidRPr="002A677E">
        <w:t>)</w:t>
      </w:r>
      <w:r w:rsidR="005C14B0" w:rsidRPr="002A677E">
        <w:t>,</w:t>
      </w:r>
    </w:p>
    <w:p w14:paraId="2CD83A57" w14:textId="1F89BB08" w:rsidR="00C61FF5" w:rsidRPr="002A677E" w:rsidRDefault="00C61FF5" w:rsidP="00B055FF">
      <w:pPr>
        <w:pStyle w:val="InstructionsText"/>
      </w:pPr>
      <w:r w:rsidRPr="002A677E">
        <w:t xml:space="preserve">- Equity claims deducted from own funds in accordance with Articles 46 and 48 </w:t>
      </w:r>
      <w:r w:rsidR="00FD2AE8" w:rsidRPr="001235ED">
        <w:rPr>
          <w:lang w:val="en-US"/>
        </w:rPr>
        <w:t>of Regulation (EU) No 575/2013</w:t>
      </w:r>
      <w:r w:rsidRPr="002A677E">
        <w:t>.</w:t>
      </w:r>
    </w:p>
    <w:p w14:paraId="7E42E33C" w14:textId="77777777" w:rsidR="00C61FF5" w:rsidRPr="002A677E" w:rsidRDefault="00C61FF5" w:rsidP="00B055FF">
      <w:pPr>
        <w:pStyle w:val="InstructionsText"/>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0" w:name="_Toc295829921"/>
      <w:bookmarkStart w:id="391" w:name="_Toc310415033"/>
      <w:bookmarkStart w:id="392" w:name="_Toc360188371"/>
      <w:bookmarkStart w:id="393" w:name="_Toc473560922"/>
      <w:bookmarkStart w:id="394" w:name="_Toc15171442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Instructions concerning specific positions</w:t>
      </w:r>
      <w:bookmarkEnd w:id="390"/>
      <w:bookmarkEnd w:id="391"/>
      <w:r w:rsidR="00633DEB" w:rsidRPr="002A677E">
        <w:rPr>
          <w:rFonts w:ascii="Times New Roman" w:hAnsi="Times New Roman" w:cs="Times New Roman"/>
          <w:sz w:val="24"/>
          <w:lang w:val="en-GB"/>
        </w:rPr>
        <w:t xml:space="preserve"> (applicable to both CR EQU IRB 1 and CR EQU IRB 2)</w:t>
      </w:r>
      <w:bookmarkEnd w:id="392"/>
      <w:bookmarkEnd w:id="393"/>
      <w:bookmarkEnd w:id="394"/>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w:t>
            </w:r>
            <w:r w:rsidR="00104A65" w:rsidRPr="002A677E">
              <w:rPr>
                <w:rStyle w:val="InstructionsTabelleberschrift"/>
                <w:rFonts w:ascii="Times New Roman" w:hAnsi="Times New Roman"/>
                <w:sz w:val="24"/>
              </w:rPr>
              <w:t xml:space="preserve"> (ROW IDENTIFIER)</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obligor grade </w:t>
            </w:r>
            <w:r w:rsidR="002C4D74" w:rsidRPr="002A677E">
              <w:rPr>
                <w:rStyle w:val="InstructionsTabelleberschrift"/>
                <w:rFonts w:ascii="Times New Roman" w:hAnsi="Times New Roman"/>
                <w:b w:val="0"/>
                <w:sz w:val="24"/>
                <w:u w:val="none"/>
              </w:rPr>
              <w:t>shall be</w:t>
            </w:r>
            <w:r w:rsidRPr="002A677E">
              <w:rPr>
                <w:rStyle w:val="InstructionsTabelleberschrift"/>
                <w:rFonts w:ascii="Times New Roman" w:hAnsi="Times New Roman"/>
                <w:b w:val="0"/>
                <w:sz w:val="24"/>
                <w:u w:val="none"/>
              </w:rPr>
              <w:t xml:space="preserve"> a row identifier and shall be unique for each row in the </w:t>
            </w:r>
            <w:r w:rsidR="00133396" w:rsidRPr="002A677E">
              <w:rPr>
                <w:rStyle w:val="InstructionsTabelleberschrift"/>
                <w:rFonts w:ascii="Times New Roman" w:hAnsi="Times New Roman"/>
                <w:b w:val="0"/>
                <w:sz w:val="24"/>
                <w:u w:val="none"/>
              </w:rPr>
              <w:t>template</w:t>
            </w:r>
            <w:r w:rsidRPr="002A677E">
              <w:rPr>
                <w:rStyle w:val="InstructionsTabelleberschrift"/>
                <w:rFonts w:ascii="Times New Roman" w:hAnsi="Times New Roman"/>
                <w:b w:val="0"/>
                <w:sz w:val="24"/>
                <w:u w:val="none"/>
              </w:rPr>
              <w:t>.</w:t>
            </w:r>
            <w:r w:rsidR="001959EF" w:rsidRPr="002A677E">
              <w:rPr>
                <w:rStyle w:val="InstructionsTabelleberschrift"/>
                <w:rFonts w:ascii="Times New Roman" w:hAnsi="Times New Roman"/>
                <w:b w:val="0"/>
                <w:sz w:val="24"/>
                <w:u w:val="none"/>
              </w:rPr>
              <w:t xml:space="preserve"> </w:t>
            </w:r>
            <w:r w:rsidR="001959EF" w:rsidRPr="002A677E">
              <w:rPr>
                <w:rFonts w:ascii="Times New Roman" w:hAnsi="Times New Roman"/>
                <w:sz w:val="24"/>
              </w:rPr>
              <w:t>It shall follow the numerical order 1, 2, 3</w:t>
            </w:r>
            <w:r w:rsidR="001C7F2A" w:rsidRPr="002A677E">
              <w:rPr>
                <w:rFonts w:ascii="Times New Roman" w:hAnsi="Times New Roman"/>
                <w:sz w:val="24"/>
              </w:rPr>
              <w:t>,</w:t>
            </w:r>
            <w:r w:rsidR="001959EF" w:rsidRPr="002A677E">
              <w:rPr>
                <w:rFonts w:ascii="Times New Roman" w:hAnsi="Times New Roman"/>
                <w:sz w:val="24"/>
              </w:rPr>
              <w:t xml:space="preserve">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 xml:space="preserve">SCALE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2C4D74"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 the probability of default (PD) calculated in accordance with Article 165(1)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The PD assigned to the obligor grade or pool to be reported shall be in line with the minimum requirements laid down in Part Three</w:t>
            </w:r>
            <w:r w:rsidR="00FD2AE8"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FD2AE8" w:rsidRPr="002A677E">
              <w:rPr>
                <w:rStyle w:val="InstructionsTabelleText"/>
                <w:rFonts w:ascii="Times New Roman" w:hAnsi="Times New Roman"/>
                <w:sz w:val="24"/>
              </w:rPr>
              <w:t>Title II, Chapter 3, Section 6 of Regulation (EU) No 575/2013</w:t>
            </w:r>
            <w:r w:rsidRPr="002A677E">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For figures corresponding to an aggregation of obligor grades or pools (e.g. “total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weighting purposes.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Institutions 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 the original exposure value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conversion factors).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Article 167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 xml:space="preserve">,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also include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20 </w:t>
            </w:r>
            <w:r w:rsidR="00D021AF" w:rsidRPr="002A677E">
              <w:rPr>
                <w:rStyle w:val="InstructionsTabelleText"/>
                <w:rFonts w:ascii="Times New Roman" w:hAnsi="Times New Roman"/>
                <w:sz w:val="24"/>
              </w:rPr>
              <w:t xml:space="preserve">the </w:t>
            </w:r>
            <w:r w:rsidRPr="002A677E">
              <w:rPr>
                <w:rStyle w:val="InstructionsTabelleText"/>
                <w:rFonts w:ascii="Times New Roman" w:hAnsi="Times New Roman"/>
                <w:sz w:val="24"/>
              </w:rPr>
              <w:t xml:space="preserve">off balance sheet items referred to in Annex I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Simple Risk Weight approach or the PD/LGD approach (as referred to in Article 165(1)</w:t>
            </w:r>
            <w:r w:rsidR="001A627D" w:rsidRPr="002A677E">
              <w:rPr>
                <w:rStyle w:val="InstructionsTabelleText"/>
                <w:rFonts w:ascii="Times New Roman" w:hAnsi="Times New Roman"/>
                <w:sz w:val="24"/>
                <w:lang w:eastAsia="de-DE"/>
              </w:rPr>
              <w:t xml:space="preserve"> </w:t>
            </w:r>
            <w:r w:rsidR="00FD2AE8" w:rsidRPr="001235ED">
              <w:rPr>
                <w:rFonts w:ascii="Times New Roman" w:hAnsi="Times New Roman"/>
                <w:sz w:val="24"/>
                <w:lang w:val="en-US"/>
              </w:rPr>
              <w:t>of Regulation (EU) No 575/2013</w:t>
            </w:r>
            <w:r w:rsidR="00D021AF"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 xml:space="preserve">also </w:t>
            </w:r>
            <w:r w:rsidR="00A16FFF" w:rsidRPr="002A677E">
              <w:rPr>
                <w:rStyle w:val="InstructionsTabelleText"/>
                <w:rFonts w:ascii="Times New Roman" w:hAnsi="Times New Roman"/>
                <w:sz w:val="24"/>
                <w:lang w:eastAsia="de-DE"/>
              </w:rPr>
              <w:t xml:space="preserve">take into account </w:t>
            </w:r>
            <w:r w:rsidRPr="002A677E">
              <w:rPr>
                <w:rStyle w:val="InstructionsTabelleText"/>
                <w:rFonts w:ascii="Times New Roman" w:hAnsi="Times New Roman"/>
                <w:sz w:val="24"/>
                <w:lang w:eastAsia="de-DE"/>
              </w:rPr>
              <w:t>the offsetting referred to in Article 155(2)</w:t>
            </w:r>
            <w:r w:rsidR="00DF4FF2"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F4FF2" w:rsidRPr="002A677E">
              <w:rPr>
                <w:rStyle w:val="InstructionsTabelleText"/>
                <w:rFonts w:ascii="Times New Roman" w:hAnsi="Times New Roman"/>
                <w:sz w:val="24"/>
                <w:lang w:eastAsia="de-DE"/>
              </w:rPr>
              <w:t xml:space="preserve">second subparagraph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30-0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2A677E">
              <w:rPr>
                <w:rStyle w:val="InstructionsTabelleText"/>
                <w:rFonts w:ascii="Times New Roman" w:hAnsi="Times New Roman"/>
                <w:sz w:val="24"/>
              </w:rPr>
              <w:t>s</w:t>
            </w:r>
            <w:r w:rsidRPr="002A677E">
              <w:rPr>
                <w:rStyle w:val="InstructionsTabelleText"/>
                <w:rFonts w:ascii="Times New Roman" w:hAnsi="Times New Roman"/>
                <w:sz w:val="24"/>
              </w:rPr>
              <w:t>e unfunded credit protection obtained on equity exposures (</w:t>
            </w:r>
            <w:r w:rsidRPr="002A677E">
              <w:rPr>
                <w:rStyle w:val="InstructionsTabelleText"/>
                <w:rFonts w:ascii="Times New Roman" w:hAnsi="Times New Roman"/>
                <w:sz w:val="24"/>
                <w:lang w:eastAsia="de-DE"/>
              </w:rPr>
              <w:t>Article 155</w:t>
            </w:r>
            <w:r w:rsidR="00B83DDE">
              <w:rPr>
                <w:rStyle w:val="InstructionsTabelleText"/>
                <w:rFonts w:ascii="Times New Roman" w:hAnsi="Times New Roman"/>
                <w:sz w:val="24"/>
                <w:lang w:eastAsia="de-DE"/>
              </w:rPr>
              <w:t>, p</w:t>
            </w:r>
            <w:r w:rsidR="00DF4FF2" w:rsidRPr="002A677E">
              <w:rPr>
                <w:rStyle w:val="InstructionsTabelleText"/>
                <w:rFonts w:ascii="Times New Roman" w:hAnsi="Times New Roman"/>
                <w:sz w:val="24"/>
              </w:rPr>
              <w:t xml:space="preserve">aragraphs 2, 3 and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report in columns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and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the amount of unfunded credit protection under the form of guarantees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or credit derivatives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lastRenderedPageBreak/>
              <w:t>(-) TOTAL OUTFLOWS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the part of the 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 the exposure value</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taking into account substitution effects stemming from unfunded credit protection (Article 155</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rPr>
              <w:t xml:space="preserve">aragraphs 2 and 3 </w:t>
            </w:r>
            <w:r w:rsidR="00D021AF" w:rsidRPr="002A677E">
              <w:rPr>
                <w:rStyle w:val="InstructionsTabelleText"/>
                <w:rFonts w:ascii="Times New Roman" w:hAnsi="Times New Roman"/>
                <w:sz w:val="24"/>
              </w:rPr>
              <w:t>and</w:t>
            </w:r>
            <w:r w:rsidRPr="002A677E">
              <w:rPr>
                <w:rStyle w:val="InstructionsTabelleText"/>
                <w:rFonts w:ascii="Times New Roman" w:hAnsi="Times New Roman"/>
                <w:sz w:val="24"/>
              </w:rPr>
              <w:t xml:space="preserve"> Article 167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t>0</w:t>
            </w:r>
            <w:r w:rsidR="006E0E76"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lang w:eastAsia="en-GB" w:bidi="ne-NP"/>
              </w:rPr>
              <w:t>See CR-SA instructions</w:t>
            </w:r>
            <w:r w:rsidRPr="002A677E">
              <w:rPr>
                <w:rStyle w:val="InstructionsTabelleberschrift"/>
                <w:rFonts w:ascii="Times New Roman" w:hAnsi="Times New Roman"/>
                <w:b w:val="0"/>
                <w:sz w:val="24"/>
                <w:lang w:eastAsia="en-GB" w:bidi="ne-NP"/>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exposure weighted average of the LGDs assigned to the obligor grades or pools included in the aggregation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the calculation of the exposure-weighted average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risk-weighted exposure amounts for equity exposures calculated in accordance with Article 155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W</w:t>
            </w:r>
            <w:r w:rsidR="00C61FF5" w:rsidRPr="002A677E">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a scaling factor of 1</w:t>
            </w:r>
            <w:r w:rsidR="00021A05" w:rsidRPr="002A677E">
              <w:rPr>
                <w:rStyle w:val="InstructionsTabelleText"/>
                <w:rFonts w:ascii="Times New Roman" w:hAnsi="Times New Roman"/>
                <w:sz w:val="24"/>
                <w:lang w:eastAsia="de-DE"/>
              </w:rPr>
              <w:t>,</w:t>
            </w:r>
            <w:r w:rsidR="00C61FF5" w:rsidRPr="002A677E">
              <w:rPr>
                <w:rStyle w:val="InstructionsTabelleText"/>
                <w:rFonts w:ascii="Times New Roman" w:hAnsi="Times New Roman"/>
                <w:sz w:val="24"/>
                <w:lang w:eastAsia="de-DE"/>
              </w:rPr>
              <w:t xml:space="preserve">5 shall be assigned to the risk weights when calculating risk weighted exposure amounts (Article 155(3)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021A05"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lang w:eastAsia="de-DE"/>
              </w:rPr>
              <w:t xml:space="preserve">aragraphs 4, 7, 8 and 9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4AFE1064" w14:textId="77777777" w:rsidR="00745369" w:rsidRPr="002A677E" w:rsidRDefault="00745369" w:rsidP="00DA09CD">
      <w:pPr>
        <w:pStyle w:val="InstructionsText"/>
      </w:pPr>
    </w:p>
    <w:p w14:paraId="0FC7A5DF" w14:textId="515CB209" w:rsidR="00C61FF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100</w:t>
      </w:r>
      <w:r>
        <w:fldChar w:fldCharType="end"/>
      </w:r>
      <w:r w:rsidR="00125707" w:rsidRPr="002A677E">
        <w:t>.</w:t>
      </w:r>
      <w:r w:rsidR="00125707" w:rsidRPr="002A677E">
        <w:tab/>
      </w:r>
      <w:r w:rsidR="0033476C">
        <w:t>[Deleted]</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in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020 of the CR EQU IRB 1 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6D0B8C5F"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w:t>
            </w:r>
            <w:r w:rsidR="00021A05" w:rsidRPr="002A677E">
              <w:rPr>
                <w:rStyle w:val="InstructionsTabelleText"/>
                <w:rFonts w:ascii="Times New Roman" w:hAnsi="Times New Roman"/>
                <w:b/>
                <w:sz w:val="24"/>
                <w:u w:val="single"/>
              </w:rPr>
              <w:t>P</w:t>
            </w:r>
            <w:r w:rsidRPr="002A677E">
              <w:rPr>
                <w:rStyle w:val="InstructionsTabelleText"/>
                <w:rFonts w:ascii="Times New Roman" w:hAnsi="Times New Roman"/>
                <w:b/>
                <w:sz w:val="24"/>
                <w:u w:val="single"/>
              </w:rPr>
              <w:t>ROACH BY RISK WEIGHTS: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r w:rsidR="00AA7658" w:rsidRPr="002A677E">
              <w:rPr>
                <w:rStyle w:val="InstructionsTabelleText"/>
                <w:rFonts w:ascii="Times New Roman" w:hAnsi="Times New Roman"/>
                <w:sz w:val="24"/>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characteristics of the underlying exposures in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to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6C4ED17A" w14:textId="3D372DA0" w:rsidR="00C61FF5" w:rsidRPr="002A677E" w:rsidRDefault="00C61FF5" w:rsidP="00DA09CD">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 xml:space="preserve">Institutions applying the Internal Models approach (Article 155(4) </w:t>
            </w:r>
            <w:r w:rsidR="00FD2AE8" w:rsidRPr="001235ED">
              <w:rPr>
                <w:lang w:val="en-US"/>
              </w:rPr>
              <w:t>of Regulation (EU) No 575/2013</w:t>
            </w:r>
            <w:r w:rsidRPr="002A677E">
              <w:rPr>
                <w:rStyle w:val="FormatvorlageInstructionsTabelleText"/>
                <w:rFonts w:ascii="Times New Roman" w:hAnsi="Times New Roman"/>
                <w:sz w:val="24"/>
              </w:rPr>
              <w:t>)</w:t>
            </w:r>
            <w:r w:rsidR="00AA7658" w:rsidRPr="002A677E">
              <w:rPr>
                <w:rStyle w:val="FormatvorlageInstructionsTabelleText"/>
                <w:rFonts w:ascii="Times New Roman" w:hAnsi="Times New Roman"/>
                <w:sz w:val="24"/>
              </w:rPr>
              <w:t xml:space="preserve"> shall </w:t>
            </w:r>
            <w:r w:rsidRPr="002A677E">
              <w:rPr>
                <w:rStyle w:val="FormatvorlageInstructionsTabelleText"/>
                <w:rFonts w:ascii="Times New Roman" w:hAnsi="Times New Roman"/>
                <w:sz w:val="24"/>
              </w:rPr>
              <w:t>report the</w:t>
            </w:r>
            <w:r w:rsidR="00AA7658" w:rsidRPr="002A677E">
              <w:rPr>
                <w:rStyle w:val="FormatvorlageInstructionsTabelleText"/>
                <w:rFonts w:ascii="Times New Roman" w:hAnsi="Times New Roman"/>
                <w:sz w:val="24"/>
              </w:rPr>
              <w:t xml:space="preserve"> required </w:t>
            </w:r>
            <w:r w:rsidRPr="002A677E">
              <w:rPr>
                <w:rStyle w:val="FormatvorlageInstructionsTabelleText"/>
                <w:rFonts w:ascii="Times New Roman" w:hAnsi="Times New Roman"/>
                <w:sz w:val="24"/>
              </w:rPr>
              <w:t xml:space="preserve">information in row </w:t>
            </w:r>
            <w:r w:rsidR="006E0E76" w:rsidRPr="002A677E">
              <w:rPr>
                <w:rStyle w:val="FormatvorlageInstructionsTabelleText"/>
                <w:rFonts w:ascii="Times New Roman" w:hAnsi="Times New Roman"/>
                <w:sz w:val="24"/>
              </w:rPr>
              <w:t>0</w:t>
            </w:r>
            <w:r w:rsidRPr="002A677E">
              <w:rPr>
                <w:rStyle w:val="FormatvorlageInstructionsTabelleText"/>
                <w:rFonts w:ascii="Times New Roman" w:hAnsi="Times New Roman"/>
                <w:sz w:val="24"/>
              </w:rPr>
              <w:t>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0D6FAD77" w14:textId="0016E915" w:rsidR="005C7A65" w:rsidRPr="002A677E" w:rsidRDefault="00C61FF5" w:rsidP="005C7A65">
            <w:pPr>
              <w:rPr>
                <w:rFonts w:ascii="Times New Roman" w:hAnsi="Times New Roman"/>
                <w:sz w:val="24"/>
              </w:rPr>
            </w:pPr>
            <w:r w:rsidRPr="002A677E">
              <w:rPr>
                <w:rFonts w:ascii="Times New Roman" w:hAnsi="Times New Roman"/>
                <w:sz w:val="24"/>
              </w:rPr>
              <w:t xml:space="preserve">Institutions applying the </w:t>
            </w:r>
            <w:r w:rsidR="008241B9" w:rsidRPr="002A677E">
              <w:rPr>
                <w:rFonts w:ascii="Times New Roman" w:hAnsi="Times New Roman"/>
                <w:sz w:val="24"/>
              </w:rPr>
              <w:t>IRB Approach</w:t>
            </w:r>
            <w:r w:rsidRPr="002A677E">
              <w:rPr>
                <w:rFonts w:ascii="Times New Roman" w:hAnsi="Times New Roman"/>
                <w:sz w:val="24"/>
              </w:rPr>
              <w:t xml:space="preserve"> shall report </w:t>
            </w:r>
            <w:r w:rsidR="001B5499" w:rsidRPr="002A677E">
              <w:rPr>
                <w:rFonts w:ascii="Times New Roman" w:hAnsi="Times New Roman"/>
                <w:sz w:val="24"/>
              </w:rPr>
              <w:t>risk weighted</w:t>
            </w:r>
            <w:r w:rsidRPr="002A677E">
              <w:rPr>
                <w:rFonts w:ascii="Times New Roman" w:hAnsi="Times New Roman"/>
                <w:sz w:val="24"/>
              </w:rPr>
              <w:t xml:space="preserve"> exposure amounts for those equity exposures which attract a fixed </w:t>
            </w:r>
            <w:r w:rsidR="001B5499" w:rsidRPr="002A677E">
              <w:rPr>
                <w:rFonts w:ascii="Times New Roman" w:hAnsi="Times New Roman"/>
                <w:sz w:val="24"/>
              </w:rPr>
              <w:t>risk weight</w:t>
            </w:r>
            <w:r w:rsidRPr="002A677E">
              <w:rPr>
                <w:rFonts w:ascii="Times New Roman" w:hAnsi="Times New Roman"/>
                <w:sz w:val="24"/>
              </w:rPr>
              <w:t xml:space="preserve"> </w:t>
            </w:r>
            <w:r w:rsidR="001B5499" w:rsidRPr="002A677E">
              <w:rPr>
                <w:rFonts w:ascii="Times New Roman" w:hAnsi="Times New Roman"/>
                <w:sz w:val="24"/>
              </w:rPr>
              <w:t>treatment</w:t>
            </w:r>
            <w:r w:rsidRPr="002A677E">
              <w:rPr>
                <w:rFonts w:ascii="Times New Roman" w:hAnsi="Times New Roman"/>
                <w:sz w:val="24"/>
              </w:rPr>
              <w:t xml:space="preserve"> (without however being explicitly treated </w:t>
            </w:r>
            <w:r w:rsidR="00BB22D4" w:rsidRPr="002A677E">
              <w:rPr>
                <w:rFonts w:ascii="Times New Roman" w:hAnsi="Times New Roman"/>
                <w:sz w:val="24"/>
              </w:rPr>
              <w:t>in accordance with</w:t>
            </w:r>
            <w:r w:rsidRPr="002A677E">
              <w:rPr>
                <w:rFonts w:ascii="Times New Roman" w:hAnsi="Times New Roman"/>
                <w:sz w:val="24"/>
              </w:rPr>
              <w:t xml:space="preserve"> the Simple Risk Weight approach or the (temporary or permanent) partial use of the credit risk </w:t>
            </w:r>
            <w:r w:rsidR="00CA21CA" w:rsidRPr="002A677E">
              <w:rPr>
                <w:rFonts w:ascii="Times New Roman" w:hAnsi="Times New Roman"/>
                <w:sz w:val="24"/>
              </w:rPr>
              <w:t xml:space="preserve">Standardised </w:t>
            </w:r>
            <w:r w:rsidR="009A4399" w:rsidRPr="002A677E">
              <w:rPr>
                <w:rFonts w:ascii="Times New Roman" w:hAnsi="Times New Roman"/>
                <w:sz w:val="24"/>
              </w:rPr>
              <w:t>approach</w:t>
            </w:r>
            <w:r w:rsidR="005C7A65" w:rsidRPr="002A677E">
              <w:rPr>
                <w:rFonts w:ascii="Times New Roman" w:hAnsi="Times New Roman"/>
                <w:sz w:val="24"/>
              </w:rPr>
              <w:t>)</w:t>
            </w:r>
            <w:r w:rsidR="005C7A65">
              <w:rPr>
                <w:rFonts w:ascii="Times New Roman" w:hAnsi="Times New Roman"/>
                <w:sz w:val="24"/>
              </w:rPr>
              <w:t>, including the following exposures:</w:t>
            </w:r>
          </w:p>
          <w:p w14:paraId="1B3BB7B4" w14:textId="09F87A70" w:rsidR="00C61FF5" w:rsidRPr="002A677E" w:rsidRDefault="00C61FF5" w:rsidP="00C61FF5">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FD2AE8"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D0336DA" w14:textId="25B30278" w:rsidR="005C7A65" w:rsidRPr="002A677E" w:rsidRDefault="00C61FF5" w:rsidP="0033476C">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rsidR="00B856D5">
              <w:t> </w:t>
            </w:r>
            <w:r w:rsidRPr="002A677E">
              <w:rPr>
                <w:rStyle w:val="FormatvorlageInstructionsTabelleText"/>
                <w:rFonts w:ascii="Times New Roman" w:hAnsi="Times New Roman"/>
                <w:sz w:val="24"/>
              </w:rPr>
              <w:t xml:space="preserve">% in accordance with Article 471(2)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D95228">
              <w:rPr>
                <w:rStyle w:val="FormatvorlageInstructionsTabelleText"/>
                <w:rFonts w:ascii="Times New Roman" w:hAnsi="Times New Roman"/>
                <w:sz w:val="24"/>
              </w:rPr>
              <w:t xml:space="preserve">shall be reported in row </w:t>
            </w:r>
            <w:r w:rsidR="006E0E76" w:rsidRPr="00D95228">
              <w:rPr>
                <w:rStyle w:val="FormatvorlageInstructionsTabelleText"/>
                <w:rFonts w:ascii="Times New Roman" w:hAnsi="Times New Roman"/>
                <w:sz w:val="24"/>
              </w:rPr>
              <w:t>0</w:t>
            </w:r>
            <w:r w:rsidRPr="00D95228">
              <w:rPr>
                <w:rStyle w:val="FormatvorlageInstructionsTabelleText"/>
                <w:rFonts w:ascii="Times New Roman" w:hAnsi="Times New Roman"/>
                <w:sz w:val="24"/>
              </w:rPr>
              <w:t>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01</w:t>
            </w:r>
            <w:r w:rsidR="00423D6C">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sidRPr="001235ED">
              <w:rPr>
                <w:rStyle w:val="FormatvorlageInstructionsTabelleText"/>
                <w:rFonts w:ascii="Times New Roman" w:hAnsi="Times New Roman"/>
                <w:b/>
                <w:bCs w:val="0"/>
                <w:sz w:val="24"/>
              </w:rPr>
              <w:t xml:space="preserve">CIU </w:t>
            </w:r>
            <w:r w:rsidR="009E4A27" w:rsidRPr="001235ED">
              <w:rPr>
                <w:rStyle w:val="FormatvorlageInstructionsTabelleText"/>
                <w:rFonts w:ascii="Times New Roman" w:hAnsi="Times New Roman"/>
                <w:b/>
                <w:bCs w:val="0"/>
                <w:sz w:val="24"/>
              </w:rPr>
              <w:t xml:space="preserve">EXPOUSURES </w:t>
            </w:r>
            <w:r w:rsidR="009E4A27" w:rsidRPr="001235ED">
              <w:rPr>
                <w:rStyle w:val="FormatvorlageInstructionsTabelleText"/>
                <w:b/>
                <w:bCs w:val="0"/>
              </w:rPr>
              <w:t>SUBJECT TO THE FALL-BACK APPROACH</w:t>
            </w:r>
          </w:p>
          <w:p w14:paraId="69A5A4C6" w14:textId="660EFACE" w:rsidR="000763E0" w:rsidRPr="002A677E" w:rsidRDefault="000763E0" w:rsidP="00C61FF5">
            <w:pPr>
              <w:rPr>
                <w:rStyle w:val="InstructionsTabelleberschrift"/>
                <w:rFonts w:ascii="Times New Roman" w:hAnsi="Times New Roman"/>
                <w:sz w:val="24"/>
              </w:rPr>
            </w:pPr>
            <w:r w:rsidRPr="00A1629B">
              <w:rPr>
                <w:rStyle w:val="FormatvorlageInstructionsTabelleText"/>
                <w:rFonts w:ascii="Times New Roman" w:hAnsi="Times New Roman"/>
                <w:sz w:val="24"/>
              </w:rPr>
              <w:t>Exposures in the form of units or shares in CIUs</w:t>
            </w:r>
            <w:r>
              <w:rPr>
                <w:rStyle w:val="FormatvorlageInstructionsTabelleText"/>
                <w:rFonts w:ascii="Times New Roman" w:hAnsi="Times New Roman"/>
                <w:sz w:val="24"/>
              </w:rPr>
              <w:t xml:space="preserve"> treated in accordance with the fall-back approach of Article 152(6) of Regulation (EU) No 575/2013 shall also be reported in this row.</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information in the CR EQU IRB 2 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nstitutions using the </w:t>
            </w:r>
            <w:r w:rsidR="00C61FF5" w:rsidRPr="002A677E">
              <w:rPr>
                <w:rStyle w:val="InstructionsTabelleText"/>
                <w:rFonts w:ascii="Times New Roman" w:hAnsi="Times New Roman"/>
                <w:sz w:val="24"/>
                <w:lang w:eastAsia="de-DE"/>
              </w:rPr>
              <w:t xml:space="preserve">PD/LGD approach </w:t>
            </w:r>
            <w:r w:rsidRPr="002A677E">
              <w:rPr>
                <w:rStyle w:val="InstructionsTabelleText"/>
                <w:rFonts w:ascii="Times New Roman" w:hAnsi="Times New Roman"/>
                <w:sz w:val="24"/>
                <w:lang w:eastAsia="de-DE"/>
              </w:rPr>
              <w:t xml:space="preserve">that </w:t>
            </w:r>
            <w:r w:rsidR="00C61FF5" w:rsidRPr="002A677E">
              <w:rPr>
                <w:rStyle w:val="InstructionsTabelleText"/>
                <w:rFonts w:ascii="Times New Roman" w:hAnsi="Times New Roman"/>
                <w:sz w:val="24"/>
              </w:rPr>
              <w:t xml:space="preserve">apply a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 or </w:t>
            </w:r>
            <w:r w:rsidRPr="002A677E">
              <w:rPr>
                <w:rStyle w:val="InstructionsTabelleText"/>
                <w:rFonts w:ascii="Times New Roman" w:hAnsi="Times New Roman"/>
                <w:sz w:val="24"/>
              </w:rPr>
              <w:t xml:space="preserve">that </w:t>
            </w:r>
            <w:r w:rsidR="00C61FF5" w:rsidRPr="002A677E">
              <w:rPr>
                <w:rStyle w:val="InstructionsTabelleText"/>
                <w:rFonts w:ascii="Times New Roman" w:hAnsi="Times New Roman"/>
                <w:sz w:val="24"/>
              </w:rPr>
              <w:t xml:space="preserve">are able to report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an internal master scale </w:t>
            </w:r>
            <w:r w:rsidRPr="002A677E">
              <w:rPr>
                <w:rStyle w:val="InstructionsTabelleText"/>
                <w:rFonts w:ascii="Times New Roman" w:hAnsi="Times New Roman"/>
                <w:sz w:val="24"/>
              </w:rPr>
              <w:t xml:space="preserve">shall </w:t>
            </w:r>
            <w:r w:rsidR="00C61FF5" w:rsidRPr="002A677E">
              <w:rPr>
                <w:rStyle w:val="InstructionsTabelleText"/>
                <w:rFonts w:ascii="Times New Roman" w:hAnsi="Times New Roman"/>
                <w:sz w:val="24"/>
              </w:rPr>
              <w:t xml:space="preserve">report in CR </w:t>
            </w:r>
            <w:r w:rsidR="00C61FF5" w:rsidRPr="002A677E">
              <w:rPr>
                <w:rStyle w:val="InstructionsTabelleText"/>
                <w:rFonts w:ascii="Times New Roman" w:hAnsi="Times New Roman"/>
                <w:sz w:val="24"/>
              </w:rPr>
              <w:lastRenderedPageBreak/>
              <w:t xml:space="preserve">EQU IRB 2 the rating grades or pools associated to this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/master</w:t>
            </w:r>
            <w:r w:rsidRPr="002A677E">
              <w:rPr>
                <w:rStyle w:val="InstructionsTabelleText"/>
                <w:rFonts w:ascii="Times New Roman" w:hAnsi="Times New Roman"/>
                <w:sz w:val="24"/>
              </w:rPr>
              <w:t xml:space="preserve"> </w:t>
            </w:r>
            <w:r w:rsidR="00C61FF5" w:rsidRPr="002A677E">
              <w:rPr>
                <w:rStyle w:val="InstructionsTabelleText"/>
                <w:rFonts w:ascii="Times New Roman" w:hAnsi="Times New Roman"/>
                <w:sz w:val="24"/>
              </w:rPr>
              <w:t xml:space="preserve">scale. In any other case,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s shall be merged and ordered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the following criteria: Obligor grades or pools of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s shall be pooled together and ordered from the lower PD assigned to each obligor grade or pool to the higher.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5" w:name="_Toc310415035"/>
      <w:bookmarkStart w:id="396" w:name="_Toc360188372"/>
      <w:bookmarkStart w:id="397" w:name="_Toc473560923"/>
      <w:bookmarkStart w:id="398" w:name="_Toc15171443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11.00 </w:t>
      </w:r>
      <w:r w:rsidR="00612780" w:rsidRPr="002A677E">
        <w:rPr>
          <w:rFonts w:ascii="Times New Roman" w:hAnsi="Times New Roman" w:cs="Times New Roman"/>
          <w:sz w:val="24"/>
          <w:lang w:val="en-GB"/>
        </w:rPr>
        <w:t>– Settlement/Delivery Risk</w:t>
      </w:r>
      <w:bookmarkEnd w:id="395"/>
      <w:bookmarkEnd w:id="396"/>
      <w:r w:rsidR="00612780"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SETT)</w:t>
      </w:r>
      <w:bookmarkEnd w:id="397"/>
      <w:bookmarkEnd w:id="398"/>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9" w:name="_Toc262568045"/>
      <w:bookmarkStart w:id="400" w:name="_Toc295829924"/>
      <w:bookmarkStart w:id="401" w:name="_Toc310415036"/>
      <w:bookmarkStart w:id="402" w:name="_Toc360188373"/>
      <w:bookmarkStart w:id="403" w:name="_Toc473560924"/>
      <w:bookmarkStart w:id="404" w:name="_Toc15171443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General remarks</w:t>
      </w:r>
      <w:bookmarkEnd w:id="399"/>
      <w:bookmarkEnd w:id="400"/>
      <w:bookmarkEnd w:id="401"/>
      <w:bookmarkEnd w:id="402"/>
      <w:bookmarkEnd w:id="403"/>
      <w:bookmarkEnd w:id="404"/>
    </w:p>
    <w:p w14:paraId="2EF1780C" w14:textId="1C7C8E25"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101</w:t>
      </w:r>
      <w:r>
        <w:fldChar w:fldCharType="end"/>
      </w:r>
      <w:r w:rsidR="00125707" w:rsidRPr="002A677E">
        <w:t>.</w:t>
      </w:r>
      <w:r w:rsidR="00125707" w:rsidRPr="002A677E">
        <w:tab/>
      </w:r>
      <w:r w:rsidR="00612780" w:rsidRPr="002A677E">
        <w:t xml:space="preserve">This template requests information on both trading and non-trading book transactions which are unsettled after their due delivery dates, and their corresponding own funds requirements for settlement risk </w:t>
      </w:r>
      <w:r w:rsidR="00D021AF" w:rsidRPr="002A677E">
        <w:t xml:space="preserve">as referred to </w:t>
      </w:r>
      <w:r w:rsidR="00BB22D4" w:rsidRPr="002A677E">
        <w:t>in</w:t>
      </w:r>
      <w:r w:rsidR="00402284">
        <w:t xml:space="preserve"> </w:t>
      </w:r>
      <w:r w:rsidR="00133396" w:rsidRPr="002A677E">
        <w:t xml:space="preserve">Article </w:t>
      </w:r>
      <w:r w:rsidR="00612780" w:rsidRPr="002A677E">
        <w:t>92(</w:t>
      </w:r>
      <w:r w:rsidR="00EC6309">
        <w:t>4</w:t>
      </w:r>
      <w:r w:rsidR="00612780" w:rsidRPr="002A677E">
        <w:t>)</w:t>
      </w:r>
      <w:r w:rsidR="00B83DDE">
        <w:t>, p</w:t>
      </w:r>
      <w:r w:rsidR="00DF4FF2" w:rsidRPr="002A677E">
        <w:t>oint (c</w:t>
      </w:r>
      <w:r w:rsidR="00EC6309">
        <w:t>a</w:t>
      </w:r>
      <w:r w:rsidR="00DF4FF2" w:rsidRPr="002A677E">
        <w:t xml:space="preserve">) </w:t>
      </w:r>
      <w:r w:rsidR="00612780" w:rsidRPr="002A677E">
        <w:t xml:space="preserve">and </w:t>
      </w:r>
      <w:r w:rsidR="00133396" w:rsidRPr="002A677E">
        <w:t xml:space="preserve">Article </w:t>
      </w:r>
      <w:r w:rsidR="00612780" w:rsidRPr="002A677E">
        <w:t xml:space="preserve">378 </w:t>
      </w:r>
      <w:r w:rsidR="00FD2AE8" w:rsidRPr="001235ED">
        <w:rPr>
          <w:lang w:val="en-US"/>
        </w:rPr>
        <w:t>of Regulation (EU) No 575/2013</w:t>
      </w:r>
      <w:r w:rsidR="00612780" w:rsidRPr="002A677E">
        <w:t xml:space="preserve">. </w:t>
      </w:r>
    </w:p>
    <w:p w14:paraId="0097294C" w14:textId="7165D570"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102</w:t>
      </w:r>
      <w: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 xml:space="preserve">report in the CR SETT template information on the settlement/delivery risk in connection with debt instruments, equities, foreign currencies and commodities held in their trading or non-trading book. </w:t>
      </w:r>
    </w:p>
    <w:p w14:paraId="42180048" w14:textId="6ABA2C23"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103</w:t>
      </w:r>
      <w:r>
        <w:fldChar w:fldCharType="end"/>
      </w:r>
      <w:r w:rsidR="00125707" w:rsidRPr="002A677E">
        <w:t>.</w:t>
      </w:r>
      <w:r w:rsidR="00125707" w:rsidRPr="002A677E">
        <w:tab/>
      </w:r>
      <w:r w:rsidR="00BB22D4" w:rsidRPr="002A677E">
        <w:t>In accordance with</w:t>
      </w:r>
      <w:r w:rsidR="00612780" w:rsidRPr="002A677E">
        <w:t xml:space="preserve"> Article 378 </w:t>
      </w:r>
      <w:r w:rsidR="00FD2AE8" w:rsidRPr="001235ED">
        <w:rPr>
          <w:lang w:val="en-US"/>
        </w:rPr>
        <w:t>of Regulation (EU) No 575/2013</w:t>
      </w:r>
      <w:r w:rsidR="00612780" w:rsidRPr="002A677E">
        <w:t xml:space="preserve">, repurchase transactions, securities or commodities lending and securities or commodities borrowing in connection with debt instruments, equities, foreign currencies and commodities are not subject to </w:t>
      </w:r>
      <w:r w:rsidR="00A16FFF" w:rsidRPr="002A677E">
        <w:t xml:space="preserve">own funds requirements for </w:t>
      </w:r>
      <w:r w:rsidR="00612780" w:rsidRPr="002A677E">
        <w:t xml:space="preserve">settlement/delivery risk. Note however that, derivatives and long settlement transactions unsettled after their due delivery dates </w:t>
      </w:r>
      <w:r w:rsidR="006C4A8F" w:rsidRPr="002A677E">
        <w:t>shall</w:t>
      </w:r>
      <w:r w:rsidR="00612780" w:rsidRPr="002A677E">
        <w:t xml:space="preserve"> nevertheless </w:t>
      </w:r>
      <w:r w:rsidR="006C4A8F" w:rsidRPr="002A677E">
        <w:t xml:space="preserve">be </w:t>
      </w:r>
      <w:r w:rsidR="00612780" w:rsidRPr="002A677E">
        <w:t xml:space="preserve">subject to own funds requirements for settlement/delivery risk as determined in Article 378 </w:t>
      </w:r>
      <w:r w:rsidR="00FD2AE8" w:rsidRPr="001235ED">
        <w:rPr>
          <w:lang w:val="en-US"/>
        </w:rPr>
        <w:t>of Regulation (EU) No 575/2013</w:t>
      </w:r>
      <w:r w:rsidR="00612780" w:rsidRPr="002A677E">
        <w:t>.</w:t>
      </w:r>
    </w:p>
    <w:p w14:paraId="2DCFA26D" w14:textId="033C1DB3"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104</w:t>
      </w:r>
      <w:r>
        <w:fldChar w:fldCharType="end"/>
      </w:r>
      <w:r w:rsidR="00125707" w:rsidRPr="002A677E">
        <w:t>.</w:t>
      </w:r>
      <w:r w:rsidR="00125707" w:rsidRPr="002A677E">
        <w:tab/>
      </w:r>
      <w:r w:rsidR="00612780" w:rsidRPr="002A677E">
        <w:t xml:space="preserve">In case of unsettled transactions after the due delivery date, institutions </w:t>
      </w:r>
      <w:r w:rsidR="00133396" w:rsidRPr="002A677E">
        <w:t xml:space="preserve">shall </w:t>
      </w:r>
      <w:r w:rsidR="00612780" w:rsidRPr="002A677E">
        <w:t>calculate the price difference to which they are exposed. Th</w:t>
      </w:r>
      <w:r w:rsidR="00D021AF" w:rsidRPr="002A677E">
        <w:t>at</w:t>
      </w:r>
      <w:r w:rsidR="00612780" w:rsidRPr="002A677E">
        <w:t xml:space="preserve"> is the difference between the agreed settlement price for the debt instrument, equity, foreign currency or commodity in question and its current market value, where the difference could involve a loss for the institution. </w:t>
      </w:r>
    </w:p>
    <w:p w14:paraId="1196ED7E" w14:textId="344C0D7B"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105</w:t>
      </w:r>
      <w: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multiply th</w:t>
      </w:r>
      <w:r w:rsidR="00D021AF" w:rsidRPr="002A677E">
        <w:t>at</w:t>
      </w:r>
      <w:r w:rsidR="00612780" w:rsidRPr="002A677E">
        <w:t xml:space="preserve"> difference by the appropriate factor of Article 378</w:t>
      </w:r>
      <w:r w:rsidR="00DF4FF2" w:rsidRPr="002A677E">
        <w:t>,</w:t>
      </w:r>
      <w:r w:rsidR="00612780" w:rsidRPr="002A677E">
        <w:t xml:space="preserve"> </w:t>
      </w:r>
      <w:r w:rsidR="00DF4FF2" w:rsidRPr="002A677E">
        <w:t xml:space="preserve">Table 1 </w:t>
      </w:r>
      <w:r w:rsidR="00FD2AE8" w:rsidRPr="001235ED">
        <w:rPr>
          <w:lang w:val="en-US"/>
        </w:rPr>
        <w:t xml:space="preserve">of Regulation (EU) No 575/2013 </w:t>
      </w:r>
      <w:r w:rsidR="00612780" w:rsidRPr="002A677E">
        <w:t>to determine the corresponding own funds requirements.</w:t>
      </w:r>
    </w:p>
    <w:p w14:paraId="6621AF99" w14:textId="64ADFD07"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106</w:t>
      </w:r>
      <w:r>
        <w:fldChar w:fldCharType="end"/>
      </w:r>
      <w:r w:rsidR="00125707" w:rsidRPr="002A677E">
        <w:t>.</w:t>
      </w:r>
      <w:r w:rsidR="00125707" w:rsidRPr="002A677E">
        <w:tab/>
      </w:r>
      <w:r w:rsidR="00BB22D4" w:rsidRPr="002A677E">
        <w:t>In accordance with</w:t>
      </w:r>
      <w:r w:rsidR="00D021AF" w:rsidRPr="002A677E">
        <w:t xml:space="preserve"> </w:t>
      </w:r>
      <w:r w:rsidR="00612780" w:rsidRPr="002A677E">
        <w:t>Article 92(4)</w:t>
      </w:r>
      <w:r w:rsidR="00B83DDE">
        <w:t>, p</w:t>
      </w:r>
      <w:r w:rsidR="00DF4FF2" w:rsidRPr="002A677E">
        <w:t>oint (b)</w:t>
      </w:r>
      <w:r w:rsidR="00BE1277">
        <w:t>,</w:t>
      </w:r>
      <w:r w:rsidR="00DF4FF2" w:rsidRPr="002A677E">
        <w:t xml:space="preserve"> </w:t>
      </w:r>
      <w:r w:rsidR="00FD2AE8" w:rsidRPr="001235ED">
        <w:rPr>
          <w:lang w:val="en-US"/>
        </w:rPr>
        <w:t>of Regulation (EU) No 575/2013</w:t>
      </w:r>
      <w:r w:rsidR="00612780" w:rsidRPr="002A677E">
        <w:t>, the own funds requirements for settlement/delivery risk shall be multiplied by 12</w:t>
      </w:r>
      <w:r w:rsidR="00D021AF" w:rsidRPr="002A677E">
        <w:t>,</w:t>
      </w:r>
      <w:r w:rsidR="00612780" w:rsidRPr="002A677E">
        <w:t>5 to calculate the risk exposure amount.</w:t>
      </w:r>
    </w:p>
    <w:p w14:paraId="355A5C98" w14:textId="01D0E21E" w:rsidR="00612780"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107</w:t>
      </w:r>
      <w:r>
        <w:fldChar w:fldCharType="end"/>
      </w:r>
      <w:r w:rsidR="00125707" w:rsidRPr="002A677E">
        <w:t>.</w:t>
      </w:r>
      <w:r w:rsidR="00125707" w:rsidRPr="002A677E">
        <w:tab/>
      </w:r>
      <w:r w:rsidR="00612780" w:rsidRPr="002A677E">
        <w:t xml:space="preserve">Note that own funds requirements for free deliveries as laid down in Article 379 </w:t>
      </w:r>
      <w:r w:rsidR="00FD2AE8" w:rsidRPr="001235ED">
        <w:rPr>
          <w:lang w:val="en-US"/>
        </w:rPr>
        <w:t>of Regulation (EU) No 575/2013</w:t>
      </w:r>
      <w:r w:rsidR="00612780" w:rsidRPr="002A677E">
        <w:t xml:space="preserve"> are not within the scope of the CR SETT template</w:t>
      </w:r>
      <w:r w:rsidR="00D021AF" w:rsidRPr="002A677E">
        <w:t>.</w:t>
      </w:r>
      <w:r w:rsidR="00612780" w:rsidRPr="002A677E">
        <w:t xml:space="preserve"> </w:t>
      </w:r>
      <w:r w:rsidR="00D021AF" w:rsidRPr="002A677E">
        <w:t>Those own funds requirements</w:t>
      </w:r>
      <w:r w:rsidR="00612780" w:rsidRPr="002A677E">
        <w:t xml:space="preserve"> shall be reported in the credit risk templates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5" w:name="_Toc310415037"/>
      <w:bookmarkStart w:id="406" w:name="_Toc360188374"/>
      <w:bookmarkStart w:id="407" w:name="_Toc473560925"/>
      <w:bookmarkStart w:id="408" w:name="_Toc15171443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Instructions concerning specific positions</w:t>
      </w:r>
      <w:bookmarkEnd w:id="405"/>
      <w:bookmarkEnd w:id="406"/>
      <w:bookmarkEnd w:id="407"/>
      <w:bookmarkEnd w:id="4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34DCAB1C" w14:textId="152AFA9C"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unsettled transactions after their due delivery date at the respective agreed settlement prices</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109D1D01"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All unsettled transactions </w:t>
            </w:r>
            <w:r w:rsidR="00C93697" w:rsidRPr="002A677E">
              <w:rPr>
                <w:rFonts w:ascii="Times New Roman" w:hAnsi="Times New Roman"/>
                <w:sz w:val="24"/>
              </w:rPr>
              <w:t>shall</w:t>
            </w:r>
            <w:r w:rsidRPr="002A677E">
              <w:rPr>
                <w:rFonts w:ascii="Times New Roman" w:hAnsi="Times New Roman"/>
                <w:sz w:val="24"/>
              </w:rPr>
              <w:t xml:space="preserve"> be included in this column, irrespective of whether or not they are at a gain or at a loss after the due settlement date.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3F5B0EE4" w14:textId="2CDCDECE"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2A677E">
              <w:rPr>
                <w:rFonts w:ascii="Times New Roman" w:hAnsi="Times New Roman"/>
                <w:sz w:val="24"/>
              </w:rPr>
              <w:t>,</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23570610"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Only unsettled transactions at a loss after the due settlement date </w:t>
            </w:r>
            <w:r w:rsidR="00C93697" w:rsidRPr="002A677E">
              <w:rPr>
                <w:rFonts w:ascii="Times New Roman" w:hAnsi="Times New Roman"/>
                <w:sz w:val="24"/>
              </w:rPr>
              <w:t>shall</w:t>
            </w:r>
            <w:r w:rsidRPr="002A677E">
              <w:rPr>
                <w:rFonts w:ascii="Times New Roman" w:hAnsi="Times New Roman"/>
                <w:sz w:val="24"/>
              </w:rPr>
              <w:t xml:space="preserve"> be reported in </w:t>
            </w:r>
            <w:r w:rsidR="00302C3F" w:rsidRPr="002A677E">
              <w:rPr>
                <w:rFonts w:ascii="Times New Roman" w:hAnsi="Times New Roman"/>
                <w:sz w:val="24"/>
              </w:rPr>
              <w:t xml:space="preserve">this </w:t>
            </w:r>
            <w:r w:rsidRPr="002A677E">
              <w:rPr>
                <w:rFonts w:ascii="Times New Roman" w:hAnsi="Times New Roman"/>
                <w:sz w:val="24"/>
              </w:rPr>
              <w:t>column</w:t>
            </w:r>
            <w:r w:rsidR="00D021AF" w:rsidRPr="002A677E">
              <w:rPr>
                <w:rFonts w:ascii="Times New Roman" w:hAnsi="Times New Roman"/>
                <w:sz w:val="24"/>
              </w:rPr>
              <w: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1A4486D5" w14:textId="305C5E2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the own funds requirements calculated in accordance with Article 378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74FAF790" w14:textId="44F16A76"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92(4)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institutions </w:t>
            </w:r>
            <w:r w:rsidR="00D021AF" w:rsidRPr="002A677E">
              <w:rPr>
                <w:rFonts w:ascii="Times New Roman" w:hAnsi="Times New Roman"/>
                <w:sz w:val="24"/>
              </w:rPr>
              <w:t xml:space="preserve">shall </w:t>
            </w:r>
            <w:r w:rsidRPr="002A677E">
              <w:rPr>
                <w:rFonts w:ascii="Times New Roman" w:hAnsi="Times New Roman"/>
                <w:sz w:val="24"/>
              </w:rPr>
              <w:t>multiply their own funds requirements reported in column 0</w:t>
            </w:r>
            <w:r w:rsidR="006E0E76" w:rsidRPr="002A677E">
              <w:rPr>
                <w:rFonts w:ascii="Times New Roman" w:hAnsi="Times New Roman"/>
                <w:sz w:val="24"/>
              </w:rPr>
              <w:t>0</w:t>
            </w:r>
            <w:r w:rsidRPr="002A677E">
              <w:rPr>
                <w:rFonts w:ascii="Times New Roman" w:hAnsi="Times New Roman"/>
                <w:sz w:val="24"/>
              </w:rPr>
              <w:t>30 by 12.5 in order to obtain the settlement risk exposure amount.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Rows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3E8F5041" w14:textId="40C4237D"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D021AF" w:rsidRPr="002A677E">
              <w:rPr>
                <w:rFonts w:ascii="Times New Roman" w:hAnsi="Times New Roman"/>
                <w:sz w:val="24"/>
              </w:rPr>
              <w:t xml:space="preserve">as referred to </w:t>
            </w:r>
            <w:r w:rsidRPr="002A677E">
              <w:rPr>
                <w:rFonts w:ascii="Times New Roman" w:hAnsi="Times New Roman"/>
                <w:sz w:val="24"/>
              </w:rPr>
              <w:t>in</w:t>
            </w:r>
            <w:r w:rsidR="00402284">
              <w:rPr>
                <w:rFonts w:ascii="Times New Roman" w:hAnsi="Times New Roman"/>
                <w:sz w:val="24"/>
              </w:rPr>
              <w:t xml:space="preserve"> </w:t>
            </w:r>
            <w:r w:rsidRPr="002A677E">
              <w:rPr>
                <w:rFonts w:ascii="Times New Roman" w:hAnsi="Times New Roman"/>
                <w:sz w:val="24"/>
              </w:rPr>
              <w:t>Article 92(</w:t>
            </w:r>
            <w:r w:rsidR="005920EE">
              <w:rPr>
                <w:rFonts w:ascii="Times New Roman" w:hAnsi="Times New Roman"/>
                <w:sz w:val="24"/>
              </w:rPr>
              <w:t>4</w:t>
            </w:r>
            <w:r w:rsidRPr="002A677E">
              <w:rPr>
                <w:rFonts w:ascii="Times New Roman" w:hAnsi="Times New Roman"/>
                <w:sz w:val="24"/>
              </w:rPr>
              <w:t>)</w:t>
            </w:r>
            <w:r w:rsidR="00B83DDE">
              <w:rPr>
                <w:rFonts w:ascii="Times New Roman" w:hAnsi="Times New Roman"/>
                <w:sz w:val="24"/>
              </w:rPr>
              <w:t>, p</w:t>
            </w:r>
            <w:r w:rsidR="00DF4FF2" w:rsidRPr="002A677E">
              <w:rPr>
                <w:rFonts w:ascii="Times New Roman" w:hAnsi="Times New Roman"/>
                <w:sz w:val="24"/>
              </w:rPr>
              <w:t>oint (c</w:t>
            </w:r>
            <w:r w:rsidR="005920EE">
              <w:rPr>
                <w:rFonts w:ascii="Times New Roman" w:hAnsi="Times New Roman"/>
                <w:sz w:val="24"/>
              </w:rPr>
              <w:t>a</w:t>
            </w:r>
            <w:r w:rsidR="00DF4FF2" w:rsidRPr="002A677E">
              <w:rPr>
                <w:rFonts w:ascii="Times New Roman" w:hAnsi="Times New Roman"/>
                <w:sz w:val="24"/>
              </w:rPr>
              <w:t xml:space="preserve">) </w:t>
            </w:r>
            <w:r w:rsidRPr="002A677E">
              <w:rPr>
                <w:rFonts w:ascii="Times New Roman" w:hAnsi="Times New Roman"/>
                <w:sz w:val="24"/>
              </w:rPr>
              <w:t xml:space="preserve">and </w:t>
            </w:r>
            <w:r w:rsidR="00D021AF" w:rsidRPr="002A677E">
              <w:rPr>
                <w:rFonts w:ascii="Times New Roman" w:hAnsi="Times New Roman"/>
                <w:sz w:val="24"/>
              </w:rPr>
              <w:t>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1B06A67B"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692D807E"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020</w:t>
            </w:r>
            <w:r w:rsidR="00302C3F"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1A74A60" w14:textId="1079D0EE"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030</w:t>
            </w:r>
            <w:r w:rsidR="00302C3F"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 xml:space="preserve">summing the own funds requirements for unsettled transactions by multiplying the “price difference” reported in column </w:t>
            </w:r>
            <w:r w:rsidR="006E0E76" w:rsidRPr="002A677E">
              <w:rPr>
                <w:rFonts w:ascii="Times New Roman" w:hAnsi="Times New Roman"/>
                <w:sz w:val="24"/>
              </w:rPr>
              <w:t>0</w:t>
            </w:r>
            <w:r w:rsidRPr="002A677E">
              <w:rPr>
                <w:rFonts w:ascii="Times New Roman" w:hAnsi="Times New Roman"/>
                <w:sz w:val="24"/>
              </w:rPr>
              <w:t>020 by the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20</w:t>
            </w:r>
            <w:r w:rsidR="00403B9F">
              <w:rPr>
                <w:rFonts w:ascii="Times New Roman" w:hAnsi="Times New Roman"/>
                <w:sz w:val="24"/>
              </w:rPr>
              <w:t>-</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59056" w14:textId="3A88190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20 to 0</w:t>
            </w:r>
            <w:r w:rsidR="006E0E76" w:rsidRPr="002A677E">
              <w:rPr>
                <w:rFonts w:ascii="Times New Roman" w:hAnsi="Times New Roman"/>
                <w:sz w:val="24"/>
              </w:rPr>
              <w:t>0</w:t>
            </w:r>
            <w:r w:rsidR="00D021AF" w:rsidRPr="002A677E">
              <w:rPr>
                <w:rFonts w:ascii="Times New Roman" w:hAnsi="Times New Roman"/>
                <w:sz w:val="24"/>
              </w:rPr>
              <w:t>60</w:t>
            </w:r>
            <w:r w:rsidR="00302C3F" w:rsidRPr="002A677E">
              <w:rPr>
                <w:rFonts w:ascii="Times New Roman" w:hAnsi="Times New Roman"/>
                <w:sz w:val="24"/>
              </w:rPr>
              <w:t xml:space="preserve">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ACF01FD"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4E51C129" w14:textId="6902D640"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 xml:space="preserve">about </w:t>
            </w:r>
            <w:r w:rsidRPr="002A677E">
              <w:rPr>
                <w:rFonts w:ascii="Times New Roman" w:hAnsi="Times New Roman"/>
                <w:sz w:val="24"/>
              </w:rPr>
              <w:t>settlement/delivery risk for trading book positions (</w:t>
            </w:r>
            <w:r w:rsidR="00D021AF" w:rsidRPr="002A677E">
              <w:rPr>
                <w:rFonts w:ascii="Times New Roman" w:hAnsi="Times New Roman"/>
                <w:sz w:val="24"/>
              </w:rPr>
              <w:t xml:space="preserve">as referred to in </w:t>
            </w:r>
            <w:r w:rsidRPr="002A677E">
              <w:rPr>
                <w:rFonts w:ascii="Times New Roman" w:hAnsi="Times New Roman"/>
                <w:sz w:val="24"/>
              </w:rPr>
              <w:t>Article 92(</w:t>
            </w:r>
            <w:r w:rsidR="00772693">
              <w:rPr>
                <w:rFonts w:ascii="Times New Roman" w:hAnsi="Times New Roman"/>
                <w:sz w:val="24"/>
              </w:rPr>
              <w:t>4</w:t>
            </w:r>
            <w:r w:rsidRPr="002A677E">
              <w:rPr>
                <w:rFonts w:ascii="Times New Roman" w:hAnsi="Times New Roman"/>
                <w:sz w:val="24"/>
              </w:rPr>
              <w:t>)</w:t>
            </w:r>
            <w:r w:rsidR="00B83DDE">
              <w:rPr>
                <w:rFonts w:ascii="Times New Roman" w:hAnsi="Times New Roman"/>
                <w:sz w:val="24"/>
              </w:rPr>
              <w:t>, p</w:t>
            </w:r>
            <w:r w:rsidR="00DF4FF2" w:rsidRPr="002A677E">
              <w:rPr>
                <w:rFonts w:ascii="Times New Roman" w:hAnsi="Times New Roman"/>
                <w:sz w:val="24"/>
              </w:rPr>
              <w:t>oint (c</w:t>
            </w:r>
            <w:r w:rsidR="00772693">
              <w:rPr>
                <w:rFonts w:ascii="Times New Roman" w:hAnsi="Times New Roman"/>
                <w:sz w:val="24"/>
              </w:rPr>
              <w:t>a</w:t>
            </w:r>
            <w:r w:rsidR="00DF4FF2" w:rsidRPr="002A677E">
              <w:rPr>
                <w:rFonts w:ascii="Times New Roman" w:hAnsi="Times New Roman"/>
                <w:sz w:val="24"/>
              </w:rPr>
              <w:t xml:space="preserve">) </w:t>
            </w:r>
            <w:r w:rsidRPr="002A677E">
              <w:rPr>
                <w:rFonts w:ascii="Times New Roman" w:hAnsi="Times New Roman"/>
                <w:sz w:val="24"/>
              </w:rPr>
              <w:t xml:space="preserve">and </w:t>
            </w:r>
            <w:r w:rsidR="00D021AF" w:rsidRPr="002A677E">
              <w:rPr>
                <w:rFonts w:ascii="Times New Roman" w:hAnsi="Times New Roman"/>
                <w:sz w:val="24"/>
              </w:rPr>
              <w:t xml:space="preserve">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316C2F71"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E921F1"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1E64CAF5"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E921F1"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BCAE8BB" w14:textId="4632B902" w:rsidR="00745369" w:rsidRPr="002A677E" w:rsidRDefault="00612780" w:rsidP="00DF4FF2">
            <w:pPr>
              <w:spacing w:beforeLines="60" w:before="144" w:afterLines="60" w:after="144"/>
              <w:rPr>
                <w:rFonts w:ascii="Times New Roman" w:hAnsi="Times New Roman"/>
                <w:b/>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r w:rsidR="00E921F1"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summing the own funds requirements for unsettled transactions by multiplying the “price difference” reported in column 0</w:t>
            </w:r>
            <w:r w:rsidR="006E0E76" w:rsidRPr="002A677E">
              <w:rPr>
                <w:rFonts w:ascii="Times New Roman" w:hAnsi="Times New Roman"/>
                <w:sz w:val="24"/>
              </w:rPr>
              <w:t>0</w:t>
            </w:r>
            <w:r w:rsidRPr="002A677E">
              <w:rPr>
                <w:rFonts w:ascii="Times New Roman" w:hAnsi="Times New Roman"/>
                <w:sz w:val="24"/>
              </w:rPr>
              <w:t>20 by an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Table 1</w:t>
            </w:r>
            <w:r w:rsidR="00FD2AE8"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r w:rsidR="00403B9F">
              <w:rPr>
                <w:rFonts w:ascii="Times New Roman" w:hAnsi="Times New Roman"/>
                <w:sz w:val="24"/>
              </w:rPr>
              <w:t>-</w:t>
            </w:r>
            <w:r w:rsidR="006E0E76" w:rsidRPr="002A677E">
              <w:rPr>
                <w:rFonts w:ascii="Times New Roman" w:hAnsi="Times New Roman"/>
                <w:sz w:val="24"/>
              </w:rPr>
              <w:t>0</w:t>
            </w:r>
            <w:r w:rsidRPr="002A677E">
              <w:rPr>
                <w:rFonts w:ascii="Times New Roman" w:hAnsi="Times New Roman"/>
                <w:sz w:val="24"/>
              </w:rPr>
              <w:t>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63665BC6" w14:textId="7946433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 xml:space="preserve">80 to </w:t>
            </w:r>
            <w:r w:rsidR="006E0E76" w:rsidRPr="002A677E">
              <w:rPr>
                <w:rFonts w:ascii="Times New Roman" w:hAnsi="Times New Roman"/>
                <w:sz w:val="24"/>
              </w:rPr>
              <w:t>0</w:t>
            </w:r>
            <w:r w:rsidR="00D021AF" w:rsidRPr="002A677E">
              <w:rPr>
                <w:rFonts w:ascii="Times New Roman" w:hAnsi="Times New Roman"/>
                <w:sz w:val="24"/>
              </w:rPr>
              <w:t xml:space="preserve">120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8DB9D3C" w14:textId="77777777" w:rsidR="00745369" w:rsidRPr="002A677E" w:rsidRDefault="00612780" w:rsidP="00D021AF">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09" w:name="_Toc522019827"/>
      <w:bookmarkStart w:id="410" w:name="_Toc151714433"/>
      <w:r w:rsidRPr="002A677E">
        <w:rPr>
          <w:rFonts w:ascii="Times New Roman" w:hAnsi="Times New Roman" w:cs="Times New Roman"/>
          <w:sz w:val="24"/>
          <w:u w:val="none"/>
          <w:lang w:val="en-GB"/>
        </w:rPr>
        <w:t>3.7.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13.01 - Credit Risk – Securitisations (CR SEC)</w:t>
      </w:r>
      <w:bookmarkEnd w:id="409"/>
      <w:bookmarkEnd w:id="410"/>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1" w:name="_Toc522019828"/>
      <w:bookmarkStart w:id="412" w:name="_Toc15171443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11"/>
      <w:bookmarkEnd w:id="412"/>
    </w:p>
    <w:p w14:paraId="484A60BF" w14:textId="2CE23DC7" w:rsidR="00E026FB"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108</w:t>
      </w:r>
      <w:r>
        <w:fldChar w:fldCharType="end"/>
      </w:r>
      <w:r w:rsidR="00E026FB" w:rsidRPr="002A677E">
        <w:t>.</w:t>
      </w:r>
      <w:r w:rsidR="005C14B0" w:rsidRPr="002A677E">
        <w:t xml:space="preserve"> </w:t>
      </w:r>
      <w:r w:rsidR="00D021AF" w:rsidRPr="002A677E">
        <w:t xml:space="preserve">Where </w:t>
      </w:r>
      <w:r w:rsidR="00E026FB" w:rsidRPr="002A677E">
        <w:t xml:space="preserve">institution acts as originator, the information in this template </w:t>
      </w:r>
      <w:r w:rsidR="007A00D6" w:rsidRPr="002A677E">
        <w:t>shall be</w:t>
      </w:r>
      <w:r w:rsidR="00E026FB" w:rsidRPr="002A677E">
        <w:t xml:space="preserve"> required for all securitisations for which a significant risk transfer is recognised. </w:t>
      </w:r>
      <w:r w:rsidR="00D021AF" w:rsidRPr="002A677E">
        <w:t>Where</w:t>
      </w:r>
      <w:r w:rsidR="00E026FB" w:rsidRPr="002A677E">
        <w:t xml:space="preserve"> the institution acts as investor, all exposures shall be reported. </w:t>
      </w:r>
    </w:p>
    <w:p w14:paraId="686E6583" w14:textId="7E68BDAD" w:rsidR="00E026FB"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109</w:t>
      </w:r>
      <w:r>
        <w:fldChar w:fldCharType="end"/>
      </w:r>
      <w:r w:rsidR="00E026FB" w:rsidRPr="002A677E">
        <w:t>.</w:t>
      </w:r>
      <w:r w:rsidR="00E026FB" w:rsidRPr="002A677E">
        <w:tab/>
      </w:r>
      <w:r w:rsidR="005C14B0" w:rsidRPr="002A677E">
        <w:t xml:space="preserve"> </w:t>
      </w:r>
      <w:r w:rsidR="00E026FB" w:rsidRPr="002A677E">
        <w:t xml:space="preserve">The information to be reported </w:t>
      </w:r>
      <w:r w:rsidR="00D021AF" w:rsidRPr="002A677E">
        <w:t>shall be</w:t>
      </w:r>
      <w:r w:rsidR="00E026FB" w:rsidRPr="002A677E">
        <w:t xml:space="preserve"> contingent on the role of the institution </w:t>
      </w:r>
      <w:r w:rsidR="00A16FFF" w:rsidRPr="002A677E">
        <w:t>in</w:t>
      </w:r>
      <w:r w:rsidR="00E026FB" w:rsidRPr="002A677E">
        <w:t xml:space="preserve"> the securitisation</w:t>
      </w:r>
      <w:r w:rsidR="00A16FFF" w:rsidRPr="002A677E">
        <w:t xml:space="preserve"> process</w:t>
      </w:r>
      <w:r w:rsidR="00E026FB" w:rsidRPr="002A677E">
        <w:t xml:space="preserve">. As such, specific reporting items </w:t>
      </w:r>
      <w:r w:rsidR="007A00D6" w:rsidRPr="002A677E">
        <w:t>shall be</w:t>
      </w:r>
      <w:r w:rsidR="00E026FB" w:rsidRPr="002A677E">
        <w:t xml:space="preserve"> applicable for originators, sponsors and investors.</w:t>
      </w:r>
    </w:p>
    <w:p w14:paraId="6E394288" w14:textId="13419381" w:rsidR="00E026FB"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110</w:t>
      </w:r>
      <w:r>
        <w:fldChar w:fldCharType="end"/>
      </w:r>
      <w:r w:rsidR="00E026FB" w:rsidRPr="002A677E">
        <w:t>.</w:t>
      </w:r>
      <w:r w:rsidR="005C14B0" w:rsidRPr="002A677E">
        <w:t xml:space="preserve"> </w:t>
      </w:r>
      <w:r w:rsidR="00E026FB" w:rsidRPr="002A677E">
        <w:t xml:space="preserve">This template </w:t>
      </w:r>
      <w:r w:rsidR="00D021AF" w:rsidRPr="002A677E">
        <w:t xml:space="preserve">shall </w:t>
      </w:r>
      <w:r w:rsidR="00E026FB" w:rsidRPr="002A677E">
        <w:t xml:space="preserve">gather joint information on both traditional and synthetic securitisations held in the banking book.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3" w:name="_Toc522019829"/>
      <w:bookmarkStart w:id="414" w:name="_Toc15171443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413"/>
      <w:bookmarkEnd w:id="41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w:t>
            </w:r>
            <w:r w:rsidR="007A00D6" w:rsidRPr="002A677E">
              <w:rPr>
                <w:rFonts w:ascii="Times New Roman" w:hAnsi="Times New Roman"/>
                <w:sz w:val="24"/>
              </w:rPr>
              <w:t>shall</w:t>
            </w:r>
            <w:r w:rsidRPr="002A677E">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2A677E">
              <w:rPr>
                <w:rFonts w:ascii="Times New Roman" w:hAnsi="Times New Roman"/>
                <w:sz w:val="24"/>
              </w:rPr>
              <w:t>at</w:t>
            </w:r>
            <w:r w:rsidRPr="002A677E">
              <w:rPr>
                <w:rFonts w:ascii="Times New Roman" w:hAnsi="Times New Roman"/>
                <w:sz w:val="24"/>
              </w:rPr>
              <w:t xml:space="preserve"> purpose</w:t>
            </w:r>
            <w:r w:rsidR="00D021AF" w:rsidRPr="002A677E">
              <w:rPr>
                <w:rFonts w:ascii="Times New Roman" w:hAnsi="Times New Roman"/>
                <w:sz w:val="24"/>
              </w:rPr>
              <w:t>,</w:t>
            </w:r>
            <w:r w:rsidRPr="002A677E">
              <w:rPr>
                <w:rFonts w:ascii="Times New Roman" w:hAnsi="Times New Roman"/>
                <w:sz w:val="24"/>
              </w:rPr>
              <w:t xml:space="preserve"> securitisation positions held by the originator </w:t>
            </w:r>
            <w:r w:rsidR="007A00D6" w:rsidRPr="002A677E">
              <w:rPr>
                <w:rFonts w:ascii="Times New Roman" w:hAnsi="Times New Roman"/>
                <w:sz w:val="24"/>
              </w:rPr>
              <w:t xml:space="preserve">shall </w:t>
            </w:r>
            <w:r w:rsidRPr="002A677E">
              <w:rPr>
                <w:rFonts w:ascii="Times New Roman" w:hAnsi="Times New Roman"/>
                <w:sz w:val="24"/>
              </w:rPr>
              <w:t>include early amortisation provisions</w:t>
            </w:r>
            <w:r w:rsidR="00D021AF" w:rsidRPr="002A677E">
              <w:rPr>
                <w:rFonts w:ascii="Times New Roman" w:hAnsi="Times New Roman"/>
                <w:sz w:val="24"/>
              </w:rPr>
              <w:t>,</w:t>
            </w:r>
            <w:r w:rsidRPr="002A677E">
              <w:rPr>
                <w:rFonts w:ascii="Times New Roman" w:hAnsi="Times New Roman"/>
                <w:sz w:val="24"/>
              </w:rPr>
              <w:t xml:space="preserve"> </w:t>
            </w:r>
            <w:r w:rsidR="00D021AF" w:rsidRPr="002A677E">
              <w:rPr>
                <w:rFonts w:ascii="Times New Roman" w:hAnsi="Times New Roman"/>
                <w:sz w:val="24"/>
              </w:rPr>
              <w:t xml:space="preserve">as defined in Article 242(16) </w:t>
            </w:r>
            <w:r w:rsidR="00FD2AE8" w:rsidRPr="001235ED">
              <w:rPr>
                <w:rFonts w:ascii="Times New Roman" w:hAnsi="Times New Roman"/>
                <w:sz w:val="24"/>
                <w:lang w:val="en-US"/>
              </w:rPr>
              <w:t>of Regulation (EU) No 575/2013</w:t>
            </w:r>
            <w:r w:rsidR="00D021AF" w:rsidRPr="002A677E">
              <w:rPr>
                <w:rFonts w:ascii="Times New Roman" w:hAnsi="Times New Roman"/>
                <w:sz w:val="24"/>
              </w:rPr>
              <w:t xml:space="preserve">, </w:t>
            </w:r>
            <w:r w:rsidRPr="002A677E">
              <w:rPr>
                <w:rFonts w:ascii="Times New Roman" w:hAnsi="Times New Roman"/>
                <w:sz w:val="24"/>
              </w:rPr>
              <w:t>in a securitisation of revolving exposures.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Articles 251 and 252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be reported in this column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223(2)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Following the general rule for “inflows” and “outflows”</w:t>
            </w:r>
            <w:r w:rsidR="00D021AF" w:rsidRPr="002A677E">
              <w:rPr>
                <w:rFonts w:ascii="Times New Roman" w:hAnsi="Times New Roman"/>
                <w:sz w:val="24"/>
              </w:rPr>
              <w:t>,</w:t>
            </w:r>
            <w:r w:rsidRPr="002A677E">
              <w:rPr>
                <w:rFonts w:ascii="Times New Roman" w:hAnsi="Times New Roman"/>
                <w:sz w:val="24"/>
              </w:rPr>
              <w:t xml:space="preserve"> the amounts reported under this column shall appear as “inflows” in the corresponding credit risk template (CR SA or CR IRB) and exposure class </w:t>
            </w:r>
            <w:r w:rsidR="006B2333" w:rsidRPr="002A677E">
              <w:rPr>
                <w:rFonts w:ascii="Times New Roman" w:hAnsi="Times New Roman"/>
                <w:sz w:val="24"/>
              </w:rPr>
              <w:t xml:space="preserve">to which the reporting entity allocates the protection provider </w:t>
            </w:r>
            <w:r w:rsidRPr="002A677E">
              <w:rPr>
                <w:rFonts w:ascii="Times New Roman" w:hAnsi="Times New Roman"/>
                <w:sz w:val="24"/>
              </w:rPr>
              <w:t>(i.e. the third party to which the tranche is transferred by means of unfunded credit protection).</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233(3)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 xml:space="preserve">CONVERSION FACTORS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held by the reporting institution, 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aragraphs 1 and 2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without applying credit conversion factors, gross of value adjustments and provisions</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DE223B"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gross of value adjustments and provisions on the securitisation 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w:t>
            </w:r>
            <w:r w:rsidR="00D021AF" w:rsidRPr="002A677E">
              <w:rPr>
                <w:rFonts w:ascii="Times New Roman" w:hAnsi="Times New Roman"/>
                <w:sz w:val="24"/>
                <w:lang w:eastAsia="es-ES_tradnl"/>
              </w:rPr>
              <w:t>shall</w:t>
            </w:r>
            <w:r w:rsidRPr="002A677E">
              <w:rPr>
                <w:rFonts w:ascii="Times New Roman" w:hAnsi="Times New Roman"/>
                <w:sz w:val="24"/>
                <w:lang w:eastAsia="es-ES_tradnl"/>
              </w:rPr>
              <w:t xml:space="preserve"> only </w:t>
            </w:r>
            <w:r w:rsidR="00D021AF" w:rsidRPr="002A677E">
              <w:rPr>
                <w:rFonts w:ascii="Times New Roman" w:hAnsi="Times New Roman"/>
                <w:sz w:val="24"/>
                <w:lang w:eastAsia="es-ES_tradnl"/>
              </w:rPr>
              <w:t xml:space="preserve">be </w:t>
            </w:r>
            <w:r w:rsidRPr="002A677E">
              <w:rPr>
                <w:rFonts w:ascii="Times New Roman" w:hAnsi="Times New Roman"/>
                <w:sz w:val="24"/>
                <w:lang w:eastAsia="es-ES_tradnl"/>
              </w:rPr>
              <w:t xml:space="preserve">relevant with respect to multiple derivative contracts provided to the same SSPE, covered by an eligible netting agreement.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 xml:space="preserve">Article 248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Value adjustments and provisions to be reported in this column </w:t>
            </w:r>
            <w:r w:rsidR="007A00D6" w:rsidRPr="002A677E">
              <w:rPr>
                <w:rFonts w:ascii="Times New Roman" w:hAnsi="Times New Roman"/>
                <w:sz w:val="24"/>
                <w:lang w:eastAsia="es-ES_tradnl"/>
              </w:rPr>
              <w:t xml:space="preserve">shall </w:t>
            </w:r>
            <w:r w:rsidRPr="002A677E">
              <w:rPr>
                <w:rFonts w:ascii="Times New Roman" w:hAnsi="Times New Roman"/>
                <w:sz w:val="24"/>
                <w:lang w:eastAsia="es-ES_tradnl"/>
              </w:rPr>
              <w:t xml:space="preserve">only refer to securitisation positions. Value adjustments of securitised exposures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not</w:t>
            </w:r>
            <w:r w:rsidR="007A00D6" w:rsidRPr="002A677E">
              <w:rPr>
                <w:rFonts w:ascii="Times New Roman" w:hAnsi="Times New Roman"/>
                <w:sz w:val="24"/>
                <w:lang w:eastAsia="es-ES_tradnl"/>
              </w:rPr>
              <w:t xml:space="preserve"> be</w:t>
            </w:r>
            <w:r w:rsidRPr="002A677E">
              <w:rPr>
                <w:rFonts w:ascii="Times New Roman" w:hAnsi="Times New Roman"/>
                <w:sz w:val="24"/>
                <w:lang w:eastAsia="es-ES_tradnl"/>
              </w:rPr>
              <w:t xml:space="preserve"> considered.</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w:t>
            </w:r>
            <w:r w:rsidR="00D021AF"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3A0532">
              <w:rPr>
                <w:rFonts w:ascii="Times New Roman" w:hAnsi="Times New Roman"/>
                <w:sz w:val="24"/>
                <w:lang w:eastAsia="es-ES_tradnl"/>
              </w:rPr>
              <w:t xml:space="preserve">(1) </w:t>
            </w:r>
            <w:r w:rsidR="00DF4FF2" w:rsidRPr="002A677E">
              <w:rPr>
                <w:rFonts w:ascii="Times New Roman" w:hAnsi="Times New Roman"/>
                <w:sz w:val="24"/>
                <w:lang w:eastAsia="es-ES_tradnl"/>
              </w:rPr>
              <w:t xml:space="preserve">and </w:t>
            </w:r>
            <w:r w:rsidR="003A0532">
              <w:rPr>
                <w:rFonts w:ascii="Times New Roman" w:hAnsi="Times New Roman"/>
                <w:sz w:val="24"/>
                <w:lang w:eastAsia="es-ES_tradnl"/>
              </w:rPr>
              <w:t>(</w:t>
            </w:r>
            <w:r w:rsidR="00DF4FF2" w:rsidRPr="002A677E">
              <w:rPr>
                <w:rFonts w:ascii="Times New Roman" w:hAnsi="Times New Roman"/>
                <w:sz w:val="24"/>
                <w:lang w:eastAsia="es-ES_tradnl"/>
              </w:rPr>
              <w:t>2</w:t>
            </w:r>
            <w:r w:rsidR="003A0532">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net of value adjustments and provisions, without applying conversion factors</w:t>
            </w:r>
            <w:r w:rsidR="00E026FB" w:rsidRPr="002A677E">
              <w:t xml:space="preserve"> </w:t>
            </w:r>
            <w:r w:rsidR="00E026FB" w:rsidRPr="002A677E">
              <w:rPr>
                <w:rFonts w:ascii="Times New Roman" w:hAnsi="Times New Roman"/>
                <w:sz w:val="24"/>
                <w:lang w:eastAsia="es-ES_tradnl"/>
              </w:rPr>
              <w:t xml:space="preserve">and gross of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net of value adjustments and provisions on the securitisation 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Article 4(1)</w:t>
            </w:r>
            <w:r w:rsidR="00DF4FF2" w:rsidRPr="002A677E">
              <w:rPr>
                <w:rFonts w:ascii="Times New Roman" w:hAnsi="Times New Roman"/>
                <w:sz w:val="24"/>
                <w:lang w:eastAsia="es-ES_tradnl"/>
              </w:rPr>
              <w:t>, point (57)</w:t>
            </w:r>
            <w:r w:rsidRPr="002A677E">
              <w:rPr>
                <w:rFonts w:ascii="Times New Roman" w:hAnsi="Times New Roman"/>
                <w:sz w:val="24"/>
                <w:lang w:eastAsia="es-ES_tradnl"/>
              </w:rPr>
              <w:t>, Part Three</w:t>
            </w:r>
            <w:r w:rsidR="00FD2AE8"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Title II, Chapter 4</w:t>
            </w:r>
            <w:r w:rsidRPr="002A677E">
              <w:rPr>
                <w:rFonts w:ascii="Times New Roman" w:hAnsi="Times New Roman"/>
                <w:sz w:val="24"/>
                <w:lang w:eastAsia="es-ES_tradnl"/>
              </w:rPr>
              <w:t xml:space="preserve"> and Article 249 </w:t>
            </w:r>
            <w:r w:rsidR="00FD2AE8" w:rsidRPr="002A677E">
              <w:rPr>
                <w:rFonts w:ascii="Times New Roman" w:hAnsi="Times New Roman"/>
                <w:sz w:val="24"/>
                <w:lang w:eastAsia="es-ES_tradnl"/>
              </w:rPr>
              <w:t xml:space="preserve">of </w:t>
            </w:r>
            <w:r w:rsidR="00CE797B">
              <w:rPr>
                <w:rFonts w:ascii="Times New Roman" w:hAnsi="Times New Roman"/>
                <w:sz w:val="24"/>
                <w:lang w:val="en-US"/>
              </w:rPr>
              <w:t>Regulation (EU) No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w:t>
            </w:r>
            <w:r w:rsidR="00E026FB" w:rsidRPr="002A677E">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DA09CD">
            <w:pPr>
              <w:pStyle w:val="InstructionsText"/>
            </w:pPr>
            <w:r w:rsidRPr="002A677E">
              <w:t>C</w:t>
            </w:r>
            <w:r w:rsidR="00E026FB" w:rsidRPr="002A677E">
              <w:t xml:space="preserve">ollateral </w:t>
            </w:r>
            <w:r w:rsidRPr="002A677E">
              <w:t xml:space="preserve">that </w:t>
            </w:r>
            <w:r w:rsidR="00E026FB" w:rsidRPr="002A677E">
              <w:t>has an effect on the exposure value (e.g. if used for credit risk mitigation techniques with substitution effects on the exposure) shall be capped at the exposure value.</w:t>
            </w:r>
          </w:p>
          <w:p w14:paraId="466A5A4F" w14:textId="77777777" w:rsidR="00E026FB" w:rsidRPr="002A677E" w:rsidRDefault="00E026FB" w:rsidP="00DA09CD">
            <w:pPr>
              <w:pStyle w:val="InstructionsText"/>
            </w:pPr>
            <w:r w:rsidRPr="002A677E">
              <w:t>Items to be reported here:</w:t>
            </w:r>
          </w:p>
          <w:p w14:paraId="79175400" w14:textId="7634CCB5" w:rsidR="00E026FB" w:rsidRPr="002A677E" w:rsidRDefault="00E026FB" w:rsidP="001435E2">
            <w:pPr>
              <w:pStyle w:val="ListParagraph"/>
              <w:numPr>
                <w:ilvl w:val="0"/>
                <w:numId w:val="33"/>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w:t>
            </w:r>
            <w:r w:rsidR="00BB22D4" w:rsidRPr="002A677E">
              <w:rPr>
                <w:rFonts w:ascii="Times New Roman" w:hAnsi="Times New Roman"/>
                <w:sz w:val="24"/>
              </w:rPr>
              <w:t>in accordance with</w:t>
            </w:r>
            <w:r w:rsidRPr="002A677E">
              <w:rPr>
                <w:rFonts w:ascii="Times New Roman" w:hAnsi="Times New Roman"/>
                <w:sz w:val="24"/>
              </w:rPr>
              <w:t xml:space="preserve"> </w:t>
            </w:r>
            <w:r w:rsidR="00A16FFF" w:rsidRPr="002A677E">
              <w:rPr>
                <w:rFonts w:ascii="Times New Roman" w:hAnsi="Times New Roman"/>
                <w:sz w:val="24"/>
              </w:rPr>
              <w:t xml:space="preserve">Article 222 </w:t>
            </w:r>
            <w:r w:rsidR="00FD2AE8" w:rsidRPr="001235ED">
              <w:rPr>
                <w:rFonts w:ascii="Times New Roman" w:hAnsi="Times New Roman"/>
                <w:sz w:val="24"/>
                <w:lang w:val="en-US"/>
              </w:rPr>
              <w:t>of Regulation (EU) No 575/2013</w:t>
            </w:r>
            <w:r w:rsidR="00A16FFF" w:rsidRPr="002A677E">
              <w:rPr>
                <w:rFonts w:ascii="Times New Roman" w:hAnsi="Times New Roman"/>
                <w:sz w:val="24"/>
              </w:rPr>
              <w:t xml:space="preserve"> (</w:t>
            </w:r>
            <w:r w:rsidRPr="002A677E">
              <w:rPr>
                <w:rFonts w:ascii="Times New Roman" w:hAnsi="Times New Roman"/>
                <w:sz w:val="24"/>
              </w:rPr>
              <w:t>Financial Collateral Simple Method</w:t>
            </w:r>
            <w:r w:rsidR="00A16FFF" w:rsidRPr="002A677E">
              <w:rPr>
                <w:rFonts w:ascii="Times New Roman" w:hAnsi="Times New Roman"/>
                <w:sz w:val="24"/>
              </w:rPr>
              <w:t>)</w:t>
            </w:r>
            <w:r w:rsidRPr="002A677E">
              <w:rPr>
                <w:rFonts w:ascii="Times New Roman" w:hAnsi="Times New Roman"/>
                <w:sz w:val="24"/>
              </w:rPr>
              <w:t>;</w:t>
            </w:r>
          </w:p>
          <w:p w14:paraId="0EFE72E6" w14:textId="77777777" w:rsidR="00E026FB" w:rsidRPr="002A677E" w:rsidRDefault="00E026FB" w:rsidP="001435E2">
            <w:pPr>
              <w:pStyle w:val="ListParagraph"/>
              <w:numPr>
                <w:ilvl w:val="0"/>
                <w:numId w:val="33"/>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Unfunded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(59), Article</w:t>
            </w:r>
            <w:r w:rsidR="002B004B" w:rsidRPr="002A677E">
              <w:rPr>
                <w:rFonts w:ascii="Times New Roman" w:hAnsi="Times New Roman"/>
                <w:sz w:val="24"/>
                <w:lang w:eastAsia="es-ES_tradnl"/>
              </w:rPr>
              <w:t>s</w:t>
            </w:r>
            <w:r w:rsidRPr="002A677E">
              <w:rPr>
                <w:rFonts w:ascii="Times New Roman" w:hAnsi="Times New Roman"/>
                <w:sz w:val="24"/>
                <w:lang w:eastAsia="es-ES_tradnl"/>
              </w:rPr>
              <w:t xml:space="preserve"> 234</w:t>
            </w:r>
            <w:r w:rsidR="002B004B" w:rsidRPr="002A677E">
              <w:rPr>
                <w:rFonts w:ascii="Times New Roman" w:hAnsi="Times New Roman"/>
                <w:sz w:val="24"/>
                <w:lang w:eastAsia="es-ES_tradnl"/>
              </w:rPr>
              <w:t xml:space="preserve"> to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(58)</w:t>
            </w:r>
            <w:r w:rsidR="00FF161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D021AF" w:rsidRPr="002A677E">
              <w:rPr>
                <w:rFonts w:ascii="Times New Roman" w:hAnsi="Times New Roman"/>
                <w:sz w:val="24"/>
                <w:lang w:eastAsia="es-ES_tradnl"/>
              </w:rPr>
              <w:t xml:space="preserve">as referred to in the </w:t>
            </w:r>
            <w:r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Pr="002A677E">
              <w:rPr>
                <w:rFonts w:ascii="Times New Roman" w:hAnsi="Times New Roman"/>
                <w:sz w:val="24"/>
                <w:lang w:eastAsia="es-ES_tradnl"/>
              </w:rPr>
              <w:t xml:space="preserve"> 249</w:t>
            </w:r>
            <w:r w:rsidR="00D021AF" w:rsidRPr="002A677E">
              <w:rPr>
                <w:rFonts w:ascii="Times New Roman" w:hAnsi="Times New Roman"/>
                <w:sz w:val="24"/>
                <w:lang w:eastAsia="es-ES_tradnl"/>
              </w:rPr>
              <w:t>(2)</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first subparagraph </w:t>
            </w:r>
            <w:r w:rsidR="00FD2AE8" w:rsidRPr="001235ED">
              <w:rPr>
                <w:rFonts w:ascii="Times New Roman" w:hAnsi="Times New Roman"/>
                <w:sz w:val="24"/>
                <w:lang w:val="en-US"/>
              </w:rPr>
              <w:t>of that Regulation</w:t>
            </w:r>
            <w:r w:rsidRPr="002A677E">
              <w:rPr>
                <w:rFonts w:ascii="Times New Roman" w:hAnsi="Times New Roman"/>
                <w:sz w:val="24"/>
                <w:lang w:eastAsia="es-ES_tradnl"/>
              </w:rPr>
              <w:t xml:space="preserve"> and </w:t>
            </w:r>
            <w:r w:rsidR="00D021AF" w:rsidRPr="002A677E">
              <w:rPr>
                <w:rFonts w:ascii="Times New Roman" w:hAnsi="Times New Roman"/>
                <w:sz w:val="24"/>
                <w:lang w:eastAsia="es-ES_tradnl"/>
              </w:rPr>
              <w:t xml:space="preserve">as </w:t>
            </w:r>
            <w:r w:rsidRPr="002A677E">
              <w:rPr>
                <w:rFonts w:ascii="Times New Roman" w:hAnsi="Times New Roman"/>
                <w:sz w:val="24"/>
                <w:lang w:eastAsia="es-ES_tradnl"/>
              </w:rPr>
              <w:t>regulated in Articles 195, 197 and 200</w:t>
            </w:r>
            <w:r w:rsidR="00D021AF"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of that Regulation</w:t>
            </w:r>
            <w:r w:rsidR="00D021AF" w:rsidRPr="002A677E">
              <w:rPr>
                <w:rFonts w:ascii="Times New Roman" w:hAnsi="Times New Roman"/>
                <w:sz w:val="24"/>
                <w:lang w:eastAsia="es-ES_tradnl"/>
              </w:rPr>
              <w: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sidRPr="002A677E">
              <w:rPr>
                <w:rFonts w:ascii="Times New Roman" w:hAnsi="Times New Roman"/>
                <w:sz w:val="24"/>
              </w:rPr>
              <w:t>Credit linked notes and on-balance sheet netting</w:t>
            </w:r>
            <w:r w:rsidR="00D021AF" w:rsidRPr="002A677E">
              <w:rPr>
                <w:rFonts w:ascii="Times New Roman" w:hAnsi="Times New Roman"/>
                <w:sz w:val="24"/>
              </w:rPr>
              <w:t xml:space="preserve"> as referred to in </w:t>
            </w:r>
            <w:r w:rsidRPr="002A677E">
              <w:rPr>
                <w:rFonts w:ascii="Times New Roman" w:hAnsi="Times New Roman"/>
                <w:sz w:val="24"/>
              </w:rPr>
              <w:t xml:space="preserve">Articles 218 </w:t>
            </w:r>
            <w:r w:rsidR="00D021AF" w:rsidRPr="002A677E">
              <w:rPr>
                <w:rFonts w:ascii="Times New Roman" w:hAnsi="Times New Roman"/>
                <w:sz w:val="24"/>
              </w:rPr>
              <w:t>and 219</w:t>
            </w:r>
            <w:r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r w:rsidR="007A00D6" w:rsidRPr="002A677E">
              <w:rPr>
                <w:rFonts w:ascii="Times New Roman" w:hAnsi="Times New Roman"/>
                <w:sz w:val="24"/>
              </w:rPr>
              <w:t>shall be</w:t>
            </w:r>
            <w:r w:rsidRPr="002A677E">
              <w:rPr>
                <w:rFonts w:ascii="Times New Roman" w:hAnsi="Times New Roman"/>
                <w:sz w:val="24"/>
              </w:rPr>
              <w:t xml:space="preserve"> treated as cash collateral.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w:t>
            </w:r>
            <w:r w:rsidR="00D021AF" w:rsidRPr="002A677E">
              <w:rPr>
                <w:rFonts w:ascii="Times New Roman" w:hAnsi="Times New Roman"/>
                <w:sz w:val="24"/>
                <w:lang w:eastAsia="es-ES_tradnl"/>
              </w:rPr>
              <w:t xml:space="preserve"> Article </w:t>
            </w:r>
            <w:r w:rsidRPr="002A677E">
              <w:rPr>
                <w:rFonts w:ascii="Times New Roman" w:hAnsi="Times New Roman"/>
                <w:sz w:val="24"/>
                <w:lang w:eastAsia="es-ES_tradnl"/>
              </w:rPr>
              <w:t>235</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and 2 </w:t>
            </w:r>
            <w:r w:rsidRPr="002A677E">
              <w:rPr>
                <w:rFonts w:ascii="Times New Roman" w:hAnsi="Times New Roman"/>
                <w:sz w:val="24"/>
                <w:lang w:eastAsia="es-ES_tradnl"/>
              </w:rPr>
              <w:t xml:space="preserve">and </w:t>
            </w:r>
            <w:r w:rsidR="001E0C80" w:rsidRPr="002A677E">
              <w:rPr>
                <w:rFonts w:ascii="Times New Roman" w:hAnsi="Times New Roman"/>
                <w:sz w:val="24"/>
                <w:lang w:eastAsia="es-ES_tradnl"/>
              </w:rPr>
              <w:t xml:space="preserve">Article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w:t>
            </w:r>
            <w:r w:rsidR="0008126E" w:rsidRPr="002A677E">
              <w:rPr>
                <w:rFonts w:ascii="Times New Roman" w:hAnsi="Times New Roman"/>
                <w:sz w:val="24"/>
                <w:lang w:eastAsia="es-ES_tradnl"/>
              </w:rPr>
              <w:t xml:space="preserve">shall </w:t>
            </w:r>
            <w:r w:rsidRPr="002A677E">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and subsequently assigned 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w:t>
            </w:r>
            <w:r w:rsidR="00D021AF" w:rsidRPr="002A677E">
              <w:rPr>
                <w:rFonts w:ascii="Times New Roman" w:hAnsi="Times New Roman"/>
                <w:sz w:val="24"/>
                <w:lang w:eastAsia="es-ES_tradnl"/>
              </w:rPr>
              <w:t>at</w:t>
            </w:r>
            <w:r w:rsidRPr="002A677E">
              <w:rPr>
                <w:rFonts w:ascii="Times New Roman" w:hAnsi="Times New Roman"/>
                <w:sz w:val="24"/>
                <w:lang w:eastAsia="es-ES_tradnl"/>
              </w:rPr>
              <w:t xml:space="preserve"> amount shall be considered as an Inflow into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weights or obligor grades.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w:t>
            </w:r>
            <w:r w:rsidR="00D021AF" w:rsidRPr="002A677E">
              <w:rPr>
                <w:rFonts w:ascii="Times New Roman" w:hAnsi="Times New Roman"/>
                <w:sz w:val="24"/>
                <w:lang w:eastAsia="es-ES_tradnl"/>
              </w:rPr>
              <w:t xml:space="preserve">used as </w:t>
            </w:r>
            <w:r w:rsidRPr="002A677E">
              <w:rPr>
                <w:rFonts w:ascii="Times New Roman" w:hAnsi="Times New Roman"/>
                <w:sz w:val="24"/>
                <w:lang w:eastAsia="es-ES_tradnl"/>
              </w:rPr>
              <w:t xml:space="preserve">eligible financial collateral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Article 197</w:t>
            </w:r>
            <w:r w:rsidR="001E0C80" w:rsidRPr="002A677E">
              <w:rPr>
                <w:rFonts w:ascii="Times New Roman" w:hAnsi="Times New Roman"/>
                <w:sz w:val="24"/>
                <w:lang w:eastAsia="es-ES_tradnl"/>
              </w:rPr>
              <w:t>(</w:t>
            </w:r>
            <w:r w:rsidRPr="002A677E">
              <w:rPr>
                <w:rFonts w:ascii="Times New Roman" w:hAnsi="Times New Roman"/>
                <w:sz w:val="24"/>
                <w:lang w:eastAsia="es-ES_tradnl"/>
              </w:rPr>
              <w:t xml:space="preserve">1)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w:t>
            </w:r>
            <w:r w:rsidR="00E026FB" w:rsidRPr="002A677E">
              <w:rPr>
                <w:rStyle w:val="FormatvorlageInstructionsTabelleText"/>
                <w:rFonts w:ascii="Times New Roman" w:hAnsi="Times New Roman"/>
                <w:sz w:val="24"/>
              </w:rPr>
              <w:t>xposure</w:t>
            </w:r>
            <w:r w:rsidRPr="002A677E">
              <w:rPr>
                <w:rStyle w:val="FormatvorlageInstructionsTabelleText"/>
                <w:rFonts w:ascii="Times New Roman" w:hAnsi="Times New Roman"/>
                <w:sz w:val="24"/>
              </w:rPr>
              <w:t>s</w:t>
            </w:r>
            <w:r w:rsidR="00E026FB" w:rsidRPr="002A677E">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DA09CD">
            <w:pPr>
              <w:pStyle w:val="InstructionsText"/>
            </w:pPr>
            <w:r w:rsidRPr="001235ED">
              <w:t>Articles 223</w:t>
            </w:r>
            <w:r w:rsidR="001E0C80" w:rsidRPr="002A677E">
              <w:t xml:space="preserve"> to</w:t>
            </w:r>
            <w:r w:rsidRPr="002A677E">
              <w:t xml:space="preserve"> 228 </w:t>
            </w:r>
            <w:r w:rsidR="00FD2AE8" w:rsidRPr="001235ED">
              <w:rPr>
                <w:lang w:val="en-US"/>
              </w:rPr>
              <w:t>of Regulation (EU) No 575/2013</w:t>
            </w:r>
            <w:r w:rsidR="00402284">
              <w:rPr>
                <w:lang w:val="en-US"/>
              </w:rPr>
              <w:t xml:space="preserve"> </w:t>
            </w:r>
          </w:p>
          <w:p w14:paraId="0046A2D9" w14:textId="3F315173" w:rsidR="00E026FB" w:rsidRPr="002A677E" w:rsidRDefault="00A16FFF" w:rsidP="00DA09CD">
            <w:pPr>
              <w:pStyle w:val="InstructionsText"/>
            </w:pPr>
            <w:r w:rsidRPr="002A677E">
              <w:t xml:space="preserve">The reported amount shall </w:t>
            </w:r>
            <w:r w:rsidR="00E026FB" w:rsidRPr="002A677E">
              <w:t xml:space="preserve">also include credit linked notes (Article 218 </w:t>
            </w:r>
            <w:r w:rsidR="00FD2AE8" w:rsidRPr="001235ED">
              <w:rPr>
                <w:lang w:val="en-US"/>
              </w:rPr>
              <w:t>of Regulation (EU) No 575/2013</w:t>
            </w:r>
            <w:r w:rsidR="00E026FB" w:rsidRPr="002A677E">
              <w:t>).</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FD2AE8" w:rsidRPr="001235ED">
              <w:rPr>
                <w:rFonts w:ascii="Times New Roman" w:hAnsi="Times New Roman"/>
                <w:sz w:val="24"/>
                <w:lang w:val="en-US"/>
              </w:rPr>
              <w:t>of Regulation (EU) No 575/2013</w:t>
            </w:r>
            <w:r w:rsidR="00A56F0F" w:rsidRPr="002A677E">
              <w:rPr>
                <w:rFonts w:ascii="Times New Roman" w:hAnsi="Times New Roman"/>
                <w:sz w:val="24"/>
                <w:lang w:eastAsia="es-ES_tradnl"/>
              </w:rPr>
              <w:t>, but</w:t>
            </w:r>
            <w:r w:rsidR="00E026FB" w:rsidRPr="002A677E">
              <w:rPr>
                <w:rFonts w:ascii="Times New Roman" w:hAnsi="Times New Roman"/>
                <w:sz w:val="24"/>
                <w:lang w:eastAsia="es-ES_tradnl"/>
              </w:rPr>
              <w:t xml:space="preserve"> without applying the conversion factors laid down in 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(b)</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that Regulation</w:t>
            </w:r>
            <w:r w:rsidR="00402284">
              <w:rPr>
                <w:rFonts w:ascii="Times New Roman" w:hAnsi="Times New Roman"/>
                <w:sz w:val="24"/>
                <w:lang w:val="en-US"/>
              </w:rPr>
              <w:t xml:space="preserv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rsidR="00B856D5">
              <w:t> </w:t>
            </w:r>
            <w:r w:rsidRPr="002A677E">
              <w:rPr>
                <w:rFonts w:ascii="Times New Roman" w:hAnsi="Times New Roman"/>
                <w:b/>
                <w:sz w:val="24"/>
                <w:u w:val="single"/>
                <w:lang w:eastAsia="es-ES_tradnl"/>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sidR="00B83DDE">
              <w:rPr>
                <w:rFonts w:ascii="Times New Roman" w:hAnsi="Times New Roman"/>
                <w:sz w:val="24"/>
                <w:lang w:eastAsia="es-ES_tradnl"/>
              </w:rPr>
              <w:t>, p</w:t>
            </w:r>
            <w:r w:rsidRPr="002A677E">
              <w:rPr>
                <w:rFonts w:ascii="Times New Roman" w:hAnsi="Times New Roman"/>
                <w:sz w:val="24"/>
                <w:lang w:eastAsia="es-ES_tradnl"/>
              </w:rPr>
              <w:t>oint (b)</w:t>
            </w:r>
            <w:r w:rsidR="00BE127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(56)</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 xml:space="preserve">defines </w:t>
            </w:r>
            <w:r w:rsidR="002F78EA" w:rsidRPr="002A677E">
              <w:rPr>
                <w:rFonts w:ascii="Times New Roman" w:hAnsi="Times New Roman"/>
                <w:sz w:val="24"/>
                <w:lang w:eastAsia="es-ES_tradnl"/>
              </w:rPr>
              <w:t xml:space="preserve">a </w:t>
            </w:r>
            <w:r w:rsidRPr="002A677E">
              <w:rPr>
                <w:rFonts w:ascii="Times New Roman" w:hAnsi="Times New Roman"/>
                <w:sz w:val="24"/>
                <w:lang w:eastAsia="es-ES_tradnl"/>
              </w:rPr>
              <w:t>conversion 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rsidR="00B856D5">
              <w:t> </w:t>
            </w:r>
            <w:r w:rsidRPr="002A677E">
              <w:rPr>
                <w:rFonts w:ascii="Times New Roman" w:hAnsi="Times New Roman"/>
                <w:sz w:val="24"/>
                <w:lang w:eastAsia="es-ES_tradnl"/>
              </w:rPr>
              <w:t>% conversion factor.</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any non-refundable purchase price discounts connected with such underlying exposures to the extent that such discounts have caused the reduction of own funds.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C61583"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w:t>
            </w:r>
            <w:r w:rsidR="00A16FFF" w:rsidRPr="002A677E">
              <w:rPr>
                <w:rFonts w:ascii="Times New Roman" w:hAnsi="Times New Roman"/>
                <w:sz w:val="24"/>
              </w:rPr>
              <w:t>,</w:t>
            </w:r>
            <w:r w:rsidR="00E026FB" w:rsidRPr="002A677E">
              <w:rPr>
                <w:rFonts w:ascii="Times New Roman" w:hAnsi="Times New Roman"/>
                <w:sz w:val="24"/>
              </w:rPr>
              <w:t xml:space="preserve">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or is deducted from Common Equity Tier 1</w:t>
            </w:r>
            <w:r w:rsidR="00A16FFF" w:rsidRPr="002A677E">
              <w:rPr>
                <w:rFonts w:ascii="Times New Roman" w:hAnsi="Times New Roman"/>
                <w:sz w:val="24"/>
              </w:rPr>
              <w:t>,</w:t>
            </w:r>
            <w:r w:rsidR="00E026FB" w:rsidRPr="002A677E">
              <w:rPr>
                <w:rFonts w:ascii="Times New Roman" w:hAnsi="Times New Roman"/>
                <w:sz w:val="24"/>
              </w:rPr>
              <w:t xml:space="preserve"> the amount of the specific credit risk adjustments on the underlying exposures </w:t>
            </w:r>
            <w:r w:rsidR="00A16FFF" w:rsidRPr="002A677E">
              <w:rPr>
                <w:rFonts w:ascii="Times New Roman" w:hAnsi="Times New Roman"/>
                <w:sz w:val="24"/>
              </w:rPr>
              <w:t xml:space="preserve">as determined </w:t>
            </w:r>
            <w:r w:rsidR="00E026FB" w:rsidRPr="002A677E">
              <w:rPr>
                <w:rFonts w:ascii="Times New Roman" w:hAnsi="Times New Roman"/>
                <w:sz w:val="24"/>
              </w:rPr>
              <w:t xml:space="preserve">in accordance with Article 110 </w:t>
            </w:r>
            <w:r w:rsidR="00090583" w:rsidRPr="001235ED">
              <w:rPr>
                <w:rFonts w:ascii="Times New Roman" w:hAnsi="Times New Roman"/>
                <w:sz w:val="24"/>
                <w:lang w:val="en-US"/>
              </w:rPr>
              <w:t>of Regulation (EU) No 575/2013</w:t>
            </w:r>
            <w:r w:rsidR="00E026FB" w:rsidRPr="002A677E">
              <w:rPr>
                <w:rFonts w:ascii="Times New Roman" w:hAnsi="Times New Roman"/>
                <w:sz w:val="24"/>
              </w:rPr>
              <w:t xml:space="preserve">.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calculated</w:t>
            </w:r>
            <w:r w:rsidR="00BC43FD" w:rsidRPr="002A677E">
              <w:rPr>
                <w:rFonts w:ascii="Times New Roman" w:hAnsi="Times New Roman"/>
                <w:sz w:val="24"/>
                <w:lang w:eastAsia="es-ES_tradnl"/>
              </w:rPr>
              <w:t xml:space="preserve">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090583" w:rsidRPr="001235ED">
              <w:rPr>
                <w:rFonts w:ascii="Times New Roman" w:hAnsi="Times New Roman"/>
                <w:sz w:val="24"/>
                <w:lang w:val="en-US"/>
              </w:rPr>
              <w:t>of Regulation (EU) No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w:t>
            </w:r>
            <w:r w:rsidR="00E026FB" w:rsidRPr="002A677E">
              <w:rPr>
                <w:rStyle w:val="FormatvorlageInstructionsTabelleText"/>
                <w:rFonts w:ascii="Times New Roman" w:hAnsi="Times New Roman"/>
                <w:sz w:val="24"/>
              </w:rPr>
              <w:t>244(1)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r w:rsidR="00705025" w:rsidRPr="002A677E">
              <w:rPr>
                <w:rStyle w:val="FormatvorlageInstructionsTabelleText"/>
                <w:rFonts w:ascii="Times New Roman" w:hAnsi="Times New Roman"/>
                <w:sz w:val="24"/>
              </w:rPr>
              <w:t xml:space="preserve">Article </w:t>
            </w:r>
            <w:r w:rsidR="00E026FB" w:rsidRPr="002A677E">
              <w:rPr>
                <w:rStyle w:val="FormatvorlageInstructionsTabelleText"/>
                <w:rFonts w:ascii="Times New Roman" w:hAnsi="Times New Roman"/>
                <w:sz w:val="24"/>
              </w:rPr>
              <w:t>245(1)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00E026FB" w:rsidRPr="002A677E">
              <w:rPr>
                <w:rStyle w:val="FormatvorlageInstructionsTabelleText"/>
                <w:rFonts w:ascii="Times New Roman" w:hAnsi="Times New Roman"/>
                <w:sz w:val="24"/>
              </w:rPr>
              <w:t xml:space="preserve">and </w:t>
            </w:r>
            <w:r w:rsidR="00705025" w:rsidRPr="002A677E">
              <w:rPr>
                <w:rFonts w:ascii="Times New Roman" w:hAnsi="Times New Roman"/>
                <w:sz w:val="24"/>
              </w:rPr>
              <w:t xml:space="preserve">Article </w:t>
            </w:r>
            <w:r w:rsidR="00E026FB" w:rsidRPr="002A677E">
              <w:rPr>
                <w:rFonts w:ascii="Times New Roman" w:hAnsi="Times New Roman"/>
                <w:sz w:val="24"/>
              </w:rPr>
              <w:t xml:space="preserve">253(1) </w:t>
            </w:r>
            <w:r w:rsidR="00090583" w:rsidRPr="001235ED">
              <w:rPr>
                <w:rFonts w:ascii="Times New Roman" w:hAnsi="Times New Roman"/>
                <w:sz w:val="24"/>
                <w:lang w:val="en-US"/>
              </w:rPr>
              <w:t>of Regulation (EU) No 575/2013</w:t>
            </w:r>
            <w:r w:rsidR="008F2C6B" w:rsidRPr="002A677E">
              <w:rPr>
                <w:rFonts w:ascii="Times New Roman" w:hAnsi="Times New Roman"/>
                <w:sz w:val="24"/>
              </w:rPr>
              <w:t>,</w:t>
            </w:r>
            <w:r w:rsidR="00E026FB" w:rsidRPr="002A677E">
              <w:rPr>
                <w:rFonts w:ascii="Times New Roman" w:hAnsi="Times New Roman"/>
                <w:sz w:val="24"/>
              </w:rPr>
              <w:t xml:space="preserve"> in case of a securitisation position </w:t>
            </w:r>
            <w:r w:rsidR="00D021AF" w:rsidRPr="002A677E">
              <w:rPr>
                <w:rFonts w:ascii="Times New Roman" w:hAnsi="Times New Roman"/>
                <w:sz w:val="24"/>
              </w:rPr>
              <w:t xml:space="preserve">to </w:t>
            </w:r>
            <w:r w:rsidR="00E026FB" w:rsidRPr="002A677E">
              <w:rPr>
                <w:rFonts w:ascii="Times New Roman" w:hAnsi="Times New Roman"/>
                <w:sz w:val="24"/>
              </w:rPr>
              <w:t>which a 1</w:t>
            </w:r>
            <w:r w:rsidR="001E0C80" w:rsidRPr="002A677E">
              <w:rPr>
                <w:rFonts w:ascii="Times New Roman" w:hAnsi="Times New Roman"/>
                <w:sz w:val="24"/>
              </w:rPr>
              <w:t xml:space="preserve"> </w:t>
            </w:r>
            <w:r w:rsidR="00E026FB" w:rsidRPr="002A677E">
              <w:rPr>
                <w:rFonts w:ascii="Times New Roman" w:hAnsi="Times New Roman"/>
                <w:sz w:val="24"/>
              </w:rPr>
              <w:t>250</w:t>
            </w:r>
            <w:r w:rsidR="00B856D5">
              <w:t> </w:t>
            </w:r>
            <w:r w:rsidR="00E026FB"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Article 255(4) </w:t>
            </w:r>
            <w:r w:rsidR="00244B6A" w:rsidRPr="001235ED">
              <w:rPr>
                <w:rFonts w:ascii="Times New Roman" w:hAnsi="Times New Roman"/>
                <w:sz w:val="24"/>
                <w:lang w:val="en-US"/>
              </w:rPr>
              <w:t>of Regulation (EU) No 575/2013</w:t>
            </w:r>
          </w:p>
          <w:p w14:paraId="3E55E4E6" w14:textId="77777777"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w:t>
            </w:r>
            <w:r w:rsidR="00A16FFF" w:rsidRPr="002A677E">
              <w:rPr>
                <w:rFonts w:ascii="Times New Roman" w:hAnsi="Times New Roman"/>
                <w:sz w:val="24"/>
              </w:rPr>
              <w:t>e</w:t>
            </w:r>
            <w:r w:rsidRPr="002A677E">
              <w:rPr>
                <w:rFonts w:ascii="Times New Roman" w:hAnsi="Times New Roman"/>
                <w:sz w:val="24"/>
              </w:rPr>
              <w:t xml:space="preserve"> purpose</w:t>
            </w:r>
            <w:r w:rsidR="00A16FFF" w:rsidRPr="002A677E">
              <w:rPr>
                <w:rFonts w:ascii="Times New Roman" w:hAnsi="Times New Roman"/>
                <w:sz w:val="24"/>
              </w:rPr>
              <w:t xml:space="preserve"> of this column</w:t>
            </w:r>
            <w:r w:rsidRPr="002A677E">
              <w:rPr>
                <w:rFonts w:ascii="Times New Roman" w:hAnsi="Times New Roman"/>
                <w:sz w:val="24"/>
              </w:rPr>
              <w:t>, retail exposures shall be treated as purchased retail receivables and non-retail exposures as purchased corporate receivables.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lang w:val="fr-BE"/>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the RW</w:t>
            </w:r>
            <w:r w:rsidR="00BC43FD" w:rsidRPr="002A677E">
              <w:rPr>
                <w:rFonts w:ascii="Times New Roman" w:hAnsi="Times New Roman"/>
                <w:sz w:val="24"/>
              </w:rPr>
              <w:t xml:space="preserve"> </w:t>
            </w:r>
            <w:r w:rsidRPr="002A677E">
              <w:rPr>
                <w:rFonts w:ascii="Times New Roman" w:hAnsi="Times New Roman"/>
                <w:sz w:val="24"/>
              </w:rPr>
              <w:t>=</w:t>
            </w:r>
            <w:r w:rsidR="00BC43FD" w:rsidRPr="002A677E">
              <w:rPr>
                <w:rFonts w:ascii="Times New Roman" w:hAnsi="Times New Roman"/>
                <w:sz w:val="24"/>
              </w:rPr>
              <w:t xml:space="preserve"> </w:t>
            </w:r>
            <w:r w:rsidRPr="002A677E">
              <w:rPr>
                <w:rFonts w:ascii="Times New Roman" w:hAnsi="Times New Roman"/>
                <w:sz w:val="24"/>
              </w:rPr>
              <w:t>1</w:t>
            </w:r>
            <w:r w:rsidR="006A66C9"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(W unknown), Article 261(2)</w:t>
            </w:r>
            <w:r w:rsidR="00B83DDE">
              <w:rPr>
                <w:rFonts w:ascii="Times New Roman" w:hAnsi="Times New Roman"/>
                <w:sz w:val="24"/>
              </w:rPr>
              <w:t>, p</w:t>
            </w:r>
            <w:r w:rsidR="00247193" w:rsidRPr="002A677E">
              <w:rPr>
                <w:rFonts w:ascii="Times New Roman" w:hAnsi="Times New Roman"/>
                <w:sz w:val="24"/>
              </w:rPr>
              <w:t xml:space="preserve">oint (b), fourth paragraph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00D021AF" w:rsidRPr="002A677E">
              <w:rPr>
                <w:rFonts w:ascii="Times New Roman" w:hAnsi="Times New Roman"/>
                <w:sz w:val="24"/>
              </w:rPr>
              <w:t>stipulates</w:t>
            </w:r>
            <w:r w:rsidRPr="002A677E">
              <w:rPr>
                <w:rFonts w:ascii="Times New Roman" w:hAnsi="Times New Roman"/>
                <w:sz w:val="24"/>
              </w:rPr>
              <w:t xml:space="preserve"> that </w:t>
            </w:r>
            <w:r w:rsidR="00BC43FD" w:rsidRPr="002A677E">
              <w:rPr>
                <w:rFonts w:ascii="Times New Roman" w:hAnsi="Times New Roman"/>
                <w:sz w:val="24"/>
              </w:rPr>
              <w:t xml:space="preserve">the position in the securitisation shall be risk-weighted at 1 250 % </w:t>
            </w:r>
            <w:r w:rsidRPr="002A677E">
              <w:rPr>
                <w:rFonts w:ascii="Times New Roman" w:hAnsi="Times New Roman"/>
                <w:sz w:val="24"/>
              </w:rPr>
              <w:t>where the institution does not know the delinquency status for more than 5 % of underlying exposures in the pool.</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 263 </w:t>
            </w:r>
            <w:r w:rsidR="00244B6A" w:rsidRPr="001235ED">
              <w:rPr>
                <w:rFonts w:ascii="Times New Roman" w:hAnsi="Times New Roman"/>
                <w:sz w:val="24"/>
                <w:lang w:val="en-US"/>
              </w:rPr>
              <w:t>of Regulation (EU) No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SEC-ERBA Securitisation positions with an inferred rating </w:t>
            </w:r>
            <w:r w:rsidR="00D021AF" w:rsidRPr="002A677E">
              <w:rPr>
                <w:rFonts w:ascii="Times New Roman" w:hAnsi="Times New Roman"/>
                <w:sz w:val="24"/>
              </w:rPr>
              <w:t xml:space="preserve">as referred to in </w:t>
            </w:r>
            <w:r w:rsidRPr="002A677E">
              <w:rPr>
                <w:rFonts w:ascii="Times New Roman" w:hAnsi="Times New Roman"/>
                <w:sz w:val="24"/>
              </w:rPr>
              <w:t xml:space="preserve">Article 254(2)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shall be reported as positions with a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w:t>
            </w:r>
            <w:r w:rsidR="009E42EE" w:rsidRPr="002A677E">
              <w:rPr>
                <w:rFonts w:ascii="Times New Roman" w:hAnsi="Times New Roman"/>
                <w:sz w:val="24"/>
                <w:lang w:eastAsia="es-ES_tradnl"/>
              </w:rPr>
              <w:t>shall be</w:t>
            </w:r>
            <w:r w:rsidRPr="002A677E">
              <w:rPr>
                <w:rFonts w:ascii="Times New Roman" w:hAnsi="Times New Roman"/>
                <w:sz w:val="24"/>
                <w:lang w:eastAsia="es-ES_tradnl"/>
              </w:rPr>
              <w:t xml:space="preserve"> broken down </w:t>
            </w:r>
            <w:r w:rsidR="00BC43FD" w:rsidRPr="002A677E">
              <w:rPr>
                <w:rFonts w:ascii="Times New Roman" w:hAnsi="Times New Roman"/>
                <w:sz w:val="24"/>
                <w:lang w:eastAsia="es-ES_tradnl"/>
              </w:rPr>
              <w:t>by</w:t>
            </w:r>
            <w:r w:rsidRPr="002A677E">
              <w:rPr>
                <w:rFonts w:ascii="Times New Roman" w:hAnsi="Times New Roman"/>
                <w:sz w:val="24"/>
                <w:lang w:eastAsia="es-ES_tradnl"/>
              </w:rPr>
              <w:t xml:space="preserve"> short and long-term and credit quality steps (CQS) as </w:t>
            </w:r>
            <w:r w:rsidR="00133396" w:rsidRPr="002A677E">
              <w:rPr>
                <w:rFonts w:ascii="Times New Roman" w:hAnsi="Times New Roman"/>
                <w:sz w:val="24"/>
                <w:lang w:eastAsia="es-ES_tradnl"/>
              </w:rPr>
              <w:t xml:space="preserve">laid down in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For each securitisation position, institutions </w:t>
            </w:r>
            <w:r w:rsidR="009E42EE" w:rsidRPr="002A677E">
              <w:rPr>
                <w:rFonts w:ascii="Times New Roman" w:hAnsi="Times New Roman"/>
                <w:sz w:val="24"/>
              </w:rPr>
              <w:t>shall</w:t>
            </w:r>
            <w:r w:rsidRPr="002A677E">
              <w:rPr>
                <w:rFonts w:ascii="Times New Roman" w:hAnsi="Times New Roman"/>
                <w:sz w:val="24"/>
              </w:rPr>
              <w:t xml:space="preserve"> consider one of the following options in columns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sidRPr="002A677E">
              <w:rPr>
                <w:rFonts w:ascii="Times New Roman" w:hAnsi="Times New Roman"/>
                <w:sz w:val="24"/>
              </w:rPr>
              <w:t xml:space="preserve"> </w:t>
            </w:r>
            <w:r w:rsidR="00E026FB"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(c)</w:t>
            </w:r>
            <w:r w:rsidR="00BE127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sidR="00402284">
              <w:rPr>
                <w:rFonts w:ascii="Times New Roman" w:hAnsi="Times New Roman"/>
                <w:sz w:val="24"/>
              </w:rPr>
              <w:t xml:space="preserve"> </w:t>
            </w: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(a) or (b) </w:t>
            </w:r>
            <w:r w:rsidR="00244B6A" w:rsidRPr="001235ED">
              <w:rPr>
                <w:rFonts w:ascii="Times New Roman" w:hAnsi="Times New Roman"/>
                <w:sz w:val="24"/>
                <w:lang w:val="en-US"/>
              </w:rPr>
              <w:t>of Regulation (EU) No 575/2013</w:t>
            </w:r>
            <w:r w:rsidRPr="002A677E">
              <w:rPr>
                <w:rFonts w:ascii="Times New Roman" w:hAnsi="Times New Roman"/>
                <w:sz w:val="24"/>
              </w:rPr>
              <w:t>.</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sidRPr="00B44FD0">
              <w:rPr>
                <w:rFonts w:ascii="Times New Roman" w:hAnsi="Times New Roman"/>
                <w:b/>
                <w:sz w:val="24"/>
                <w:u w:val="single"/>
              </w:rPr>
              <w:t>SEC-ERBA OPTION</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sidRPr="00B44FD0">
              <w:rPr>
                <w:rFonts w:ascii="Times New Roman" w:hAnsi="Times New Roman"/>
                <w:sz w:val="24"/>
              </w:rPr>
              <w:t xml:space="preserve">Article 254(3) </w:t>
            </w:r>
            <w:r w:rsidR="00244B6A" w:rsidRPr="001235ED">
              <w:rPr>
                <w:rFonts w:ascii="Times New Roman" w:hAnsi="Times New Roman"/>
                <w:sz w:val="24"/>
                <w:lang w:val="en-US"/>
              </w:rPr>
              <w:t>of Regulation (EU) No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w:t>
            </w:r>
            <w:r w:rsidRPr="002A677E">
              <w:rPr>
                <w:rFonts w:ascii="Times New Roman" w:hAnsi="Times New Roman"/>
                <w:b/>
                <w:bCs/>
                <w:sz w:val="24"/>
                <w:u w:val="single"/>
              </w:rPr>
              <w:t xml:space="preserv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(a)</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bCs/>
                <w:sz w:val="24"/>
                <w:u w:val="single"/>
              </w:rPr>
              <w:t>OF REGULATION</w:t>
            </w:r>
            <w:r w:rsidR="00244B6A" w:rsidRPr="002A677E">
              <w:rPr>
                <w:rFonts w:ascii="Times New Roman" w:hAnsi="Times New Roman"/>
                <w:b/>
                <w:bCs/>
                <w:sz w:val="24"/>
                <w:u w:val="single"/>
              </w:rPr>
              <w:t xml:space="preserve"> (EU) </w:t>
            </w:r>
            <w:r w:rsidR="009F3BF5" w:rsidRPr="002A677E">
              <w:rPr>
                <w:rFonts w:ascii="Times New Roman" w:hAnsi="Times New Roman"/>
                <w:b/>
                <w:bCs/>
                <w:sz w:val="24"/>
                <w:u w:val="single"/>
              </w:rPr>
              <w:t>NO</w:t>
            </w:r>
            <w:r w:rsidR="00244B6A" w:rsidRPr="002A677E">
              <w:rPr>
                <w:rFonts w:ascii="Times New Roman" w:hAnsi="Times New Roman"/>
                <w:b/>
                <w:bCs/>
                <w:sz w:val="24"/>
                <w:u w:val="single"/>
              </w:rPr>
              <w:t xml:space="preserve">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sidR="00B734C4">
              <w:rPr>
                <w:rFonts w:ascii="Times New Roman" w:hAnsi="Times New Roman"/>
                <w:b/>
                <w:sz w:val="24"/>
                <w:u w:val="single"/>
              </w:rPr>
              <w:t>A</w:t>
            </w:r>
            <w:r w:rsidR="00247193" w:rsidRPr="002A677E">
              <w:rPr>
                <w:rFonts w:ascii="Times New Roman" w:hAnsi="Times New Roman"/>
                <w:b/>
                <w:bCs/>
                <w:sz w:val="24"/>
                <w:u w:val="single"/>
              </w:rPr>
              <w:t>RTICLE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(b)</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sz w:val="24"/>
                <w:u w:val="single"/>
              </w:rPr>
              <w:t>OF REGULATION</w:t>
            </w:r>
            <w:r w:rsidR="00244B6A" w:rsidRPr="002A677E">
              <w:rPr>
                <w:rFonts w:ascii="Times New Roman" w:hAnsi="Times New Roman"/>
                <w:b/>
                <w:sz w:val="24"/>
                <w:u w:val="single"/>
              </w:rPr>
              <w:t>(EU) N</w:t>
            </w:r>
            <w:r w:rsidR="009F3BF5" w:rsidRPr="002A677E">
              <w:rPr>
                <w:rFonts w:ascii="Times New Roman" w:hAnsi="Times New Roman"/>
                <w:b/>
                <w:sz w:val="24"/>
                <w:u w:val="single"/>
              </w:rPr>
              <w:t>O</w:t>
            </w:r>
            <w:r w:rsidR="00244B6A" w:rsidRPr="002A677E">
              <w:rPr>
                <w:rFonts w:ascii="Times New Roman" w:hAnsi="Times New Roman"/>
                <w:b/>
                <w:sz w:val="24"/>
                <w:u w:val="single"/>
              </w:rPr>
              <w:t xml:space="preserve"> 575/2013</w:t>
            </w:r>
            <w:r w:rsidR="00402284">
              <w:rPr>
                <w:rFonts w:ascii="Times New Roman" w:hAnsi="Times New Roman"/>
                <w:b/>
                <w:sz w:val="24"/>
                <w:u w:val="single"/>
              </w:rPr>
              <w:t xml:space="preserve">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ICLES</w:t>
            </w:r>
            <w:r w:rsidRPr="002A677E">
              <w:rPr>
                <w:rFonts w:ascii="Times New Roman" w:hAnsi="Times New Roman"/>
                <w:b/>
                <w:bCs/>
                <w:sz w:val="24"/>
                <w:u w:val="single"/>
              </w:rPr>
              <w:t xml:space="preserve"> 254(4) OR 258(2) </w:t>
            </w:r>
            <w:r w:rsidR="009F3BF5" w:rsidRPr="002A677E">
              <w:rPr>
                <w:rFonts w:ascii="Times New Roman" w:hAnsi="Times New Roman"/>
                <w:b/>
                <w:sz w:val="24"/>
                <w:u w:val="single"/>
              </w:rPr>
              <w:t>OF REGULATION</w:t>
            </w:r>
            <w:r w:rsidR="00CF5957">
              <w:rPr>
                <w:rFonts w:ascii="Times New Roman" w:hAnsi="Times New Roman"/>
                <w:b/>
                <w:sz w:val="24"/>
                <w:u w:val="single"/>
              </w:rPr>
              <w:t xml:space="preserve"> </w:t>
            </w:r>
            <w:r w:rsidR="009F3BF5" w:rsidRPr="002A677E">
              <w:rPr>
                <w:rFonts w:ascii="Times New Roman" w:hAnsi="Times New Roman"/>
                <w:b/>
                <w:sz w:val="24"/>
                <w:u w:val="single"/>
              </w:rPr>
              <w:t>(EU) NO</w:t>
            </w:r>
            <w:r w:rsidR="00244B6A" w:rsidRPr="002A677E">
              <w:rPr>
                <w:rFonts w:ascii="Times New Roman" w:hAnsi="Times New Roman"/>
                <w:b/>
                <w:bCs/>
                <w:sz w:val="24"/>
                <w:u w:val="single"/>
              </w:rPr>
              <w:t xml:space="preserve">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sidRPr="002A677E">
              <w:rPr>
                <w:rFonts w:ascii="Times New Roman" w:hAnsi="Times New Roman"/>
                <w:sz w:val="24"/>
              </w:rPr>
              <w:t>Securitisation positions subject to SEC-ERBA</w:t>
            </w:r>
            <w:r w:rsidR="00D021AF" w:rsidRPr="002A677E">
              <w:rPr>
                <w:rFonts w:ascii="Times New Roman" w:hAnsi="Times New Roman"/>
                <w:sz w:val="24"/>
              </w:rPr>
              <w:t>,</w:t>
            </w:r>
            <w:r w:rsidRPr="002A677E">
              <w:rPr>
                <w:rFonts w:ascii="Times New Roman" w:hAnsi="Times New Roman"/>
                <w:sz w:val="24"/>
              </w:rPr>
              <w:t xml:space="preserve"> where the application of SEC-IRBA or SEC-SA has been precluded by the competent authorities </w:t>
            </w:r>
            <w:r w:rsidR="00D021AF" w:rsidRPr="002A677E">
              <w:rPr>
                <w:rFonts w:ascii="Times New Roman" w:hAnsi="Times New Roman"/>
                <w:sz w:val="24"/>
              </w:rPr>
              <w:t xml:space="preserve">in accordance with </w:t>
            </w:r>
            <w:r w:rsidRPr="002A677E">
              <w:rPr>
                <w:rFonts w:ascii="Times New Roman" w:hAnsi="Times New Roman"/>
                <w:sz w:val="24"/>
              </w:rPr>
              <w:t>Article</w:t>
            </w:r>
            <w:r w:rsidR="00D021AF" w:rsidRPr="002A677E">
              <w:rPr>
                <w:rFonts w:ascii="Times New Roman" w:hAnsi="Times New Roman"/>
                <w:sz w:val="24"/>
              </w:rPr>
              <w:t>s</w:t>
            </w:r>
            <w:r w:rsidRPr="002A677E">
              <w:rPr>
                <w:rFonts w:ascii="Times New Roman" w:hAnsi="Times New Roman"/>
                <w:sz w:val="24"/>
              </w:rPr>
              <w:t xml:space="preserve"> 254(4) or 258(2) </w:t>
            </w:r>
            <w:r w:rsidR="00244B6A" w:rsidRPr="001235ED">
              <w:rPr>
                <w:rFonts w:ascii="Times New Roman" w:hAnsi="Times New Roman"/>
                <w:sz w:val="24"/>
                <w:lang w:val="en-US"/>
              </w:rPr>
              <w:t>of Regulation (EU) No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w:t>
            </w:r>
            <w:r w:rsidR="00D021AF" w:rsidRPr="002A677E">
              <w:rPr>
                <w:rFonts w:ascii="Times New Roman" w:hAnsi="Times New Roman"/>
                <w:sz w:val="24"/>
              </w:rPr>
              <w:t xml:space="preserve">laid down </w:t>
            </w:r>
            <w:r w:rsidRPr="002A677E">
              <w:rPr>
                <w:rFonts w:ascii="Times New Roman" w:hAnsi="Times New Roman"/>
                <w:sz w:val="24"/>
              </w:rPr>
              <w:t xml:space="preserve">in Article 254(1) </w:t>
            </w:r>
            <w:r w:rsidR="00244B6A" w:rsidRPr="001235ED">
              <w:rPr>
                <w:rFonts w:ascii="Times New Roman" w:hAnsi="Times New Roman"/>
                <w:sz w:val="24"/>
                <w:lang w:val="en-US"/>
              </w:rPr>
              <w:t>of Regulation (EU) No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sidRPr="002A677E">
              <w:rPr>
                <w:rFonts w:ascii="Times New Roman" w:hAnsi="Times New Roman"/>
                <w:sz w:val="24"/>
              </w:rPr>
              <w:t>A</w:t>
            </w:r>
            <w:r w:rsidR="00E026FB" w:rsidRPr="002A677E">
              <w:rPr>
                <w:rFonts w:ascii="Times New Roman" w:hAnsi="Times New Roman"/>
                <w:sz w:val="24"/>
              </w:rPr>
              <w:t xml:space="preserve">rticle 254(5) </w:t>
            </w:r>
            <w:bookmarkStart w:id="415" w:name="_Hlk73564575"/>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bookmarkEnd w:id="415"/>
            <w:r w:rsidRPr="002A677E">
              <w:rPr>
                <w:rFonts w:ascii="Times New Roman" w:hAnsi="Times New Roman"/>
                <w:sz w:val="24"/>
              </w:rPr>
              <w:t xml:space="preserve">on </w:t>
            </w:r>
            <w:r w:rsidR="00E026FB" w:rsidRPr="002A677E">
              <w:rPr>
                <w:rFonts w:ascii="Times New Roman" w:hAnsi="Times New Roman"/>
                <w:sz w:val="24"/>
              </w:rPr>
              <w:t>the ‘Internal Assessment Approach’ (IAA) for positions in ABCP programmes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sidRPr="002A677E">
              <w:rPr>
                <w:rFonts w:ascii="Times New Roman" w:hAnsi="Times New Roman"/>
                <w:sz w:val="24"/>
              </w:rPr>
              <w:t xml:space="preserve">Article 269a(3) </w:t>
            </w:r>
            <w:r w:rsidR="00244B6A" w:rsidRPr="001235ED">
              <w:rPr>
                <w:rFonts w:ascii="Times New Roman" w:hAnsi="Times New Roman"/>
                <w:sz w:val="24"/>
                <w:lang w:val="en-US"/>
              </w:rPr>
              <w:t>of Regulation (EU) No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OTHER (RW=1</w:t>
            </w:r>
            <w:r w:rsidR="006A66C9" w:rsidRPr="002A677E">
              <w:rPr>
                <w:rFonts w:ascii="Times New Roman" w:hAnsi="Times New Roman"/>
                <w:b/>
                <w:sz w:val="24"/>
                <w:u w:val="single"/>
              </w:rPr>
              <w:t xml:space="preserve"> </w:t>
            </w:r>
            <w:r w:rsidRPr="002A677E">
              <w:rPr>
                <w:rFonts w:ascii="Times New Roman" w:hAnsi="Times New Roman"/>
                <w:b/>
                <w:sz w:val="24"/>
                <w:u w:val="single"/>
              </w:rPr>
              <w:t>250</w:t>
            </w:r>
            <w:r w:rsidR="00B856D5">
              <w:t> </w:t>
            </w:r>
            <w:r w:rsidRPr="002A677E">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sidRPr="002A677E">
              <w:rPr>
                <w:rFonts w:ascii="Times New Roman" w:hAnsi="Times New Roman"/>
                <w:sz w:val="24"/>
              </w:rPr>
              <w:lastRenderedPageBreak/>
              <w:t xml:space="preserve">Where </w:t>
            </w:r>
            <w:r w:rsidR="00E026FB" w:rsidRPr="002A677E">
              <w:rPr>
                <w:rFonts w:ascii="Times New Roman" w:hAnsi="Times New Roman"/>
                <w:sz w:val="24"/>
              </w:rPr>
              <w:t>none of the previous approaches is applied, a risk weight of 1 250 % shall be assigned to securitisation positions</w:t>
            </w:r>
            <w:r w:rsidRPr="002A677E">
              <w:rPr>
                <w:rFonts w:ascii="Times New Roman" w:hAnsi="Times New Roman"/>
                <w:sz w:val="24"/>
              </w:rPr>
              <w:t xml:space="preserve"> in accordance with Article 254(7)</w:t>
            </w:r>
            <w:r w:rsidR="00962BBD"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1E0C80" w:rsidRPr="002A677E">
              <w:rPr>
                <w:rFonts w:ascii="Times New Roman" w:hAnsi="Times New Roman"/>
                <w:sz w:val="24"/>
              </w:rPr>
              <w:t>.</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Total risk-weighted exposure amount 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Section</w:t>
            </w:r>
            <w:r w:rsidR="002409C1" w:rsidRPr="002A677E">
              <w:rPr>
                <w:rFonts w:ascii="Times New Roman" w:hAnsi="Times New Roman"/>
                <w:sz w:val="24"/>
              </w:rPr>
              <w:t xml:space="preserve"> 3</w:t>
            </w:r>
            <w:r w:rsidR="001E0C80" w:rsidRPr="002A677E">
              <w:rPr>
                <w:rFonts w:ascii="Times New Roman" w:hAnsi="Times New Roman"/>
                <w:sz w:val="24"/>
              </w:rPr>
              <w:t xml:space="preserve"> of </w:t>
            </w:r>
            <w:r w:rsidRPr="002A677E">
              <w:rPr>
                <w:rFonts w:ascii="Times New Roman" w:hAnsi="Times New Roman"/>
                <w:sz w:val="24"/>
              </w:rPr>
              <w:t>Part Three</w:t>
            </w:r>
            <w:r w:rsidR="00244B6A" w:rsidRPr="002A677E">
              <w:rPr>
                <w:rFonts w:ascii="Times New Roman" w:hAnsi="Times New Roman"/>
                <w:sz w:val="24"/>
              </w:rPr>
              <w:t>,</w:t>
            </w:r>
            <w:r w:rsidRPr="002A677E">
              <w:rPr>
                <w:rFonts w:ascii="Times New Roman" w:hAnsi="Times New Roman"/>
                <w:sz w:val="24"/>
              </w:rPr>
              <w:t xml:space="preserve"> </w:t>
            </w:r>
            <w:r w:rsidR="00244B6A" w:rsidRPr="002A677E">
              <w:rPr>
                <w:rFonts w:ascii="Times New Roman" w:hAnsi="Times New Roman"/>
                <w:sz w:val="24"/>
              </w:rPr>
              <w:t xml:space="preserve">Title II, Chapter 5 </w:t>
            </w:r>
            <w:r w:rsidR="00244B6A"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w:t>
            </w:r>
            <w:r w:rsidR="00CF6F63" w:rsidRPr="002A677E">
              <w:rPr>
                <w:rFonts w:ascii="Times New Roman" w:hAnsi="Times New Roman"/>
                <w:bCs/>
                <w:sz w:val="24"/>
                <w:lang w:eastAsia="nl-BE"/>
              </w:rPr>
              <w:t>4</w:t>
            </w:r>
            <w:r w:rsidRPr="002A677E">
              <w:rPr>
                <w:rFonts w:ascii="Times New Roman" w:hAnsi="Times New Roman"/>
                <w:bCs/>
                <w:sz w:val="24"/>
                <w:lang w:eastAsia="nl-BE"/>
              </w:rPr>
              <w:t>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IAA: AVERAGE RISK WEIGHT</w:t>
            </w:r>
            <w:r w:rsidR="00CF6F63" w:rsidRPr="002A677E">
              <w:rPr>
                <w:rFonts w:ascii="Times New Roman" w:hAnsi="Times New Roman"/>
                <w:b/>
                <w:sz w:val="24"/>
                <w:u w:val="single"/>
              </w:rPr>
              <w:t xml:space="preserv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w:t>
            </w:r>
            <w:r w:rsidR="00CF6F63" w:rsidRPr="002A677E">
              <w:rPr>
                <w:rFonts w:ascii="Times New Roman" w:hAnsi="Times New Roman"/>
                <w:sz w:val="24"/>
              </w:rPr>
              <w:t>6</w:t>
            </w:r>
            <w:r w:rsidRPr="002A677E">
              <w:rPr>
                <w:rFonts w:ascii="Times New Roman" w:hAnsi="Times New Roman"/>
                <w:sz w:val="24"/>
              </w:rPr>
              <w:t>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lang w:eastAsia="es-ES_tradnl"/>
              </w:rPr>
            </w:pPr>
            <w:r w:rsidRPr="002A677E">
              <w:rPr>
                <w:rFonts w:ascii="Times New Roman" w:hAnsi="Times New Roman"/>
                <w:sz w:val="24"/>
                <w:lang w:eastAsia="es-ES_tradnl"/>
              </w:rPr>
              <w:t>M</w:t>
            </w:r>
            <w:r w:rsidR="00E026FB" w:rsidRPr="002A677E">
              <w:rPr>
                <w:rFonts w:ascii="Times New Roman" w:hAnsi="Times New Roman"/>
                <w:sz w:val="24"/>
                <w:lang w:eastAsia="es-ES_tradnl"/>
              </w:rPr>
              <w:t xml:space="preserve">aturity mismatches in synthetic securitisations RW*-RW(SP), </w:t>
            </w:r>
            <w:r w:rsidR="002409C1" w:rsidRPr="002A677E">
              <w:rPr>
                <w:rFonts w:ascii="Times New Roman" w:hAnsi="Times New Roman"/>
                <w:sz w:val="24"/>
                <w:lang w:eastAsia="es-ES_tradnl"/>
              </w:rPr>
              <w:t>as calculated</w:t>
            </w:r>
            <w:r w:rsidR="00E026FB" w:rsidRPr="002A677E">
              <w:rPr>
                <w:rFonts w:ascii="Times New Roman" w:hAnsi="Times New Roman"/>
                <w:sz w:val="24"/>
                <w:lang w:eastAsia="es-ES_tradnl"/>
              </w:rPr>
              <w:t xml:space="preserve"> in </w:t>
            </w:r>
            <w:r w:rsidR="002409C1" w:rsidRPr="002A677E">
              <w:rPr>
                <w:rFonts w:ascii="Times New Roman" w:hAnsi="Times New Roman"/>
                <w:sz w:val="24"/>
                <w:lang w:eastAsia="es-ES_tradnl"/>
              </w:rPr>
              <w:t xml:space="preserve">accordance with </w:t>
            </w:r>
            <w:r w:rsidR="00E026FB" w:rsidRPr="002A677E">
              <w:rPr>
                <w:rFonts w:ascii="Times New Roman" w:hAnsi="Times New Roman"/>
                <w:sz w:val="24"/>
                <w:lang w:eastAsia="es-ES_tradnl"/>
              </w:rPr>
              <w:t xml:space="preserve">Article 252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 shall be included, except in the case of tranches subject to a risk weighting of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where the amount to be reported </w:t>
            </w:r>
            <w:r w:rsidR="009E42EE" w:rsidRPr="002A677E">
              <w:rPr>
                <w:rFonts w:ascii="Times New Roman" w:hAnsi="Times New Roman"/>
                <w:sz w:val="24"/>
                <w:lang w:eastAsia="es-ES_tradnl"/>
              </w:rPr>
              <w:t>shall be</w:t>
            </w:r>
            <w:r w:rsidR="00E026FB" w:rsidRPr="002A677E">
              <w:rPr>
                <w:rFonts w:ascii="Times New Roman" w:hAnsi="Times New Roman"/>
                <w:sz w:val="24"/>
                <w:lang w:eastAsia="es-ES_tradnl"/>
              </w:rPr>
              <w:t xml:space="preserve"> zero. RW(SP) </w:t>
            </w:r>
            <w:r w:rsidR="009E42EE"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not only include the risk weighted exposure amounts reported under column 0650</w:t>
            </w:r>
            <w:r w:rsidR="002409C1"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but also the risk weighted exposure amounts corresponding to exposures redistributed via outflows to other templates.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sidR="00402284">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002409C1" w:rsidRPr="002A677E">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In accordance with</w:t>
            </w:r>
            <w:r w:rsidR="008F2C6B"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270a </w:t>
            </w:r>
            <w:r w:rsidR="00244B6A" w:rsidRPr="001235ED">
              <w:rPr>
                <w:rFonts w:ascii="Times New Roman" w:hAnsi="Times New Roman"/>
                <w:sz w:val="24"/>
                <w:lang w:val="en-US"/>
              </w:rPr>
              <w:t>of Regulation (EU) No 575/2013</w:t>
            </w:r>
            <w:r w:rsidR="008F2C6B"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whenever certain requirements are not met by the institution, competent authorities </w:t>
            </w:r>
            <w:r w:rsidR="002409C1"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impose a proportionate additional risk weight of no less than 250</w:t>
            </w:r>
            <w:r w:rsidR="00B856D5">
              <w:t> </w:t>
            </w:r>
            <w:r w:rsidR="00E026FB" w:rsidRPr="002A677E">
              <w:rPr>
                <w:rFonts w:ascii="Times New Roman" w:hAnsi="Times New Roman"/>
                <w:sz w:val="24"/>
                <w:lang w:eastAsia="es-ES_tradnl"/>
              </w:rPr>
              <w:t>% of the risk weight (capped at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which would apply to the relevant securitisation positions under </w:t>
            </w:r>
            <w:r w:rsidR="00E026FB" w:rsidRPr="002A677E">
              <w:rPr>
                <w:rFonts w:ascii="Times New Roman" w:hAnsi="Times New Roman"/>
                <w:sz w:val="24"/>
              </w:rPr>
              <w:t>Part Three</w:t>
            </w:r>
            <w:r w:rsidR="00244B6A" w:rsidRPr="002A677E">
              <w:rPr>
                <w:rFonts w:ascii="Times New Roman" w:hAnsi="Times New Roman"/>
                <w:sz w:val="24"/>
              </w:rPr>
              <w:t>,</w:t>
            </w:r>
            <w:r w:rsidR="00E026FB" w:rsidRPr="002A677E">
              <w:rPr>
                <w:rFonts w:ascii="Times New Roman" w:hAnsi="Times New Roman"/>
                <w:sz w:val="24"/>
              </w:rPr>
              <w:t xml:space="preserve"> </w:t>
            </w:r>
            <w:r w:rsidR="00244B6A" w:rsidRPr="002A677E">
              <w:rPr>
                <w:rFonts w:ascii="Times New Roman" w:hAnsi="Times New Roman"/>
                <w:sz w:val="24"/>
              </w:rPr>
              <w:t xml:space="preserve">Title II, Chapter 5, Section 3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w:t>
            </w:r>
            <w:r w:rsidR="00E026FB" w:rsidRPr="002A677E">
              <w:rPr>
                <w:rFonts w:ascii="Times New Roman" w:eastAsia="Arial" w:hAnsi="Times New Roman"/>
                <w:sz w:val="24"/>
                <w:lang w:eastAsia="en-GB"/>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9060A5" w:rsidRPr="002A677E" w14:paraId="570770C9" w14:textId="77777777" w:rsidTr="00E10B85">
        <w:tc>
          <w:tcPr>
            <w:tcW w:w="1568" w:type="dxa"/>
          </w:tcPr>
          <w:p w14:paraId="1BFCE915" w14:textId="56717CB1" w:rsidR="009060A5" w:rsidRPr="002A677E" w:rsidRDefault="009060A5" w:rsidP="009060A5">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5AC97042" w14:textId="77777777" w:rsidR="009060A5" w:rsidRDefault="009060A5" w:rsidP="009060A5">
            <w:pPr>
              <w:spacing w:before="0" w:after="0"/>
              <w:jc w:val="left"/>
              <w:rPr>
                <w:rFonts w:ascii="Times New Roman" w:hAnsi="Times New Roman"/>
                <w:b/>
                <w:sz w:val="24"/>
                <w:u w:val="single"/>
              </w:rPr>
            </w:pPr>
            <w:r>
              <w:rPr>
                <w:rFonts w:ascii="Times New Roman" w:hAnsi="Times New Roman"/>
                <w:b/>
                <w:sz w:val="24"/>
                <w:u w:val="single"/>
              </w:rPr>
              <w:t>TOTAL RISK-WEIGHTED EXPOSURE AMOUNT</w:t>
            </w:r>
          </w:p>
          <w:p w14:paraId="7CE48BA2" w14:textId="77777777" w:rsidR="009060A5" w:rsidRDefault="009060A5" w:rsidP="009060A5">
            <w:pPr>
              <w:spacing w:before="0" w:after="0"/>
              <w:jc w:val="left"/>
              <w:rPr>
                <w:rFonts w:ascii="Times New Roman" w:hAnsi="Times New Roman"/>
                <w:sz w:val="24"/>
              </w:rPr>
            </w:pPr>
          </w:p>
          <w:p w14:paraId="50869B7A" w14:textId="66CDC920" w:rsidR="009060A5" w:rsidRPr="002A677E" w:rsidRDefault="009060A5" w:rsidP="009060A5">
            <w:pPr>
              <w:spacing w:before="0" w:after="0"/>
              <w:jc w:val="left"/>
              <w:rPr>
                <w:rFonts w:ascii="Times New Roman" w:hAnsi="Times New Roman"/>
                <w:b/>
                <w:sz w:val="24"/>
                <w:u w:val="single"/>
              </w:rPr>
            </w:pPr>
            <w:r w:rsidRPr="002A677E">
              <w:rPr>
                <w:rFonts w:ascii="Times New Roman" w:hAnsi="Times New Roman"/>
                <w:sz w:val="24"/>
              </w:rPr>
              <w:lastRenderedPageBreak/>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w:t>
            </w: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r w:rsidR="00244B6A" w:rsidRPr="002A677E">
              <w:rPr>
                <w:rFonts w:ascii="Times New Roman" w:hAnsi="Times New Roman"/>
                <w:sz w:val="24"/>
              </w:rPr>
              <w:t>Part Three, Title II, Chapter 5, Section 3</w:t>
            </w:r>
            <w:r w:rsidR="009A0C4E"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 xml:space="preserve">or in case of </w:t>
            </w:r>
            <w:r w:rsidR="00613578" w:rsidRPr="002A677E">
              <w:rPr>
                <w:rFonts w:ascii="Times New Roman" w:hAnsi="Times New Roman"/>
                <w:sz w:val="24"/>
                <w:lang w:eastAsia="es-ES_tradnl"/>
              </w:rPr>
              <w:t>qualifying traditional NPE securitisations</w:t>
            </w:r>
            <w:r w:rsidR="008A1203" w:rsidRPr="002A677E">
              <w:rPr>
                <w:rFonts w:ascii="Times New Roman" w:hAnsi="Times New Roman"/>
                <w:sz w:val="24"/>
                <w:lang w:eastAsia="es-ES_tradnl"/>
              </w:rPr>
              <w:t xml:space="preserve"> before</w:t>
            </w:r>
            <w:r w:rsidR="009A0C4E" w:rsidRPr="002A677E">
              <w:rPr>
                <w:rFonts w:ascii="Times New Roman" w:hAnsi="Times New Roman"/>
                <w:sz w:val="24"/>
                <w:lang w:eastAsia="es-ES_tradnl"/>
              </w:rPr>
              <w:t xml:space="preserve"> </w:t>
            </w:r>
            <w:r w:rsidR="00613578" w:rsidRPr="002A677E">
              <w:rPr>
                <w:rFonts w:ascii="Times New Roman" w:hAnsi="Times New Roman"/>
                <w:sz w:val="24"/>
                <w:lang w:eastAsia="es-ES_tradnl"/>
              </w:rPr>
              <w:t xml:space="preserve">Article 269a </w:t>
            </w:r>
            <w:r w:rsidR="00244B6A" w:rsidRPr="001235ED">
              <w:rPr>
                <w:rFonts w:ascii="Times New Roman" w:hAnsi="Times New Roman"/>
                <w:sz w:val="24"/>
                <w:lang w:val="en-US"/>
              </w:rPr>
              <w:t>of Regulation (EU) No 575/2013</w:t>
            </w:r>
            <w:r w:rsidR="0061357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is</w:t>
            </w:r>
            <w:r w:rsidR="00613578" w:rsidRPr="002A677E">
              <w:rPr>
                <w:rFonts w:ascii="Times New Roman" w:hAnsi="Times New Roman"/>
                <w:sz w:val="24"/>
                <w:lang w:eastAsia="es-ES_tradnl"/>
              </w:rPr>
              <w:t xml:space="preserve"> applied.</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267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paragrapsh (6) and (7) there</w:t>
            </w:r>
            <w:r w:rsidR="006A7EC8">
              <w:rPr>
                <w:rFonts w:ascii="Times New Roman" w:hAnsi="Times New Roman"/>
                <w:sz w:val="24"/>
                <w:lang w:val="en-US"/>
              </w:rPr>
              <w:t>o</w:t>
            </w:r>
            <w:r w:rsidR="008126F5">
              <w:rPr>
                <w:rFonts w:ascii="Times New Roman" w:hAnsi="Times New Roman"/>
                <w:sz w:val="24"/>
                <w:lang w:val="en-US"/>
              </w:rPr>
              <w:t>f,</w:t>
            </w:r>
            <w:r w:rsidR="00613578" w:rsidRPr="002A677E">
              <w:rPr>
                <w:rFonts w:ascii="Times New Roman" w:hAnsi="Times New Roman"/>
                <w:sz w:val="24"/>
                <w:lang w:eastAsia="es-ES_tradnl"/>
              </w:rPr>
              <w:t xml:space="preserve"> shall be applied.</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268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w:t>
            </w:r>
            <w:r w:rsidR="00A16FFF" w:rsidRPr="002A677E">
              <w:rPr>
                <w:rFonts w:ascii="Times New Roman" w:hAnsi="Times New Roman"/>
                <w:sz w:val="24"/>
                <w:lang w:eastAsia="es-ES_tradnl"/>
              </w:rPr>
              <w:t>Part Three</w:t>
            </w:r>
            <w:r w:rsidR="00244B6A" w:rsidRPr="002A677E">
              <w:rPr>
                <w:rFonts w:ascii="Times New Roman" w:hAnsi="Times New Roman"/>
                <w:sz w:val="24"/>
                <w:lang w:eastAsia="es-ES_tradnl"/>
              </w:rPr>
              <w:t>,</w:t>
            </w:r>
            <w:r w:rsidR="00A16FFF"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Title II, Chapter 2 or 3</w:t>
            </w:r>
            <w:r w:rsidR="00402284">
              <w:rPr>
                <w:rFonts w:ascii="Times New Roman" w:hAnsi="Times New Roman"/>
                <w:sz w:val="24"/>
                <w:lang w:eastAsia="es-ES_tradnl"/>
              </w:rPr>
              <w:t xml:space="preserve"> </w:t>
            </w:r>
            <w:r w:rsidR="00244B6A" w:rsidRPr="001235ED">
              <w:rPr>
                <w:rFonts w:ascii="Times New Roman" w:hAnsi="Times New Roman"/>
                <w:sz w:val="24"/>
                <w:lang w:val="en-US"/>
              </w:rPr>
              <w:t>of Regulation (EU) No 575/2013</w:t>
            </w:r>
            <w:r w:rsidR="00712DE1"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in respect of the underlying exposures had they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paragraphs (5) and (7) thereof,</w:t>
            </w:r>
            <w:r w:rsidR="00613578" w:rsidRPr="002A677E">
              <w:rPr>
                <w:rFonts w:ascii="Times New Roman" w:hAnsi="Times New Roman"/>
                <w:sz w:val="24"/>
                <w:lang w:eastAsia="es-ES_tradnl"/>
              </w:rPr>
              <w:t xml:space="preserve"> shall be applied.</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Part Three</w:t>
            </w:r>
            <w:r w:rsidR="00244B6A"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 xml:space="preserve">Title II, Chapter 5, Section 3 </w:t>
            </w:r>
            <w:r w:rsidR="00244B6A"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654A02" w:rsidRPr="002A677E">
              <w:rPr>
                <w:rFonts w:ascii="Times New Roman" w:hAnsi="Times New Roman"/>
                <w:sz w:val="24"/>
                <w:lang w:eastAsia="es-ES_tradnl"/>
              </w:rPr>
              <w:t xml:space="preserve">considering the total risk weight </w:t>
            </w:r>
            <w:r w:rsidRPr="002A677E">
              <w:rPr>
                <w:rFonts w:ascii="Times New Roman" w:hAnsi="Times New Roman"/>
                <w:sz w:val="24"/>
                <w:lang w:eastAsia="es-ES_tradnl"/>
              </w:rPr>
              <w:t xml:space="preserve">as specified in Article 247(6)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5F6D11" w:rsidRPr="002A677E" w14:paraId="5EAC3914" w14:textId="77777777" w:rsidTr="00E10B85">
        <w:tc>
          <w:tcPr>
            <w:tcW w:w="1568" w:type="dxa"/>
          </w:tcPr>
          <w:p w14:paraId="7994BEF4" w14:textId="564077F2" w:rsidR="005F6D11" w:rsidRPr="002A677E" w:rsidRDefault="005F6D11" w:rsidP="005F6D11">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0921-0924</w:t>
            </w:r>
          </w:p>
        </w:tc>
        <w:tc>
          <w:tcPr>
            <w:tcW w:w="7436" w:type="dxa"/>
          </w:tcPr>
          <w:p w14:paraId="02465071" w14:textId="77777777" w:rsidR="005F6D11" w:rsidRDefault="005F6D11" w:rsidP="005F6D11">
            <w:pPr>
              <w:spacing w:before="0" w:after="0"/>
              <w:jc w:val="left"/>
              <w:rPr>
                <w:rFonts w:ascii="Times New Roman" w:hAnsi="Times New Roman"/>
                <w:b/>
                <w:sz w:val="24"/>
                <w:u w:val="single"/>
              </w:rPr>
            </w:pPr>
            <w:r>
              <w:rPr>
                <w:rFonts w:ascii="Times New Roman" w:hAnsi="Times New Roman"/>
                <w:b/>
                <w:sz w:val="24"/>
                <w:u w:val="single"/>
              </w:rPr>
              <w:t>OUTPUT FLOOR S-TREA</w:t>
            </w:r>
          </w:p>
          <w:p w14:paraId="5E88A424" w14:textId="77777777" w:rsidR="005F6D11" w:rsidRDefault="005F6D11" w:rsidP="005F6D11">
            <w:pPr>
              <w:spacing w:before="0" w:after="0"/>
              <w:jc w:val="left"/>
              <w:rPr>
                <w:rFonts w:ascii="Times New Roman" w:hAnsi="Times New Roman"/>
                <w:sz w:val="24"/>
              </w:rPr>
            </w:pPr>
          </w:p>
          <w:p w14:paraId="5A6E908C" w14:textId="55C486DE" w:rsidR="005F6D11" w:rsidRPr="002A677E" w:rsidRDefault="005F6D11" w:rsidP="005F6D11">
            <w:pPr>
              <w:spacing w:before="0" w:after="0"/>
              <w:jc w:val="left"/>
              <w:rPr>
                <w:rFonts w:ascii="Times New Roman" w:hAnsi="Times New Roman"/>
                <w:b/>
                <w:sz w:val="24"/>
                <w:u w:val="single"/>
              </w:rPr>
            </w:pPr>
            <w:r w:rsidRPr="001E3E85">
              <w:t xml:space="preserve">For institutions subject the output floor as per Article 92(3) </w:t>
            </w:r>
            <w:r w:rsidRPr="001E3E85">
              <w:rPr>
                <w:lang w:val="en-US"/>
              </w:rPr>
              <w:t>of Regulation (EU) No 575/2013, the standardised total risk exposure amount (S-TREA) calculated in accordance with Article 92(</w:t>
            </w:r>
            <w:r>
              <w:rPr>
                <w:rFonts w:ascii="Times New Roman" w:hAnsi="Times New Roman"/>
                <w:sz w:val="24"/>
                <w:lang w:val="en-US"/>
              </w:rPr>
              <w:t>5</w:t>
            </w:r>
            <w:r w:rsidRPr="001E3E85">
              <w:rPr>
                <w:lang w:val="en-US"/>
              </w:rPr>
              <w:t>).</w:t>
            </w:r>
          </w:p>
        </w:tc>
      </w:tr>
      <w:tr w:rsidR="005F6D11" w:rsidRPr="002A677E" w14:paraId="514E37D8" w14:textId="77777777" w:rsidTr="00E10B85">
        <w:tc>
          <w:tcPr>
            <w:tcW w:w="1568" w:type="dxa"/>
          </w:tcPr>
          <w:p w14:paraId="4CBF19F4" w14:textId="1BE00FDE" w:rsidR="005F6D11" w:rsidRPr="002A677E" w:rsidRDefault="005F6D11" w:rsidP="005F6D11">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w:t>
            </w:r>
          </w:p>
        </w:tc>
        <w:tc>
          <w:tcPr>
            <w:tcW w:w="7436" w:type="dxa"/>
          </w:tcPr>
          <w:p w14:paraId="7DCD8199" w14:textId="77777777" w:rsidR="005F6D11" w:rsidRDefault="005F6D11" w:rsidP="005F6D11">
            <w:pPr>
              <w:spacing w:before="0" w:after="0"/>
              <w:jc w:val="left"/>
              <w:rPr>
                <w:rFonts w:ascii="Times New Roman" w:hAnsi="Times New Roman"/>
                <w:b/>
                <w:sz w:val="24"/>
                <w:u w:val="single"/>
              </w:rPr>
            </w:pPr>
            <w:r w:rsidRPr="005C2EF0">
              <w:rPr>
                <w:rFonts w:ascii="Times New Roman" w:hAnsi="Times New Roman"/>
                <w:b/>
                <w:sz w:val="24"/>
                <w:u w:val="single"/>
              </w:rPr>
              <w:t>BEFORE CAP</w:t>
            </w:r>
          </w:p>
          <w:p w14:paraId="4FF1D580" w14:textId="77777777" w:rsidR="005F6D11" w:rsidRDefault="005F6D11" w:rsidP="005F6D11">
            <w:pPr>
              <w:spacing w:before="0" w:after="0"/>
              <w:jc w:val="left"/>
              <w:rPr>
                <w:rFonts w:ascii="Times New Roman" w:hAnsi="Times New Roman"/>
                <w:sz w:val="24"/>
                <w:lang w:eastAsia="es-ES_tradnl"/>
              </w:rPr>
            </w:pPr>
          </w:p>
          <w:p w14:paraId="5A538626" w14:textId="5E4EC00B" w:rsidR="005F6D11" w:rsidRPr="002A677E" w:rsidRDefault="005F6D11" w:rsidP="005F6D11">
            <w:pPr>
              <w:spacing w:before="0" w:after="0"/>
              <w:jc w:val="left"/>
              <w:rPr>
                <w:rFonts w:ascii="Times New Roman" w:hAnsi="Times New Roman"/>
                <w:b/>
                <w:sz w:val="24"/>
                <w:u w:val="single"/>
              </w:rPr>
            </w:pPr>
            <w:r>
              <w:rPr>
                <w:rFonts w:ascii="Times New Roman" w:hAnsi="Times New Roman"/>
                <w:sz w:val="24"/>
                <w:lang w:eastAsia="es-ES_tradnl"/>
              </w:rPr>
              <w:lastRenderedPageBreak/>
              <w:t xml:space="preserve">S-TREA </w:t>
            </w:r>
            <w:r w:rsidRPr="002A677E">
              <w:rPr>
                <w:rFonts w:ascii="Times New Roman" w:hAnsi="Times New Roman"/>
                <w:sz w:val="24"/>
                <w:lang w:eastAsia="es-ES_tradnl"/>
              </w:rPr>
              <w:t xml:space="preserve">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tc>
      </w:tr>
      <w:tr w:rsidR="005F6D11" w:rsidRPr="002A677E" w14:paraId="308F8B0B" w14:textId="77777777" w:rsidTr="00E10B85">
        <w:tc>
          <w:tcPr>
            <w:tcW w:w="1568" w:type="dxa"/>
          </w:tcPr>
          <w:p w14:paraId="69AC38DC" w14:textId="6FB50FCB" w:rsidR="005F6D11" w:rsidRPr="002A677E" w:rsidRDefault="005F6D11" w:rsidP="005F6D11">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0922</w:t>
            </w:r>
          </w:p>
        </w:tc>
        <w:tc>
          <w:tcPr>
            <w:tcW w:w="7436" w:type="dxa"/>
          </w:tcPr>
          <w:p w14:paraId="102BDA4E" w14:textId="77777777" w:rsidR="005F6D11" w:rsidRDefault="005F6D11" w:rsidP="005F6D11">
            <w:pPr>
              <w:spacing w:before="0" w:after="0"/>
              <w:jc w:val="left"/>
              <w:rPr>
                <w:rFonts w:ascii="Times New Roman" w:hAnsi="Times New Roman"/>
                <w:b/>
                <w:sz w:val="24"/>
                <w:u w:val="single"/>
              </w:rPr>
            </w:pPr>
            <w:r w:rsidRPr="005C2EF0">
              <w:rPr>
                <w:rFonts w:ascii="Times New Roman" w:hAnsi="Times New Roman"/>
                <w:b/>
                <w:sz w:val="24"/>
                <w:u w:val="single"/>
              </w:rPr>
              <w:t>(-) REDUCTION DUE TO RISK WEIGHT CAP</w:t>
            </w:r>
          </w:p>
          <w:p w14:paraId="7D62AA0A" w14:textId="77777777" w:rsidR="005F6D11" w:rsidRDefault="005F6D11" w:rsidP="005F6D11">
            <w:pPr>
              <w:spacing w:before="0" w:after="0"/>
              <w:jc w:val="left"/>
              <w:rPr>
                <w:rFonts w:ascii="Times New Roman" w:hAnsi="Times New Roman"/>
                <w:bCs/>
                <w:sz w:val="24"/>
              </w:rPr>
            </w:pPr>
          </w:p>
          <w:p w14:paraId="0F0E3EE5" w14:textId="05D16711" w:rsidR="005F6D11" w:rsidRPr="002A677E" w:rsidRDefault="005F6D11" w:rsidP="005F6D11">
            <w:pPr>
              <w:spacing w:before="0" w:after="0"/>
              <w:jc w:val="left"/>
              <w:rPr>
                <w:rFonts w:ascii="Times New Roman" w:hAnsi="Times New Roman"/>
                <w:b/>
                <w:sz w:val="24"/>
                <w:u w:val="single"/>
              </w:rPr>
            </w:pPr>
            <w:r>
              <w:rPr>
                <w:rFonts w:ascii="Times New Roman" w:hAnsi="Times New Roman"/>
                <w:bCs/>
                <w:sz w:val="24"/>
              </w:rPr>
              <w:t xml:space="preserve">Reduction of S-TREA due to the risk weight cap </w:t>
            </w:r>
            <w:r>
              <w:rPr>
                <w:rFonts w:ascii="Times New Roman" w:hAnsi="Times New Roman"/>
                <w:sz w:val="24"/>
                <w:lang w:eastAsia="es-ES_tradnl"/>
              </w:rPr>
              <w:t>i</w:t>
            </w:r>
            <w:r w:rsidRPr="002A677E">
              <w:rPr>
                <w:rFonts w:ascii="Times New Roman" w:hAnsi="Times New Roman"/>
                <w:sz w:val="24"/>
                <w:lang w:eastAsia="es-ES_tradnl"/>
              </w:rPr>
              <w:t xml:space="preserve">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w:t>
            </w:r>
          </w:p>
        </w:tc>
      </w:tr>
      <w:tr w:rsidR="005F6D11" w:rsidRPr="002A677E" w14:paraId="0F89B583" w14:textId="77777777" w:rsidTr="00E10B85">
        <w:tc>
          <w:tcPr>
            <w:tcW w:w="1568" w:type="dxa"/>
          </w:tcPr>
          <w:p w14:paraId="2CFAE93B" w14:textId="354A6BAB" w:rsidR="005F6D11" w:rsidRPr="002A677E" w:rsidRDefault="005F6D11" w:rsidP="005F6D11">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0923</w:t>
            </w:r>
          </w:p>
        </w:tc>
        <w:tc>
          <w:tcPr>
            <w:tcW w:w="7436" w:type="dxa"/>
          </w:tcPr>
          <w:p w14:paraId="03113F6A" w14:textId="77777777" w:rsidR="005F6D11" w:rsidRDefault="005F6D11" w:rsidP="005F6D11">
            <w:pPr>
              <w:spacing w:before="0" w:after="0"/>
              <w:jc w:val="left"/>
              <w:rPr>
                <w:rFonts w:ascii="Times New Roman" w:hAnsi="Times New Roman"/>
                <w:b/>
                <w:sz w:val="24"/>
                <w:u w:val="single"/>
              </w:rPr>
            </w:pPr>
            <w:r w:rsidRPr="003553C1">
              <w:rPr>
                <w:rFonts w:ascii="Times New Roman" w:hAnsi="Times New Roman"/>
                <w:b/>
                <w:sz w:val="24"/>
                <w:u w:val="single"/>
              </w:rPr>
              <w:t>(-) REDUCTION DUE TO OVERALL CAP</w:t>
            </w:r>
          </w:p>
          <w:p w14:paraId="47BA7324" w14:textId="77777777" w:rsidR="005F6D11" w:rsidRDefault="005F6D11" w:rsidP="005F6D11">
            <w:pPr>
              <w:spacing w:before="0" w:after="0"/>
              <w:jc w:val="left"/>
              <w:rPr>
                <w:rFonts w:ascii="Times New Roman" w:hAnsi="Times New Roman"/>
                <w:bCs/>
                <w:sz w:val="24"/>
              </w:rPr>
            </w:pPr>
          </w:p>
          <w:p w14:paraId="30D25167" w14:textId="46CC1358" w:rsidR="005F6D11" w:rsidRPr="002A677E" w:rsidRDefault="005F6D11" w:rsidP="005F6D11">
            <w:pPr>
              <w:spacing w:before="0" w:after="0"/>
              <w:jc w:val="left"/>
              <w:rPr>
                <w:rFonts w:ascii="Times New Roman" w:hAnsi="Times New Roman"/>
                <w:b/>
                <w:sz w:val="24"/>
                <w:u w:val="single"/>
              </w:rPr>
            </w:pPr>
            <w:r>
              <w:rPr>
                <w:rFonts w:ascii="Times New Roman" w:hAnsi="Times New Roman"/>
                <w:bCs/>
                <w:sz w:val="24"/>
              </w:rPr>
              <w:t xml:space="preserve">Reduction of S-TREA due to the overall cap </w:t>
            </w:r>
            <w:r>
              <w:rPr>
                <w:rFonts w:ascii="Times New Roman" w:hAnsi="Times New Roman"/>
                <w:sz w:val="24"/>
                <w:lang w:eastAsia="es-ES_tradnl"/>
              </w:rPr>
              <w:t>i</w:t>
            </w:r>
            <w:r w:rsidRPr="002A677E">
              <w:rPr>
                <w:rFonts w:ascii="Times New Roman" w:hAnsi="Times New Roman"/>
                <w:sz w:val="24"/>
                <w:lang w:eastAsia="es-ES_tradnl"/>
              </w:rPr>
              <w:t>n accordance with Article 26</w:t>
            </w:r>
            <w:r>
              <w:rPr>
                <w:rFonts w:ascii="Times New Roman" w:hAnsi="Times New Roman"/>
                <w:sz w:val="24"/>
                <w:lang w:eastAsia="es-ES_tradnl"/>
              </w:rPr>
              <w:t>8</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(5) and (7) thereof</w:t>
            </w:r>
            <w:r w:rsidRPr="002A677E">
              <w:rPr>
                <w:rFonts w:ascii="Times New Roman" w:hAnsi="Times New Roman"/>
                <w:sz w:val="24"/>
                <w:lang w:eastAsia="es-ES_tradnl"/>
              </w:rPr>
              <w:t>.</w:t>
            </w:r>
          </w:p>
        </w:tc>
      </w:tr>
      <w:tr w:rsidR="005F6D11" w:rsidRPr="002A677E" w14:paraId="3E26FFC8" w14:textId="77777777" w:rsidTr="00E10B85">
        <w:tc>
          <w:tcPr>
            <w:tcW w:w="1568" w:type="dxa"/>
          </w:tcPr>
          <w:p w14:paraId="41A10ECA" w14:textId="691F6A43" w:rsidR="005F6D11" w:rsidRPr="002A677E" w:rsidRDefault="005F6D11" w:rsidP="005F6D11">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0924</w:t>
            </w:r>
          </w:p>
        </w:tc>
        <w:tc>
          <w:tcPr>
            <w:tcW w:w="7436" w:type="dxa"/>
          </w:tcPr>
          <w:p w14:paraId="753C8100" w14:textId="77777777" w:rsidR="005F6D11" w:rsidRDefault="005F6D11" w:rsidP="005F6D11">
            <w:pPr>
              <w:spacing w:before="0" w:after="0"/>
              <w:jc w:val="left"/>
              <w:rPr>
                <w:rFonts w:ascii="Times New Roman" w:hAnsi="Times New Roman"/>
                <w:b/>
                <w:sz w:val="24"/>
                <w:u w:val="single"/>
              </w:rPr>
            </w:pPr>
            <w:r>
              <w:rPr>
                <w:rFonts w:ascii="Times New Roman" w:hAnsi="Times New Roman"/>
                <w:b/>
                <w:sz w:val="24"/>
                <w:u w:val="single"/>
              </w:rPr>
              <w:t>AFTER CAP</w:t>
            </w:r>
          </w:p>
          <w:p w14:paraId="2D2DD616" w14:textId="77777777" w:rsidR="005F6D11" w:rsidRDefault="005F6D11" w:rsidP="005F6D11">
            <w:pPr>
              <w:spacing w:before="0" w:after="0"/>
              <w:jc w:val="left"/>
              <w:rPr>
                <w:rFonts w:ascii="Times New Roman" w:hAnsi="Times New Roman"/>
                <w:bCs/>
                <w:sz w:val="24"/>
              </w:rPr>
            </w:pPr>
          </w:p>
          <w:p w14:paraId="5AC1214A" w14:textId="639EDE94" w:rsidR="005F6D11" w:rsidRPr="002A677E" w:rsidRDefault="005F6D11" w:rsidP="005F6D11">
            <w:pPr>
              <w:spacing w:before="0" w:after="0"/>
              <w:jc w:val="left"/>
              <w:rPr>
                <w:rFonts w:ascii="Times New Roman" w:hAnsi="Times New Roman"/>
                <w:b/>
                <w:sz w:val="24"/>
                <w:u w:val="single"/>
              </w:rPr>
            </w:pPr>
            <w:r>
              <w:rPr>
                <w:rFonts w:ascii="Times New Roman" w:hAnsi="Times New Roman"/>
                <w:bCs/>
                <w:sz w:val="24"/>
              </w:rPr>
              <w:t>Amount of S-TREA after overall cap.</w:t>
            </w:r>
          </w:p>
        </w:tc>
      </w:tr>
      <w:tr w:rsidR="00FB5EC5" w:rsidRPr="002A677E" w14:paraId="5404CF1F" w14:textId="77777777" w:rsidTr="00E10B85">
        <w:tc>
          <w:tcPr>
            <w:tcW w:w="1568" w:type="dxa"/>
          </w:tcPr>
          <w:p w14:paraId="71FFE7BB" w14:textId="53FE8111" w:rsidR="00FB5EC5" w:rsidRPr="002A677E" w:rsidRDefault="00FB5EC5"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0930-09</w:t>
            </w:r>
            <w:r w:rsidR="009E1C5C">
              <w:rPr>
                <w:rFonts w:ascii="Times New Roman" w:hAnsi="Times New Roman"/>
                <w:bCs/>
                <w:sz w:val="24"/>
                <w:lang w:eastAsia="nl-BE"/>
              </w:rPr>
              <w:t>60</w:t>
            </w:r>
          </w:p>
        </w:tc>
        <w:tc>
          <w:tcPr>
            <w:tcW w:w="7436" w:type="dxa"/>
          </w:tcPr>
          <w:p w14:paraId="0169D45E" w14:textId="469D47DD" w:rsidR="00FB5EC5" w:rsidRPr="002A677E" w:rsidRDefault="009E1C5C" w:rsidP="00E10B85">
            <w:pPr>
              <w:spacing w:before="0" w:after="0"/>
              <w:jc w:val="left"/>
              <w:rPr>
                <w:rFonts w:ascii="Times New Roman" w:hAnsi="Times New Roman"/>
                <w:b/>
                <w:sz w:val="24"/>
                <w:u w:val="single"/>
              </w:rPr>
            </w:pPr>
            <w:r>
              <w:rPr>
                <w:rFonts w:ascii="Times New Roman" w:hAnsi="Times New Roman"/>
                <w:b/>
                <w:sz w:val="24"/>
                <w:u w:val="single"/>
              </w:rPr>
              <w:t>MEMORANDUM ITEMS</w:t>
            </w: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2B51195B" w14:textId="258E3BC1"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CORRESPONDING TO THE OUTFLOWS FROM SECURITISATIONS TO OTHER EXPOSURE CLASSES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3F0E2F8D" w14:textId="77777777" w:rsidR="00E026FB" w:rsidRPr="002A677E" w:rsidRDefault="00E026FB" w:rsidP="00E10B85">
            <w:pPr>
              <w:spacing w:before="0" w:after="0"/>
              <w:jc w:val="left"/>
              <w:rPr>
                <w:rFonts w:ascii="Times New Roman" w:hAnsi="Times New Roman"/>
                <w:sz w:val="24"/>
              </w:rPr>
            </w:pPr>
          </w:p>
        </w:tc>
      </w:tr>
      <w:tr w:rsidR="009E1C5C" w:rsidRPr="002A677E" w14:paraId="70146187" w14:textId="77777777" w:rsidTr="00E10B85">
        <w:tc>
          <w:tcPr>
            <w:tcW w:w="1568" w:type="dxa"/>
          </w:tcPr>
          <w:p w14:paraId="0E0E2292" w14:textId="5BA0F700" w:rsidR="009E1C5C" w:rsidRPr="002A677E" w:rsidRDefault="0069299C"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0940-0960</w:t>
            </w:r>
          </w:p>
        </w:tc>
        <w:tc>
          <w:tcPr>
            <w:tcW w:w="7436" w:type="dxa"/>
          </w:tcPr>
          <w:p w14:paraId="4B632A6E" w14:textId="4F3351D7" w:rsidR="009E1C5C" w:rsidRDefault="0069299C" w:rsidP="00E10B85">
            <w:pPr>
              <w:spacing w:before="0" w:after="0"/>
              <w:jc w:val="left"/>
              <w:rPr>
                <w:rFonts w:ascii="Times New Roman" w:hAnsi="Times New Roman"/>
                <w:b/>
                <w:sz w:val="24"/>
                <w:u w:val="single"/>
              </w:rPr>
            </w:pPr>
            <w:r w:rsidRPr="0069299C">
              <w:rPr>
                <w:rFonts w:ascii="Times New Roman" w:hAnsi="Times New Roman"/>
                <w:b/>
                <w:sz w:val="24"/>
                <w:u w:val="single"/>
              </w:rPr>
              <w:t xml:space="preserve">OUTPUT FLOOR; RWEA RELATED TO THE IMPACT OF APPLICATION </w:t>
            </w:r>
            <w:r w:rsidR="00DB1B54">
              <w:rPr>
                <w:rFonts w:ascii="Times New Roman" w:hAnsi="Times New Roman"/>
                <w:b/>
                <w:sz w:val="24"/>
                <w:u w:val="single"/>
              </w:rPr>
              <w:t>OF ARTICLE</w:t>
            </w:r>
            <w:r w:rsidRPr="0069299C">
              <w:rPr>
                <w:rFonts w:ascii="Times New Roman" w:hAnsi="Times New Roman"/>
                <w:b/>
                <w:sz w:val="24"/>
                <w:u w:val="single"/>
              </w:rPr>
              <w:t xml:space="preserve"> 465(5b) </w:t>
            </w:r>
            <w:r w:rsidR="00DB1B54">
              <w:rPr>
                <w:rFonts w:ascii="Times New Roman" w:hAnsi="Times New Roman"/>
                <w:b/>
                <w:sz w:val="24"/>
                <w:u w:val="single"/>
              </w:rPr>
              <w:t>OF REGULATION (EU) NO 575/2013</w:t>
            </w:r>
          </w:p>
          <w:p w14:paraId="4F50F6AE" w14:textId="0D8C4A76" w:rsidR="009E1C5C" w:rsidRPr="002A677E" w:rsidRDefault="0069299C" w:rsidP="00E10B85">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ED78263" w:rsidR="00E026FB"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111</w:t>
      </w:r>
      <w:r>
        <w:fldChar w:fldCharType="end"/>
      </w:r>
      <w:r w:rsidR="00E026FB" w:rsidRPr="002A677E">
        <w:t>.</w:t>
      </w:r>
      <w:r w:rsidR="00E026FB" w:rsidRPr="002A677E">
        <w:tab/>
      </w:r>
      <w:r w:rsidR="005C14B0" w:rsidRPr="002A677E">
        <w:t xml:space="preserve"> </w:t>
      </w:r>
      <w:r w:rsidR="00E026FB" w:rsidRPr="002A677E">
        <w:t>The template is divided into three major blocks of rows which gather data on the originated / sponsored / retained or purchased exposures by originators, investors and sponsors. For each of them, the information</w:t>
      </w:r>
      <w:r w:rsidR="009E42EE" w:rsidRPr="002A677E">
        <w:t xml:space="preserve"> shall be</w:t>
      </w:r>
      <w:r w:rsidR="00E026FB" w:rsidRPr="002A677E">
        <w:t xml:space="preserve"> broken down by on-balance sheet items and off-balance sheet items and derivatives, as well as if it is subject to differentiated capital treatment or not.</w:t>
      </w:r>
    </w:p>
    <w:p w14:paraId="3E41D4CD" w14:textId="2CB215A3" w:rsidR="00E026FB"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112</w:t>
      </w:r>
      <w:r>
        <w:fldChar w:fldCharType="end"/>
      </w:r>
      <w:r w:rsidR="00E026FB" w:rsidRPr="002A677E">
        <w:t>.</w:t>
      </w:r>
      <w:r w:rsidR="005C14B0" w:rsidRPr="002A677E">
        <w:t xml:space="preserve"> </w:t>
      </w:r>
      <w:r w:rsidR="00E026FB" w:rsidRPr="002A677E">
        <w:t xml:space="preserve">Positions treated </w:t>
      </w:r>
      <w:r w:rsidR="00BB22D4" w:rsidRPr="002A677E">
        <w:t>in accordance with</w:t>
      </w:r>
      <w:r w:rsidR="00E026FB" w:rsidRPr="002A677E">
        <w:t xml:space="preserve"> the SEC-ERBA and unrated positions (exposures at reporting date) </w:t>
      </w:r>
      <w:r w:rsidR="009E42EE" w:rsidRPr="002A677E">
        <w:t>shall be</w:t>
      </w:r>
      <w:r w:rsidR="00E026FB" w:rsidRPr="002A677E">
        <w:t xml:space="preserve"> broken down </w:t>
      </w:r>
      <w:r w:rsidR="00BB22D4" w:rsidRPr="002A677E">
        <w:t>in accordance with</w:t>
      </w:r>
      <w:r w:rsidR="00E026FB" w:rsidRPr="002A677E">
        <w:t xml:space="preserve"> the credit quality steps applied at inception (last block of rows). Originators, sponsors as well as investors shall report this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w:t>
            </w:r>
            <w:r w:rsidR="002409C1" w:rsidRPr="002A677E">
              <w:rPr>
                <w:rFonts w:ascii="Times New Roman" w:hAnsi="Times New Roman"/>
                <w:sz w:val="24"/>
                <w:lang w:eastAsia="es-ES_tradnl"/>
              </w:rPr>
              <w:t xml:space="preserve">, as defined </w:t>
            </w:r>
            <w:r w:rsidRPr="002A677E">
              <w:rPr>
                <w:rFonts w:ascii="Times New Roman" w:hAnsi="Times New Roman"/>
                <w:sz w:val="24"/>
                <w:lang w:eastAsia="es-ES_tradnl"/>
              </w:rPr>
              <w:t>in</w:t>
            </w:r>
            <w:r w:rsidR="00F57A08"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(62)</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which are not re-securitisations </w:t>
            </w:r>
            <w:r w:rsidR="002409C1" w:rsidRPr="002A677E">
              <w:rPr>
                <w:rFonts w:ascii="Times New Roman" w:hAnsi="Times New Roman"/>
                <w:sz w:val="24"/>
                <w:lang w:eastAsia="es-ES_tradnl"/>
              </w:rPr>
              <w:t xml:space="preserve">as defined </w:t>
            </w:r>
            <w:r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fulfil the criteria of Article 243</w:t>
            </w:r>
            <w:r w:rsidR="00F530D8" w:rsidRPr="002A677E">
              <w:rPr>
                <w:rFonts w:ascii="Times New Roman" w:hAnsi="Times New Roman"/>
                <w:sz w:val="24"/>
                <w:lang w:eastAsia="es-ES_tradnl"/>
              </w:rPr>
              <w:t>,</w:t>
            </w:r>
            <w:r w:rsidRPr="002A677E">
              <w:rPr>
                <w:rFonts w:ascii="Times New Roman" w:hAnsi="Times New Roman"/>
                <w:sz w:val="24"/>
                <w:lang w:eastAsia="es-ES_tradnl"/>
              </w:rPr>
              <w:t xml:space="preserve"> 270</w:t>
            </w:r>
            <w:r w:rsidR="00F530D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or</w:t>
            </w:r>
            <w:r w:rsidR="00F530D8" w:rsidRPr="002A677E">
              <w:rPr>
                <w:rFonts w:ascii="Times New Roman" w:hAnsi="Times New Roman"/>
                <w:sz w:val="24"/>
                <w:lang w:eastAsia="es-ES_tradnl"/>
              </w:rPr>
              <w:t xml:space="preserve"> 494c</w:t>
            </w:r>
            <w:r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EXPOSURES IN STS </w:t>
            </w:r>
            <w:r w:rsidR="00AF2910" w:rsidRPr="002A677E">
              <w:rPr>
                <w:rFonts w:ascii="Times New Roman" w:hAnsi="Times New Roman"/>
                <w:b/>
                <w:sz w:val="24"/>
                <w:u w:val="single"/>
                <w:lang w:eastAsia="es-ES_tradnl"/>
              </w:rPr>
              <w:t xml:space="preserve">ABCP </w:t>
            </w:r>
            <w:r w:rsidR="00031FA5" w:rsidRPr="002A677E">
              <w:rPr>
                <w:rFonts w:ascii="Times New Roman" w:hAnsi="Times New Roman"/>
                <w:b/>
                <w:sz w:val="24"/>
                <w:u w:val="single"/>
                <w:lang w:eastAsia="es-ES_tradnl"/>
              </w:rPr>
              <w:t xml:space="preserve">AND NON-ABCP </w:t>
            </w:r>
            <w:r w:rsidRPr="002A677E">
              <w:rPr>
                <w:rFonts w:ascii="Times New Roman" w:hAnsi="Times New Roman"/>
                <w:b/>
                <w:sz w:val="24"/>
                <w:u w:val="single"/>
                <w:lang w:eastAsia="es-ES_tradnl"/>
              </w:rPr>
              <w:t>TRADITIONAL SECURITISATIONS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STS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A16FFF" w:rsidRPr="002A677E">
              <w:rPr>
                <w:rFonts w:ascii="Times New Roman" w:hAnsi="Times New Roman"/>
                <w:sz w:val="24"/>
                <w:lang w:eastAsia="es-ES_tradnl"/>
              </w:rPr>
              <w:t>that meet</w:t>
            </w:r>
            <w:r w:rsidRPr="002A677E">
              <w:rPr>
                <w:rFonts w:ascii="Times New Roman" w:hAnsi="Times New Roman"/>
                <w:sz w:val="24"/>
                <w:lang w:eastAsia="es-ES_tradnl"/>
              </w:rPr>
              <w:t xml:space="preserve"> the </w:t>
            </w:r>
            <w:r w:rsidR="00A16FFF" w:rsidRPr="002A677E">
              <w:rPr>
                <w:rFonts w:ascii="Times New Roman" w:hAnsi="Times New Roman"/>
                <w:sz w:val="24"/>
                <w:lang w:eastAsia="es-ES_tradnl"/>
              </w:rPr>
              <w:t xml:space="preserve">requirements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w:t>
            </w:r>
            <w:r w:rsidR="00E026FB" w:rsidRPr="002A677E">
              <w:rPr>
                <w:rFonts w:ascii="Times New Roman" w:hAnsi="Times New Roman"/>
                <w:b/>
                <w:sz w:val="24"/>
                <w:u w:val="single"/>
                <w:lang w:eastAsia="es-ES_tradnl"/>
              </w:rPr>
              <w:t xml:space="preserve">SENIOR POSITION IN SMEs </w:t>
            </w:r>
            <w:r w:rsidR="00E96511" w:rsidRPr="002A677E">
              <w:rPr>
                <w:rFonts w:ascii="Times New Roman" w:hAnsi="Times New Roman"/>
                <w:b/>
                <w:sz w:val="24"/>
                <w:u w:val="single"/>
                <w:lang w:eastAsia="es-ES_tradnl"/>
              </w:rPr>
              <w:t xml:space="preserve">SYNTHETIC </w:t>
            </w:r>
            <w:r w:rsidR="00E026FB" w:rsidRPr="002A677E">
              <w:rPr>
                <w:rFonts w:ascii="Times New Roman" w:hAnsi="Times New Roman"/>
                <w:b/>
                <w:sz w:val="24"/>
                <w:u w:val="single"/>
                <w:lang w:eastAsia="es-ES_tradnl"/>
              </w:rPr>
              <w:t xml:space="preserve">SECURITISATIONS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w:t>
            </w:r>
            <w:r w:rsidR="00F530D8" w:rsidRPr="002A677E">
              <w:rPr>
                <w:rFonts w:ascii="Times New Roman" w:hAnsi="Times New Roman"/>
                <w:sz w:val="24"/>
                <w:lang w:eastAsia="es-ES_tradnl"/>
              </w:rPr>
              <w:t xml:space="preserve">grandfathered </w:t>
            </w:r>
            <w:r w:rsidRPr="002A677E">
              <w:rPr>
                <w:rFonts w:ascii="Times New Roman" w:hAnsi="Times New Roman"/>
                <w:sz w:val="24"/>
                <w:lang w:eastAsia="es-ES_tradnl"/>
              </w:rPr>
              <w:t xml:space="preserve">senior </w:t>
            </w:r>
            <w:r w:rsidR="00E96511" w:rsidRPr="002A677E">
              <w:rPr>
                <w:rFonts w:ascii="Times New Roman" w:hAnsi="Times New Roman"/>
                <w:sz w:val="24"/>
                <w:lang w:eastAsia="es-ES_tradnl"/>
              </w:rPr>
              <w:t xml:space="preserve">synthetic </w:t>
            </w:r>
            <w:r w:rsidRPr="002A677E">
              <w:rPr>
                <w:rFonts w:ascii="Times New Roman" w:hAnsi="Times New Roman"/>
                <w:sz w:val="24"/>
                <w:lang w:eastAsia="es-ES_tradnl"/>
              </w:rPr>
              <w:t>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in SMEs</w:t>
            </w:r>
            <w:r w:rsidR="001C6166" w:rsidRPr="002A677E">
              <w:rPr>
                <w:rFonts w:ascii="Times New Roman" w:hAnsi="Times New Roman"/>
                <w:sz w:val="24"/>
                <w:lang w:eastAsia="es-ES_tradnl"/>
              </w:rPr>
              <w:t xml:space="preserve"> which meet </w:t>
            </w:r>
            <w:r w:rsidRPr="002A677E">
              <w:rPr>
                <w:rFonts w:ascii="Times New Roman" w:hAnsi="Times New Roman"/>
                <w:sz w:val="24"/>
                <w:lang w:eastAsia="es-ES_tradnl"/>
              </w:rPr>
              <w:t xml:space="preserve">the </w:t>
            </w:r>
            <w:r w:rsidR="001C6166" w:rsidRPr="002A677E">
              <w:rPr>
                <w:rFonts w:ascii="Times New Roman" w:hAnsi="Times New Roman"/>
                <w:sz w:val="24"/>
                <w:lang w:eastAsia="es-ES_tradnl"/>
              </w:rPr>
              <w:t xml:space="preserve">conditions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w:t>
            </w:r>
            <w:r w:rsidR="00F530D8" w:rsidRPr="002A677E">
              <w:rPr>
                <w:rFonts w:ascii="Times New Roman" w:hAnsi="Times New Roman"/>
                <w:sz w:val="24"/>
                <w:lang w:eastAsia="es-ES_tradnl"/>
              </w:rPr>
              <w:t xml:space="preserve">494c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securitisation positions in STS on-balance sheet securitisations</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 xml:space="preserve">which meet the conditions set out in Article 270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4, 5 and 6 </w:t>
            </w:r>
            <w:r w:rsidR="002409C1" w:rsidRPr="002A677E">
              <w:rPr>
                <w:rFonts w:ascii="Times New Roman" w:hAnsi="Times New Roman"/>
                <w:sz w:val="24"/>
                <w:lang w:eastAsia="es-ES_tradnl"/>
              </w:rPr>
              <w:t>and</w:t>
            </w:r>
            <w:r w:rsidRPr="002A677E">
              <w:rPr>
                <w:rFonts w:ascii="Times New Roman" w:hAnsi="Times New Roman"/>
                <w:sz w:val="24"/>
                <w:lang w:eastAsia="es-ES_tradnl"/>
              </w:rPr>
              <w:t xml:space="preserve"> Articles 259, 261, 263, 265, 266 and 269 </w:t>
            </w:r>
            <w:r w:rsidR="00E9217C" w:rsidRPr="001235ED">
              <w:rPr>
                <w:rFonts w:ascii="Times New Roman" w:hAnsi="Times New Roman"/>
                <w:sz w:val="24"/>
                <w:lang w:val="en-US"/>
              </w:rPr>
              <w:t>of Regulation (EU) No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do not qualify for differentiated capital treatment.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w:t>
            </w:r>
            <w:r w:rsidR="006259C7" w:rsidRPr="002A677E">
              <w:rPr>
                <w:rFonts w:ascii="Times New Roman" w:hAnsi="Times New Roman"/>
                <w:b/>
                <w:sz w:val="24"/>
                <w:u w:val="single"/>
                <w:lang w:eastAsia="es-ES_tradnl"/>
              </w:rPr>
              <w:t xml:space="preserve"> POSITIONS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Total amount of outstanding </w:t>
            </w:r>
            <w:r w:rsidR="002409C1" w:rsidRPr="002A677E">
              <w:rPr>
                <w:rFonts w:ascii="Times New Roman" w:hAnsi="Times New Roman"/>
                <w:sz w:val="24"/>
                <w:lang w:eastAsia="es-ES_tradnl"/>
              </w:rPr>
              <w:t xml:space="preserve">re-securitisations positions as defined </w:t>
            </w:r>
            <w:r w:rsidR="0052490C"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sidR="006A7EC8">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xml:space="preserve">: ON-BALANCE SHEET ITEMS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248(1)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D1379" w:rsidRPr="002A677E">
              <w:rPr>
                <w:rFonts w:ascii="Times New Roman" w:hAnsi="Times New Roman"/>
                <w:sz w:val="24"/>
              </w:rPr>
              <w:t>,</w:t>
            </w:r>
            <w:r w:rsidR="00E026FB" w:rsidRPr="002A677E">
              <w:rPr>
                <w:rFonts w:ascii="Times New Roman" w:hAnsi="Times New Roman"/>
                <w:sz w:val="24"/>
              </w:rPr>
              <w:t xml:space="preserve"> the exposure value of an on-balance sheet securitisation position shall be its accounting value remaining after</w:t>
            </w:r>
            <w:r w:rsidR="009E42EE" w:rsidRPr="002A677E">
              <w:rPr>
                <w:rFonts w:ascii="Times New Roman" w:hAnsi="Times New Roman"/>
                <w:sz w:val="24"/>
              </w:rPr>
              <w:t xml:space="preserve"> </w:t>
            </w:r>
            <w:r w:rsidR="00E026FB" w:rsidRPr="002A677E">
              <w:rPr>
                <w:rFonts w:ascii="Times New Roman" w:hAnsi="Times New Roman"/>
                <w:sz w:val="24"/>
              </w:rPr>
              <w:t>any relevant specific credit risk adjustments on the securitisation position have been applied in accordance with Article</w:t>
            </w:r>
            <w:r w:rsidR="002409C1" w:rsidRPr="002A677E">
              <w:rPr>
                <w:rFonts w:ascii="Times New Roman" w:hAnsi="Times New Roman"/>
                <w:sz w:val="24"/>
              </w:rPr>
              <w:t> </w:t>
            </w:r>
            <w:r w:rsidR="00E026FB" w:rsidRPr="002A677E">
              <w:rPr>
                <w:rFonts w:ascii="Times New Roman" w:hAnsi="Times New Roman"/>
                <w:sz w:val="24"/>
              </w:rPr>
              <w:t>110</w:t>
            </w:r>
            <w:r w:rsidR="002A09D5"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026FB" w:rsidRPr="002A677E">
              <w:rPr>
                <w:rFonts w:ascii="Times New Roman" w:hAnsi="Times New Roman"/>
                <w:sz w:val="24"/>
              </w:rPr>
              <w:t>.</w:t>
            </w:r>
          </w:p>
          <w:p w14:paraId="143E9F98" w14:textId="3912813E"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application of differentiated capital treatment</w:t>
            </w:r>
            <w:r w:rsidR="002409C1" w:rsidRPr="002A677E">
              <w:rPr>
                <w:rFonts w:ascii="Times New Roman" w:hAnsi="Times New Roman"/>
                <w:sz w:val="24"/>
              </w:rPr>
              <w:t>, as referred to in</w:t>
            </w:r>
            <w:r w:rsidRPr="002A677E">
              <w:rPr>
                <w:rFonts w:ascii="Times New Roman" w:hAnsi="Times New Roman"/>
                <w:sz w:val="24"/>
              </w:rPr>
              <w:t xml:space="preserve"> Article 243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0100 and 0120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w:t>
            </w:r>
            <w:r w:rsidRPr="002A677E">
              <w:rPr>
                <w:rFonts w:ascii="Times New Roman" w:hAnsi="Times New Roman"/>
                <w:sz w:val="24"/>
              </w:rPr>
              <w:t xml:space="preserve"> </w:t>
            </w:r>
            <w:r w:rsidR="002409C1" w:rsidRPr="002A677E">
              <w:rPr>
                <w:rFonts w:ascii="Times New Roman" w:hAnsi="Times New Roman"/>
                <w:sz w:val="24"/>
              </w:rPr>
              <w:t xml:space="preserve">as defined in </w:t>
            </w:r>
            <w:r w:rsidRPr="002A677E">
              <w:rPr>
                <w:rFonts w:ascii="Times New Roman" w:hAnsi="Times New Roman"/>
                <w:sz w:val="24"/>
              </w:rPr>
              <w:t xml:space="preserve">Article 242(6) </w:t>
            </w:r>
            <w:r w:rsidR="00E9217C" w:rsidRPr="001235ED">
              <w:rPr>
                <w:rFonts w:ascii="Times New Roman" w:hAnsi="Times New Roman"/>
                <w:sz w:val="24"/>
                <w:lang w:val="en-US"/>
              </w:rPr>
              <w:t>of that Regulation</w:t>
            </w:r>
            <w:r w:rsidR="002409C1" w:rsidRPr="002A677E">
              <w:rPr>
                <w:rFonts w:ascii="Times New Roman" w:hAnsi="Times New Roman"/>
                <w:sz w:val="24"/>
              </w:rPr>
              <w:t>,</w:t>
            </w:r>
            <w:r w:rsidRPr="002A677E">
              <w:rPr>
                <w:rFonts w:ascii="Times New Roman" w:hAnsi="Times New Roman"/>
                <w:sz w:val="24"/>
              </w:rPr>
              <w:t xml:space="preserve"> in rows 0110 and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sidR="00937A7D">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013</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0160, 0180, 0230, 025</w:t>
            </w:r>
            <w:r w:rsidR="003B219A">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025</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0280, 0300, 0350, 037</w:t>
            </w:r>
            <w:r w:rsidR="003B219A">
              <w:rPr>
                <w:rFonts w:ascii="Times New Roman" w:hAnsi="Times New Roman"/>
                <w:bCs/>
                <w:sz w:val="24"/>
                <w:lang w:eastAsia="nl-BE"/>
              </w:rPr>
              <w:t>1</w:t>
            </w:r>
            <w:r w:rsidRPr="002A677E">
              <w:rPr>
                <w:rFonts w:ascii="Times New Roman" w:hAnsi="Times New Roman"/>
                <w:bCs/>
                <w:sz w:val="24"/>
                <w:lang w:eastAsia="nl-BE"/>
              </w:rPr>
              <w:t>,</w:t>
            </w:r>
            <w:r w:rsidR="003B219A">
              <w:rPr>
                <w:rFonts w:ascii="Times New Roman" w:hAnsi="Times New Roman"/>
                <w:bCs/>
                <w:sz w:val="24"/>
                <w:lang w:eastAsia="nl-BE"/>
              </w:rPr>
              <w:t xml:space="preserve"> 0374</w:t>
            </w:r>
            <w:r w:rsidRPr="002A677E">
              <w:rPr>
                <w:rFonts w:ascii="Times New Roman" w:hAnsi="Times New Roman"/>
                <w:bCs/>
                <w:sz w:val="24"/>
                <w:lang w:eastAsia="nl-BE"/>
              </w:rPr>
              <w:t xml:space="preserve"> </w:t>
            </w:r>
            <w:r w:rsidR="003B219A">
              <w:rPr>
                <w:rFonts w:ascii="Times New Roman" w:hAnsi="Times New Roman"/>
                <w:bCs/>
                <w:sz w:val="24"/>
                <w:lang w:eastAsia="nl-BE"/>
              </w:rPr>
              <w:t>0</w:t>
            </w:r>
            <w:r w:rsidRPr="002A677E">
              <w:rPr>
                <w:rFonts w:ascii="Times New Roman" w:hAnsi="Times New Roman"/>
                <w:bCs/>
                <w:sz w:val="24"/>
                <w:lang w:eastAsia="nl-BE"/>
              </w:rPr>
              <w:t xml:space="preserve">400 and </w:t>
            </w:r>
            <w:r w:rsidR="003B219A">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2409C1" w:rsidRPr="002A677E">
              <w:rPr>
                <w:rFonts w:ascii="Times New Roman" w:hAnsi="Times New Roman"/>
                <w:sz w:val="24"/>
                <w:lang w:eastAsia="es-ES_tradnl"/>
              </w:rPr>
              <w:t xml:space="preserve">as defined in </w:t>
            </w:r>
            <w:r w:rsidRPr="002A677E">
              <w:rPr>
                <w:rFonts w:ascii="Times New Roman" w:hAnsi="Times New Roman"/>
                <w:sz w:val="24"/>
                <w:lang w:eastAsia="es-ES_tradnl"/>
              </w:rPr>
              <w:t xml:space="preserve">Article 242(6)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r w:rsidR="001644B8" w:rsidRPr="002A677E">
              <w:rPr>
                <w:rFonts w:ascii="Times New Roman" w:hAnsi="Times New Roman"/>
                <w:bCs/>
                <w:sz w:val="24"/>
                <w:lang w:eastAsia="nl-BE"/>
              </w:rPr>
              <w:t>, 0241</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36</w:t>
            </w:r>
            <w:r w:rsidRPr="002A677E">
              <w:rPr>
                <w:rFonts w:ascii="Times New Roman" w:hAnsi="Times New Roman"/>
                <w:bCs/>
                <w:sz w:val="24"/>
                <w:lang w:eastAsia="nl-BE"/>
              </w:rPr>
              <w:t>1</w:t>
            </w:r>
          </w:p>
        </w:tc>
        <w:tc>
          <w:tcPr>
            <w:tcW w:w="7889" w:type="dxa"/>
          </w:tcPr>
          <w:p w14:paraId="1639AA56" w14:textId="5E1483C4" w:rsidR="007421F4" w:rsidRPr="001235ED" w:rsidRDefault="00086A31" w:rsidP="007421F4">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3</w:t>
            </w:r>
            <w:r w:rsidR="001644B8" w:rsidRPr="002A677E">
              <w:rPr>
                <w:rFonts w:ascii="Times New Roman" w:hAnsi="Times New Roman"/>
                <w:bCs/>
                <w:sz w:val="24"/>
                <w:lang w:eastAsia="nl-BE"/>
              </w:rPr>
              <w:t>, 025</w:t>
            </w:r>
            <w:r w:rsidR="003B219A">
              <w:rPr>
                <w:rFonts w:ascii="Times New Roman" w:hAnsi="Times New Roman"/>
                <w:bCs/>
                <w:sz w:val="24"/>
                <w:lang w:eastAsia="nl-BE"/>
              </w:rPr>
              <w:t>3</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3</w:t>
            </w:r>
          </w:p>
        </w:tc>
        <w:tc>
          <w:tcPr>
            <w:tcW w:w="7889" w:type="dxa"/>
          </w:tcPr>
          <w:p w14:paraId="06075A51" w14:textId="20F6CB58" w:rsidR="005C7542" w:rsidRPr="00CE797B" w:rsidRDefault="00086A31" w:rsidP="007421F4">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8A15A6" w:rsidRPr="002A677E">
              <w:rPr>
                <w:rFonts w:ascii="Times New Roman" w:hAnsi="Times New Roman"/>
                <w:sz w:val="24"/>
              </w:rPr>
              <w:t>Article 269a (</w:t>
            </w:r>
            <w:r w:rsidR="003541BA" w:rsidRPr="002A677E">
              <w:rPr>
                <w:rFonts w:ascii="Times New Roman" w:hAnsi="Times New Roman"/>
                <w:sz w:val="24"/>
              </w:rPr>
              <w:t>1</w:t>
            </w:r>
            <w:r w:rsidR="008A15A6"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(a)</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8A15A6" w:rsidRPr="002A677E">
              <w:rPr>
                <w:rFonts w:ascii="Times New Roman" w:hAnsi="Times New Roman"/>
                <w:sz w:val="24"/>
              </w:rPr>
              <w:t>.</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013</w:t>
            </w:r>
            <w:r w:rsidR="003B219A">
              <w:rPr>
                <w:rFonts w:ascii="Times New Roman" w:hAnsi="Times New Roman"/>
                <w:bCs/>
                <w:sz w:val="24"/>
                <w:lang w:eastAsia="nl-BE"/>
              </w:rPr>
              <w:t>4</w:t>
            </w:r>
            <w:r w:rsidR="001644B8" w:rsidRPr="002A677E">
              <w:rPr>
                <w:rFonts w:ascii="Times New Roman" w:hAnsi="Times New Roman"/>
                <w:bCs/>
                <w:sz w:val="24"/>
                <w:lang w:eastAsia="nl-BE"/>
              </w:rPr>
              <w:t>, 0</w:t>
            </w:r>
            <w:r w:rsidR="003B219A">
              <w:rPr>
                <w:rFonts w:ascii="Times New Roman" w:hAnsi="Times New Roman"/>
                <w:bCs/>
                <w:sz w:val="24"/>
                <w:lang w:eastAsia="nl-BE"/>
              </w:rPr>
              <w:t>2</w:t>
            </w:r>
            <w:r w:rsidR="001644B8" w:rsidRPr="002A677E">
              <w:rPr>
                <w:rFonts w:ascii="Times New Roman" w:hAnsi="Times New Roman"/>
                <w:bCs/>
                <w:sz w:val="24"/>
                <w:lang w:eastAsia="nl-BE"/>
              </w:rPr>
              <w:t>5</w:t>
            </w:r>
            <w:r w:rsidR="003B219A">
              <w:rPr>
                <w:rFonts w:ascii="Times New Roman" w:hAnsi="Times New Roman"/>
                <w:bCs/>
                <w:sz w:val="24"/>
                <w:lang w:eastAsia="nl-BE"/>
              </w:rPr>
              <w:t>4</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14FD62A" w14:textId="4EE2D666" w:rsidR="00086A31" w:rsidRPr="002A677E" w:rsidRDefault="006D2499" w:rsidP="007421F4">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1235ED">
              <w:rPr>
                <w:rFonts w:ascii="Times New Roman" w:hAnsi="Times New Roman"/>
                <w:b/>
                <w:sz w:val="24"/>
                <w:u w:val="single"/>
                <w:lang w:eastAsia="es-ES_tradnl"/>
              </w:rPr>
              <w:t xml:space="preserve">SENIOR EXPOSURES IN QUALIFYING </w:t>
            </w:r>
            <w:r w:rsidR="00AF2910" w:rsidRPr="002A677E">
              <w:rPr>
                <w:rFonts w:ascii="Times New Roman" w:hAnsi="Times New Roman"/>
                <w:b/>
                <w:sz w:val="24"/>
                <w:u w:val="single"/>
                <w:lang w:eastAsia="es-ES_tradnl"/>
              </w:rPr>
              <w:t xml:space="preserve">TRADITIONAL </w:t>
            </w:r>
            <w:r w:rsidR="00086A31" w:rsidRPr="001235ED">
              <w:rPr>
                <w:rFonts w:ascii="Times New Roman" w:hAnsi="Times New Roman"/>
                <w:b/>
                <w:sz w:val="24"/>
                <w:u w:val="single"/>
                <w:lang w:eastAsia="es-ES_tradnl"/>
              </w:rPr>
              <w:t>NPE SECURITISATIONS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6D2499" w:rsidRPr="001235ED">
              <w:rPr>
                <w:rFonts w:ascii="Times New Roman" w:hAnsi="Times New Roman"/>
                <w:sz w:val="24"/>
              </w:rPr>
              <w:t>Article 269a (</w:t>
            </w:r>
            <w:r w:rsidR="003541BA" w:rsidRPr="002A677E">
              <w:rPr>
                <w:rFonts w:ascii="Times New Roman" w:hAnsi="Times New Roman"/>
                <w:sz w:val="24"/>
              </w:rPr>
              <w:t>1</w:t>
            </w:r>
            <w:r w:rsidR="006D2499" w:rsidRPr="001235ED">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(b)</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6D2499" w:rsidRPr="001235ED">
              <w:rPr>
                <w:rFonts w:ascii="Times New Roman" w:hAnsi="Times New Roman"/>
                <w:sz w:val="24"/>
              </w:rPr>
              <w:t>.</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5</w:t>
            </w:r>
            <w:r w:rsidR="001644B8" w:rsidRPr="002A677E">
              <w:rPr>
                <w:rFonts w:ascii="Times New Roman" w:hAnsi="Times New Roman"/>
                <w:bCs/>
                <w:sz w:val="24"/>
                <w:lang w:eastAsia="nl-BE"/>
              </w:rPr>
              <w:t>, 025</w:t>
            </w:r>
            <w:r w:rsidR="003B219A">
              <w:rPr>
                <w:rFonts w:ascii="Times New Roman" w:hAnsi="Times New Roman"/>
                <w:bCs/>
                <w:sz w:val="24"/>
                <w:lang w:eastAsia="nl-BE"/>
              </w:rPr>
              <w:t>5</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5</w:t>
            </w:r>
          </w:p>
        </w:tc>
        <w:tc>
          <w:tcPr>
            <w:tcW w:w="7889" w:type="dxa"/>
          </w:tcPr>
          <w:p w14:paraId="0AB20156" w14:textId="77777777" w:rsidR="00086A31" w:rsidRPr="002A677E" w:rsidRDefault="006D2499"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2A677E">
              <w:rPr>
                <w:rFonts w:ascii="Times New Roman" w:hAnsi="Times New Roman"/>
                <w:b/>
                <w:sz w:val="24"/>
                <w:u w:val="single"/>
                <w:lang w:eastAsia="es-ES_tradnl"/>
              </w:rPr>
              <w:t xml:space="preserve">SENIOR EXPOSURES IN NON-QUALIFYING </w:t>
            </w:r>
            <w:r w:rsidR="00AF2910" w:rsidRPr="002A677E">
              <w:rPr>
                <w:rFonts w:ascii="Times New Roman" w:hAnsi="Times New Roman"/>
                <w:b/>
                <w:sz w:val="24"/>
                <w:u w:val="single"/>
                <w:lang w:eastAsia="es-ES_tradnl"/>
              </w:rPr>
              <w:t xml:space="preserve">TRADITIONAL </w:t>
            </w:r>
            <w:r w:rsidR="00086A31" w:rsidRPr="002A677E">
              <w:rPr>
                <w:rFonts w:ascii="Times New Roman" w:hAnsi="Times New Roman"/>
                <w:b/>
                <w:sz w:val="24"/>
                <w:u w:val="single"/>
                <w:lang w:eastAsia="es-ES_tradnl"/>
              </w:rPr>
              <w:t>NPE SECURITISATIONS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6</w:t>
            </w:r>
            <w:r w:rsidRPr="002A677E">
              <w:rPr>
                <w:rFonts w:ascii="Times New Roman" w:hAnsi="Times New Roman"/>
                <w:bCs/>
                <w:sz w:val="24"/>
                <w:lang w:eastAsia="nl-BE"/>
              </w:rPr>
              <w:t>, 025</w:t>
            </w:r>
            <w:r w:rsidR="003B219A">
              <w:rPr>
                <w:rFonts w:ascii="Times New Roman" w:hAnsi="Times New Roman"/>
                <w:bCs/>
                <w:sz w:val="24"/>
                <w:lang w:eastAsia="nl-BE"/>
              </w:rPr>
              <w:t>6</w:t>
            </w:r>
            <w:r w:rsidRPr="002A677E">
              <w:rPr>
                <w:rFonts w:ascii="Times New Roman" w:hAnsi="Times New Roman"/>
                <w:bCs/>
                <w:sz w:val="24"/>
                <w:lang w:eastAsia="nl-BE"/>
              </w:rPr>
              <w:t xml:space="preserve"> and 037</w:t>
            </w:r>
            <w:r w:rsidR="003B219A">
              <w:rPr>
                <w:rFonts w:ascii="Times New Roman" w:hAnsi="Times New Roman"/>
                <w:bCs/>
                <w:sz w:val="24"/>
                <w:lang w:eastAsia="nl-BE"/>
              </w:rPr>
              <w:t>6</w:t>
            </w:r>
          </w:p>
        </w:tc>
        <w:tc>
          <w:tcPr>
            <w:tcW w:w="7889" w:type="dxa"/>
          </w:tcPr>
          <w:p w14:paraId="191E167F" w14:textId="77777777" w:rsidR="007D0ABB" w:rsidRPr="002A677E" w:rsidRDefault="007D0AB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OFF-BALANCE SHEET ITEMS AND DERIVATIVES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w:t>
            </w:r>
            <w:r w:rsidR="002409C1" w:rsidRPr="002A677E">
              <w:rPr>
                <w:rFonts w:ascii="Times New Roman" w:hAnsi="Times New Roman"/>
                <w:sz w:val="24"/>
              </w:rPr>
              <w:t xml:space="preserve">shall </w:t>
            </w:r>
            <w:r w:rsidRPr="002A677E">
              <w:rPr>
                <w:rFonts w:ascii="Times New Roman" w:hAnsi="Times New Roman"/>
                <w:sz w:val="24"/>
              </w:rPr>
              <w:t xml:space="preserve">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w:t>
            </w:r>
            <w:r w:rsidR="00B856D5">
              <w:t> </w:t>
            </w:r>
            <w:r w:rsidRPr="002A677E">
              <w:rPr>
                <w:rFonts w:ascii="Times New Roman" w:hAnsi="Times New Roman"/>
                <w:sz w:val="24"/>
                <w:lang w:eastAsia="es-ES_tradnl"/>
              </w:rPr>
              <w:t>% conversion factor unless otherwise specified.</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w:t>
            </w:r>
            <w:r w:rsidR="002409C1" w:rsidRPr="002A677E">
              <w:rPr>
                <w:rFonts w:ascii="Times New Roman" w:hAnsi="Times New Roman"/>
                <w:sz w:val="24"/>
              </w:rPr>
              <w:t xml:space="preserve">to </w:t>
            </w:r>
            <w:r w:rsidR="002A09D5" w:rsidRPr="002A677E">
              <w:rPr>
                <w:rFonts w:ascii="Times New Roman" w:hAnsi="Times New Roman"/>
                <w:sz w:val="24"/>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 xml:space="preserve">with </w:t>
            </w:r>
            <w:r w:rsidRPr="002A677E">
              <w:rPr>
                <w:rFonts w:ascii="Times New Roman" w:hAnsi="Times New Roman"/>
                <w:sz w:val="24"/>
              </w:rPr>
              <w:t>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w:t>
            </w:r>
            <w:r w:rsidR="002409C1" w:rsidRPr="002A677E">
              <w:rPr>
                <w:rFonts w:ascii="Times New Roman" w:hAnsi="Times New Roman"/>
                <w:sz w:val="24"/>
                <w:lang w:eastAsia="es-ES_tradnl"/>
              </w:rPr>
              <w:t xml:space="preserve">to </w:t>
            </w:r>
            <w:r w:rsidR="002A09D5" w:rsidRPr="002A677E">
              <w:rPr>
                <w:rFonts w:ascii="Times New Roman" w:hAnsi="Times New Roman"/>
                <w:sz w:val="24"/>
                <w:lang w:eastAsia="es-ES_tradnl"/>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with</w:t>
            </w:r>
            <w:r w:rsidRPr="002A677E">
              <w:rPr>
                <w:rFonts w:ascii="Times New Roman" w:hAnsi="Times New Roman"/>
                <w:sz w:val="24"/>
              </w:rPr>
              <w:t xml:space="preserve">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interest rate and currency swaps</w:t>
            </w:r>
            <w:r w:rsidR="002409C1" w:rsidRPr="002A677E">
              <w:rPr>
                <w:rFonts w:ascii="Times New Roman" w:hAnsi="Times New Roman"/>
                <w:sz w:val="24"/>
              </w:rPr>
              <w:t>,</w:t>
            </w:r>
            <w:r w:rsidRPr="002A677E">
              <w:rPr>
                <w:rFonts w:ascii="Times New Roman" w:hAnsi="Times New Roman"/>
                <w:sz w:val="24"/>
              </w:rPr>
              <w:t xml:space="preserve"> the exposure value (</w:t>
            </w:r>
            <w:r w:rsidR="002409C1"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Article 248(1) </w:t>
            </w:r>
            <w:r w:rsidR="00E9217C" w:rsidRPr="001235ED">
              <w:rPr>
                <w:rFonts w:ascii="Times New Roman" w:hAnsi="Times New Roman"/>
                <w:sz w:val="24"/>
                <w:lang w:val="en-US"/>
              </w:rPr>
              <w:t>of Regulation (EU) No 575/2013</w:t>
            </w:r>
            <w:r w:rsidRPr="002A677E">
              <w:rPr>
                <w:rFonts w:ascii="Times New Roman" w:hAnsi="Times New Roman"/>
                <w:sz w:val="24"/>
              </w:rPr>
              <w:t>)</w:t>
            </w:r>
            <w:r w:rsidR="009E42EE" w:rsidRPr="002A677E">
              <w:rPr>
                <w:rFonts w:ascii="Times New Roman" w:hAnsi="Times New Roman"/>
                <w:sz w:val="24"/>
              </w:rPr>
              <w:t xml:space="preserve"> shall be provided</w:t>
            </w:r>
            <w:r w:rsidRPr="002A677E">
              <w:rPr>
                <w:rFonts w:ascii="Times New Roman" w:hAnsi="Times New Roman"/>
                <w:sz w:val="24"/>
              </w:rPr>
              <w:t>.</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w:t>
            </w:r>
            <w:r w:rsidR="002409C1" w:rsidRPr="002A677E">
              <w:rPr>
                <w:rFonts w:ascii="Times New Roman" w:hAnsi="Times New Roman"/>
                <w:sz w:val="24"/>
              </w:rPr>
              <w:t xml:space="preserve">the </w:t>
            </w:r>
            <w:r w:rsidRPr="002A677E">
              <w:rPr>
                <w:rFonts w:ascii="Times New Roman" w:hAnsi="Times New Roman"/>
                <w:sz w:val="24"/>
              </w:rPr>
              <w:t>application of differentiated capital treatment</w:t>
            </w:r>
            <w:r w:rsidR="001C6166" w:rsidRPr="002A677E">
              <w:rPr>
                <w:rFonts w:ascii="Times New Roman" w:hAnsi="Times New Roman"/>
                <w:sz w:val="24"/>
              </w:rPr>
              <w:t>,</w:t>
            </w:r>
            <w:r w:rsidRPr="002A677E">
              <w:rPr>
                <w:rFonts w:ascii="Times New Roman" w:hAnsi="Times New Roman"/>
                <w:sz w:val="24"/>
              </w:rPr>
              <w:t xml:space="preserve"> </w:t>
            </w:r>
            <w:r w:rsidR="001C6166" w:rsidRPr="002A677E">
              <w:rPr>
                <w:rFonts w:ascii="Times New Roman" w:hAnsi="Times New Roman"/>
                <w:sz w:val="24"/>
                <w:lang w:eastAsia="es-ES_tradnl"/>
              </w:rPr>
              <w:t>as referred</w:t>
            </w:r>
            <w:r w:rsidR="00F17B2E" w:rsidRPr="002A677E">
              <w:rPr>
                <w:rFonts w:ascii="Times New Roman" w:hAnsi="Times New Roman"/>
                <w:sz w:val="24"/>
                <w:lang w:eastAsia="es-ES_tradnl"/>
              </w:rPr>
              <w:t xml:space="preserve"> to</w:t>
            </w:r>
            <w:r w:rsidR="001C6166" w:rsidRPr="002A677E">
              <w:rPr>
                <w:rFonts w:ascii="Times New Roman" w:hAnsi="Times New Roman"/>
                <w:sz w:val="24"/>
                <w:lang w:eastAsia="es-ES_tradnl"/>
              </w:rPr>
              <w:t xml:space="preserve"> in</w:t>
            </w:r>
            <w:r w:rsidRPr="002A677E">
              <w:rPr>
                <w:rFonts w:ascii="Times New Roman" w:hAnsi="Times New Roman"/>
                <w:sz w:val="24"/>
              </w:rPr>
              <w:t xml:space="preserve"> Article 270 </w:t>
            </w:r>
            <w:r w:rsidR="00E9217C" w:rsidRPr="001235ED">
              <w:rPr>
                <w:rFonts w:ascii="Times New Roman" w:hAnsi="Times New Roman"/>
                <w:sz w:val="24"/>
                <w:lang w:val="en-US"/>
              </w:rPr>
              <w:t>of Regulation (EU) No 575/2013</w:t>
            </w:r>
            <w:r w:rsidR="001C6166" w:rsidRPr="002A677E">
              <w:rPr>
                <w:rFonts w:ascii="Times New Roman" w:hAnsi="Times New Roman"/>
                <w:sz w:val="24"/>
              </w:rPr>
              <w:t>,</w:t>
            </w:r>
            <w:r w:rsidRPr="002A677E">
              <w:rPr>
                <w:rFonts w:ascii="Times New Roman" w:hAnsi="Times New Roman"/>
                <w:sz w:val="24"/>
              </w:rPr>
              <w:t xml:space="preserve"> in rows 0150 and 0170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 as defined in</w:t>
            </w:r>
            <w:r w:rsidRPr="002A677E">
              <w:rPr>
                <w:rFonts w:ascii="Times New Roman" w:hAnsi="Times New Roman"/>
                <w:sz w:val="24"/>
              </w:rPr>
              <w:t xml:space="preserve"> Article 242(6)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0160 and 0180. The same legal references as for rows 0100 to 0130 </w:t>
            </w:r>
            <w:r w:rsidR="002409C1" w:rsidRPr="002A677E">
              <w:rPr>
                <w:rFonts w:ascii="Times New Roman" w:hAnsi="Times New Roman"/>
                <w:sz w:val="24"/>
              </w:rPr>
              <w:t xml:space="preserve">shall </w:t>
            </w:r>
            <w:r w:rsidRPr="002A677E">
              <w:rPr>
                <w:rFonts w:ascii="Times New Roman" w:hAnsi="Times New Roman"/>
                <w:sz w:val="24"/>
              </w:rPr>
              <w:t>apply.</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securitisation positions which fulfil the criteria of Article 243</w:t>
            </w:r>
            <w:r w:rsidR="008A1203" w:rsidRPr="002A677E">
              <w:rPr>
                <w:rFonts w:ascii="Times New Roman" w:hAnsi="Times New Roman"/>
                <w:sz w:val="24"/>
                <w:lang w:eastAsia="es-ES_tradnl"/>
              </w:rPr>
              <w:t xml:space="preserve"> </w:t>
            </w:r>
            <w:r w:rsidR="008A1203" w:rsidRPr="001235ED">
              <w:rPr>
                <w:rFonts w:ascii="Times New Roman" w:hAnsi="Times New Roman"/>
                <w:sz w:val="24"/>
                <w:lang w:eastAsia="es-ES_tradnl"/>
              </w:rPr>
              <w:t>of Regulation (EU) No 575/2013</w:t>
            </w:r>
            <w:r w:rsidR="009A0C4E" w:rsidRPr="002A677E">
              <w:rPr>
                <w:rFonts w:ascii="Times New Roman" w:hAnsi="Times New Roman"/>
                <w:sz w:val="24"/>
                <w:lang w:eastAsia="es-ES_tradnl"/>
              </w:rPr>
              <w:t xml:space="preserve"> or</w:t>
            </w:r>
            <w:r w:rsidR="00803C30">
              <w:rPr>
                <w:rFonts w:ascii="Times New Roman" w:hAnsi="Times New Roman"/>
                <w:sz w:val="24"/>
                <w:lang w:eastAsia="es-ES_tradnl"/>
              </w:rPr>
              <w:t>,</w:t>
            </w:r>
            <w:r w:rsidR="008A1203" w:rsidRPr="001235ED">
              <w:rPr>
                <w:rFonts w:ascii="Times New Roman" w:hAnsi="Times New Roman"/>
                <w:sz w:val="24"/>
                <w:lang w:eastAsia="es-ES_tradnl"/>
              </w:rPr>
              <w:t xml:space="preserve"> for originators</w:t>
            </w:r>
            <w:r w:rsidR="009A0C4E" w:rsidRPr="002A677E">
              <w:rPr>
                <w:rFonts w:ascii="Times New Roman" w:hAnsi="Times New Roman"/>
                <w:sz w:val="24"/>
                <w:lang w:eastAsia="es-ES_tradnl"/>
              </w:rPr>
              <w:t xml:space="preserve"> onl</w:t>
            </w:r>
            <w:r w:rsidR="00803C30">
              <w:rPr>
                <w:rFonts w:ascii="Times New Roman" w:hAnsi="Times New Roman"/>
                <w:sz w:val="24"/>
                <w:lang w:eastAsia="es-ES_tradnl"/>
              </w:rPr>
              <w:t>y</w:t>
            </w:r>
            <w:r w:rsidR="008A1203"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008A1203" w:rsidRPr="001235ED">
              <w:rPr>
                <w:rFonts w:ascii="Times New Roman" w:hAnsi="Times New Roman"/>
                <w:sz w:val="24"/>
                <w:lang w:eastAsia="es-ES_tradnl"/>
              </w:rPr>
              <w:t>or Article 494c </w:t>
            </w:r>
            <w:r w:rsidR="00E9217C"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and therefore qualify for differentiated capital treatment.</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w:t>
            </w:r>
            <w:r w:rsidR="00037FCC" w:rsidRPr="002A677E">
              <w:rPr>
                <w:rStyle w:val="FormatvorlageInstructionsTabelleText"/>
                <w:rFonts w:ascii="Times New Roman" w:hAnsi="Times New Roman"/>
                <w:sz w:val="24"/>
              </w:rPr>
              <w:t xml:space="preserve"> this template</w:t>
            </w:r>
            <w:r w:rsidR="00133396"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investor</w:t>
            </w:r>
            <w:r w:rsidR="00E026FB" w:rsidRPr="002A677E">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2A677E">
              <w:rPr>
                <w:rStyle w:val="FormatvorlageInstructionsTabelleText"/>
                <w:rFonts w:ascii="Times New Roman" w:hAnsi="Times New Roman"/>
                <w:sz w:val="24"/>
              </w:rPr>
              <w:t xml:space="preserve"> nor</w:t>
            </w:r>
            <w:r w:rsidR="00E026FB" w:rsidRPr="002A677E">
              <w:rPr>
                <w:rStyle w:val="FormatvorlageInstructionsTabelleText"/>
                <w:rFonts w:ascii="Times New Roman" w:hAnsi="Times New Roman"/>
                <w:sz w:val="24"/>
              </w:rPr>
              <w:t xml:space="preserve"> sponsor</w:t>
            </w:r>
            <w:r w:rsidR="00370576" w:rsidRPr="002A677E">
              <w:rPr>
                <w:rStyle w:val="FormatvorlageInstructionsTabelleText"/>
                <w:rFonts w:ascii="Times New Roman" w:hAnsi="Times New Roman"/>
                <w:sz w:val="24"/>
              </w:rPr>
              <w: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w:t>
            </w:r>
            <w:r w:rsidR="00C7103D" w:rsidRPr="002A677E">
              <w:rPr>
                <w:rFonts w:ascii="Times New Roman" w:hAnsi="Times New Roman"/>
                <w:sz w:val="24"/>
                <w:lang w:eastAsia="es-ES_tradnl"/>
              </w:rPr>
              <w:t>s</w:t>
            </w:r>
            <w:r w:rsidRPr="002A677E">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BREAKDOWN OF OUTSTANDING POSITIONS </w:t>
            </w:r>
            <w:r w:rsidR="00F17B2E" w:rsidRPr="002A677E">
              <w:rPr>
                <w:rFonts w:ascii="Times New Roman" w:hAnsi="Times New Roman"/>
                <w:b/>
                <w:sz w:val="24"/>
                <w:u w:val="single"/>
                <w:lang w:eastAsia="es-ES_tradnl"/>
              </w:rPr>
              <w:t>BY</w:t>
            </w:r>
            <w:r w:rsidRPr="002A677E">
              <w:rPr>
                <w:rFonts w:ascii="Times New Roman" w:hAnsi="Times New Roman"/>
                <w:b/>
                <w:sz w:val="24"/>
                <w:u w:val="single"/>
                <w:lang w:eastAsia="es-ES_tradnl"/>
              </w:rPr>
              <w:t xml:space="preserve"> CQS AT INCEPTION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These rows gather information on </w:t>
            </w:r>
            <w:r w:rsidR="00583884" w:rsidRPr="002A677E">
              <w:rPr>
                <w:rFonts w:ascii="Times New Roman" w:hAnsi="Times New Roman"/>
                <w:sz w:val="24"/>
                <w:lang w:eastAsia="es-ES_tradnl"/>
              </w:rPr>
              <w:t xml:space="preserve">outstanding positions (at reporting date) for which a credit quality step </w:t>
            </w:r>
            <w:r w:rsidRPr="002A677E">
              <w:rPr>
                <w:rFonts w:ascii="Times New Roman" w:hAnsi="Times New Roman"/>
                <w:sz w:val="24"/>
                <w:lang w:eastAsia="es-ES_tradnl"/>
              </w:rPr>
              <w:t>(</w:t>
            </w:r>
            <w:r w:rsidR="00F17B2E" w:rsidRPr="002A677E">
              <w:rPr>
                <w:rFonts w:ascii="Times New Roman" w:hAnsi="Times New Roman"/>
                <w:sz w:val="24"/>
                <w:lang w:eastAsia="es-ES_tradnl"/>
              </w:rPr>
              <w:t xml:space="preserve">as </w:t>
            </w:r>
            <w:r w:rsidR="00133396" w:rsidRPr="002A677E">
              <w:rPr>
                <w:rFonts w:ascii="Times New Roman" w:hAnsi="Times New Roman"/>
                <w:sz w:val="24"/>
                <w:lang w:eastAsia="es-ES_tradnl"/>
              </w:rPr>
              <w:t xml:space="preserve">laid down </w:t>
            </w:r>
            <w:r w:rsidRPr="002A677E">
              <w:rPr>
                <w:rFonts w:ascii="Times New Roman" w:hAnsi="Times New Roman"/>
                <w:sz w:val="24"/>
                <w:lang w:eastAsia="es-ES_tradnl"/>
              </w:rPr>
              <w:t>in</w:t>
            </w:r>
            <w:r w:rsidR="00402284">
              <w:rPr>
                <w:rFonts w:ascii="Times New Roman" w:hAnsi="Times New Roman"/>
                <w:sz w:val="24"/>
                <w:lang w:eastAsia="es-ES_tradnl"/>
              </w:rPr>
              <w:t xml:space="preserve">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t xml:space="preserve">was determined </w:t>
            </w:r>
            <w:r w:rsidRPr="002A677E">
              <w:rPr>
                <w:rFonts w:ascii="Times New Roman" w:hAnsi="Times New Roman"/>
                <w:sz w:val="24"/>
                <w:lang w:eastAsia="es-ES_tradnl"/>
              </w:rPr>
              <w:t xml:space="preserve">at origination date (inception). </w:t>
            </w:r>
            <w:r w:rsidR="00192744" w:rsidRPr="002A677E">
              <w:rPr>
                <w:rFonts w:ascii="Times New Roman" w:hAnsi="Times New Roman"/>
                <w:sz w:val="24"/>
                <w:lang w:eastAsia="es-ES_tradnl"/>
              </w:rPr>
              <w:t xml:space="preserve">For securitisations positions treated under IAA, the CQS </w:t>
            </w:r>
            <w:r w:rsidR="00133396" w:rsidRPr="002A677E">
              <w:rPr>
                <w:rFonts w:ascii="Times New Roman" w:hAnsi="Times New Roman"/>
                <w:sz w:val="24"/>
                <w:lang w:eastAsia="es-ES_tradnl"/>
              </w:rPr>
              <w:t xml:space="preserve">shall </w:t>
            </w:r>
            <w:r w:rsidR="00192744" w:rsidRPr="002A677E">
              <w:rPr>
                <w:rFonts w:ascii="Times New Roman" w:hAnsi="Times New Roman"/>
                <w:sz w:val="24"/>
                <w:lang w:eastAsia="es-ES_tradnl"/>
              </w:rPr>
              <w:t xml:space="preserve">be the one at the time an IAA rating was first assigned. </w:t>
            </w:r>
            <w:r w:rsidRPr="002A677E">
              <w:rPr>
                <w:rFonts w:ascii="Times New Roman" w:hAnsi="Times New Roman"/>
                <w:sz w:val="24"/>
                <w:lang w:eastAsia="es-ES_tradnl"/>
              </w:rPr>
              <w:t>In the absence of this information, the earliest CQS-equivalent data available shall be reported.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w:t>
            </w:r>
            <w:r w:rsidR="00342C4B" w:rsidRPr="002A677E">
              <w:rPr>
                <w:rFonts w:ascii="Times New Roman" w:hAnsi="Times New Roman"/>
                <w:sz w:val="24"/>
                <w:lang w:eastAsia="es-ES_tradnl"/>
              </w:rPr>
              <w:t xml:space="preserve">, </w:t>
            </w:r>
            <w:r w:rsidRPr="002A677E">
              <w:rPr>
                <w:rFonts w:ascii="Times New Roman" w:hAnsi="Times New Roman"/>
                <w:sz w:val="24"/>
                <w:lang w:eastAsia="es-ES_tradnl"/>
              </w:rPr>
              <w:t>0700-0720, 074</w:t>
            </w:r>
            <w:r w:rsidR="00342C4B" w:rsidRPr="002A677E">
              <w:rPr>
                <w:rFonts w:ascii="Times New Roman" w:hAnsi="Times New Roman"/>
                <w:sz w:val="24"/>
                <w:lang w:eastAsia="es-ES_tradnl"/>
              </w:rPr>
              <w:t>0</w:t>
            </w:r>
            <w:r w:rsidRPr="002A677E">
              <w:rPr>
                <w:rFonts w:ascii="Times New Roman" w:hAnsi="Times New Roman"/>
                <w:sz w:val="24"/>
                <w:lang w:eastAsia="es-ES_tradnl"/>
              </w:rPr>
              <w:t>, 0760-0830 and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16" w:name="_Toc239157390"/>
      <w:bookmarkStart w:id="417" w:name="_Toc310415046"/>
      <w:bookmarkStart w:id="418" w:name="_Toc360188381"/>
      <w:bookmarkStart w:id="419" w:name="_Toc473560932"/>
      <w:bookmarkStart w:id="420" w:name="_Toc151714436"/>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bookmarkEnd w:id="416"/>
      <w:r w:rsidR="00612780" w:rsidRPr="002A677E">
        <w:rPr>
          <w:rFonts w:ascii="Times New Roman" w:hAnsi="Times New Roman" w:cs="Times New Roman"/>
          <w:sz w:val="24"/>
          <w:lang w:val="en-GB"/>
        </w:rPr>
        <w:t>Detailed information on securitisations</w:t>
      </w:r>
      <w:bookmarkEnd w:id="417"/>
      <w:bookmarkEnd w:id="418"/>
      <w:r w:rsidR="009769DE" w:rsidRPr="002A677E">
        <w:rPr>
          <w:rFonts w:ascii="Times New Roman" w:hAnsi="Times New Roman" w:cs="Times New Roman"/>
          <w:sz w:val="24"/>
          <w:lang w:val="en-GB"/>
        </w:rPr>
        <w:t xml:space="preserve"> (SEC DETAILS)</w:t>
      </w:r>
      <w:bookmarkEnd w:id="419"/>
      <w:bookmarkEnd w:id="420"/>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1" w:name="_Toc310415047"/>
      <w:bookmarkStart w:id="422" w:name="_Toc360188382"/>
      <w:bookmarkStart w:id="423" w:name="_Toc473560933"/>
      <w:bookmarkStart w:id="424" w:name="_Toc151714437"/>
      <w:r w:rsidRPr="002A677E">
        <w:rPr>
          <w:rFonts w:ascii="Times New Roman" w:hAnsi="Times New Roman" w:cs="Times New Roman"/>
          <w:sz w:val="24"/>
          <w:u w:val="none"/>
          <w:lang w:val="en-GB"/>
        </w:rPr>
        <w:t>3.8</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062A1F" w:rsidRPr="002A677E">
        <w:rPr>
          <w:rFonts w:ascii="Times New Roman" w:hAnsi="Times New Roman" w:cs="Times New Roman"/>
          <w:sz w:val="24"/>
          <w:u w:val="none"/>
          <w:lang w:val="en-GB"/>
        </w:rPr>
        <w:t>Scope of the SEC DETAILS template</w:t>
      </w:r>
      <w:bookmarkEnd w:id="421"/>
      <w:bookmarkEnd w:id="422"/>
      <w:bookmarkEnd w:id="423"/>
      <w:bookmarkEnd w:id="424"/>
    </w:p>
    <w:bookmarkStart w:id="425" w:name="_Toc310415048"/>
    <w:bookmarkStart w:id="426" w:name="_Toc360188383"/>
    <w:bookmarkStart w:id="427" w:name="_Toc473560934"/>
    <w:p w14:paraId="526A862C" w14:textId="46F4E9DA" w:rsidR="00062A1F" w:rsidRPr="002A677E" w:rsidRDefault="00771068" w:rsidP="00BE08DE">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5E3D5A">
        <w:rPr>
          <w:noProof/>
        </w:rPr>
        <w:t>113</w:t>
      </w:r>
      <w:r w:rsidRPr="00624117">
        <w:fldChar w:fldCharType="end"/>
      </w:r>
      <w:r w:rsidR="00062A1F" w:rsidRPr="002A677E">
        <w:t>.</w:t>
      </w:r>
      <w:r w:rsidR="00062A1F" w:rsidRPr="002A677E">
        <w:tab/>
      </w:r>
      <w:r w:rsidR="005C14B0" w:rsidRPr="002A677E">
        <w:t xml:space="preserve"> </w:t>
      </w:r>
      <w:r w:rsidR="00062A1F" w:rsidRPr="002A677E">
        <w:t xml:space="preserve">These templates gather information on a transaction basis (versus the aggregate information reported in CR SEC, MKR SA SEC, MKR SA CTP, CA1 and CA2 templates) on all securitisations the reporting institution is involved in. The main features </w:t>
      </w:r>
      <w:r w:rsidR="00062A1F" w:rsidRPr="002A677E">
        <w:lastRenderedPageBreak/>
        <w:t xml:space="preserve">of each securitisation, such as the nature of the underlying pool and the own funds requirements shall be reported. </w:t>
      </w:r>
    </w:p>
    <w:p w14:paraId="5BAA1CFA" w14:textId="3CBC2FA8" w:rsidR="00062A1F"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114</w:t>
      </w:r>
      <w:r>
        <w:fldChar w:fldCharType="end"/>
      </w:r>
      <w:r w:rsidR="00062A1F" w:rsidRPr="002A677E">
        <w:t>.</w:t>
      </w:r>
      <w:r w:rsidR="00062A1F" w:rsidRPr="002A677E">
        <w:tab/>
      </w:r>
      <w:r w:rsidR="005C14B0" w:rsidRPr="002A677E">
        <w:t xml:space="preserve"> </w:t>
      </w:r>
      <w:r w:rsidR="00062A1F" w:rsidRPr="002A677E">
        <w:t>These template are to be reported for:</w:t>
      </w:r>
    </w:p>
    <w:p w14:paraId="2826783E" w14:textId="0EBDBC54" w:rsidR="002409C1" w:rsidRPr="002A677E" w:rsidRDefault="00062A1F" w:rsidP="00BE08DE">
      <w:pPr>
        <w:pStyle w:val="InstructionsText2"/>
        <w:numPr>
          <w:ilvl w:val="0"/>
          <w:numId w:val="0"/>
        </w:numPr>
        <w:ind w:left="993"/>
      </w:pPr>
      <w:r w:rsidRPr="002A677E">
        <w:t>a.</w:t>
      </w:r>
      <w:r w:rsidRPr="002A677E">
        <w:tab/>
        <w:t xml:space="preserve">Securitisations originated / sponsored by the reporting institution, including where it holds no position in the securitisation. In cases where </w:t>
      </w:r>
      <w:r w:rsidR="00E20FAC" w:rsidRPr="002A677E">
        <w:t>institutions</w:t>
      </w:r>
      <w:r w:rsidRPr="002A677E">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2A677E">
        <w:t>, where</w:t>
      </w:r>
      <w:r w:rsidRPr="002A677E">
        <w:t xml:space="preserve"> Article 43(6) of th</w:t>
      </w:r>
      <w:r w:rsidR="002409C1" w:rsidRPr="002A677E">
        <w:t>at</w:t>
      </w:r>
      <w:r w:rsidRPr="002A677E">
        <w:t xml:space="preserve"> Regulation applies, Article 405 </w:t>
      </w:r>
      <w:r w:rsidR="00E9217C" w:rsidRPr="001235ED">
        <w:rPr>
          <w:lang w:val="en-US"/>
        </w:rPr>
        <w:t>of Regulation (EU) No 575/2013</w:t>
      </w:r>
      <w:r w:rsidRPr="002A677E">
        <w:t xml:space="preserve"> in the version applicable on 31 December 2018</w:t>
      </w:r>
      <w:r w:rsidR="00F17B2E" w:rsidRPr="002A677E">
        <w:t>.</w:t>
      </w:r>
    </w:p>
    <w:p w14:paraId="66DF98B2" w14:textId="77777777" w:rsidR="00062A1F" w:rsidRPr="002A677E" w:rsidRDefault="00062A1F" w:rsidP="00BE08DE">
      <w:pPr>
        <w:pStyle w:val="InstructionsText2"/>
        <w:numPr>
          <w:ilvl w:val="0"/>
          <w:numId w:val="0"/>
        </w:numPr>
        <w:ind w:left="993"/>
      </w:pPr>
      <w:r w:rsidRPr="002A677E">
        <w:t>b.</w:t>
      </w:r>
      <w:r w:rsidRPr="002A677E">
        <w:tab/>
        <w:t>Securitisations, the ultimate underlying of which are financial liabilities originally issued by the reporting institution and (partially) acquired by a securitisation vehicle. Th</w:t>
      </w:r>
      <w:r w:rsidR="002409C1" w:rsidRPr="002A677E">
        <w:t>at</w:t>
      </w:r>
      <w:r w:rsidRPr="002A677E">
        <w:t xml:space="preserve"> underlying could include covered bonds or other liabilities and shall be identified as such in column </w:t>
      </w:r>
      <w:r w:rsidR="006E0E76" w:rsidRPr="002A677E">
        <w:t>0</w:t>
      </w:r>
      <w:r w:rsidRPr="002A677E">
        <w:t>160.</w:t>
      </w:r>
    </w:p>
    <w:p w14:paraId="2AF1CB05" w14:textId="3C10AFDB" w:rsidR="00062A1F" w:rsidRPr="002A677E" w:rsidRDefault="002409C1" w:rsidP="00BE08DE">
      <w:pPr>
        <w:pStyle w:val="InstructionsText2"/>
        <w:numPr>
          <w:ilvl w:val="0"/>
          <w:numId w:val="0"/>
        </w:numPr>
        <w:ind w:left="993"/>
      </w:pPr>
      <w:r w:rsidRPr="002A677E">
        <w:t>c</w:t>
      </w:r>
      <w:r w:rsidR="00062A1F" w:rsidRPr="002A677E">
        <w:t>.</w:t>
      </w:r>
      <w:r w:rsidR="00062A1F" w:rsidRPr="002A677E">
        <w:tab/>
        <w:t>Positions held in securitisations where the reporting institution is neither originator nor sponsor (i.e. investors and original lenders).</w:t>
      </w:r>
    </w:p>
    <w:p w14:paraId="67373E52" w14:textId="1FEEA6B4" w:rsidR="00B814CA" w:rsidRPr="002A677E" w:rsidRDefault="00B814CA" w:rsidP="00BE08DE">
      <w:pPr>
        <w:pStyle w:val="InstructionsText2"/>
        <w:numPr>
          <w:ilvl w:val="0"/>
          <w:numId w:val="0"/>
        </w:numPr>
        <w:ind w:left="993"/>
      </w:pPr>
      <w:r w:rsidRPr="002A677E">
        <w:t>Template C 14.01 shall only be reported for those securitisation positions treated under the securitisations framework.</w:t>
      </w:r>
    </w:p>
    <w:p w14:paraId="190636F1" w14:textId="1A7D033F" w:rsidR="00062A1F"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115</w:t>
      </w:r>
      <w:r>
        <w:fldChar w:fldCharType="end"/>
      </w:r>
      <w:r w:rsidR="00062A1F" w:rsidRPr="002A677E">
        <w:t>.</w:t>
      </w:r>
      <w:r w:rsidR="00062A1F" w:rsidRPr="002A677E">
        <w:tab/>
      </w:r>
      <w:r w:rsidR="005C14B0" w:rsidRPr="002A677E">
        <w:t xml:space="preserve"> </w:t>
      </w:r>
      <w:r w:rsidR="00062A1F" w:rsidRPr="002A677E">
        <w:t>These templates shall be reported by consolidated groups and stand-alone institutions</w:t>
      </w:r>
      <w:r w:rsidR="00062A1F" w:rsidRPr="001235ED">
        <w:rPr>
          <w:rStyle w:val="FootnoteReference"/>
        </w:rPr>
        <w:footnoteReference w:id="7"/>
      </w:r>
      <w:r w:rsidR="00062A1F" w:rsidRPr="002A677E">
        <w:t xml:space="preserve"> located in the same country where they are subject to own funds requirements. In case of securitisations involving more than one entity of the same consolidated group, the entity-by-entity detail breakdown shall be provided. </w:t>
      </w:r>
    </w:p>
    <w:p w14:paraId="1E7670E7" w14:textId="48F238BD" w:rsidR="00062A1F"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116</w:t>
      </w:r>
      <w:r>
        <w:fldChar w:fldCharType="end"/>
      </w:r>
      <w:r w:rsidR="00062A1F" w:rsidRPr="002A677E">
        <w:t>.</w:t>
      </w:r>
      <w:r w:rsidR="00062A1F" w:rsidRPr="002A677E">
        <w:tab/>
      </w:r>
      <w:r w:rsidR="005C14B0" w:rsidRPr="002A677E">
        <w:t xml:space="preserve"> </w:t>
      </w:r>
      <w:r w:rsidR="002409C1" w:rsidRPr="002A677E">
        <w:t>Because of</w:t>
      </w:r>
      <w:r w:rsidR="00062A1F" w:rsidRPr="002A677E">
        <w:t xml:space="preserve"> Article 5 of Regulation (EU) 2017/2402, which establishes that institutions investing in securitisation positions shall acquire a great deal of information on them in order to comply with due diligence requirements</w:t>
      </w:r>
      <w:r w:rsidR="002409C1" w:rsidRPr="002A677E">
        <w:t>,</w:t>
      </w:r>
      <w:r w:rsidR="00062A1F" w:rsidRPr="002A677E">
        <w:t xml:space="preserve"> the reporting scope of the template </w:t>
      </w:r>
      <w:r w:rsidR="002409C1" w:rsidRPr="002A677E">
        <w:t>shall be</w:t>
      </w:r>
      <w:r w:rsidR="00062A1F" w:rsidRPr="002A677E">
        <w:t xml:space="preserve"> applied to investors</w:t>
      </w:r>
      <w:r w:rsidR="002409C1" w:rsidRPr="002A677E">
        <w:t xml:space="preserve"> to a limited extent</w:t>
      </w:r>
      <w:r w:rsidR="00062A1F" w:rsidRPr="002A677E">
        <w:t>. In particular, they shall report columns 0</w:t>
      </w:r>
      <w:r w:rsidR="006E0E76" w:rsidRPr="002A677E">
        <w:t>0</w:t>
      </w:r>
      <w:r w:rsidR="00062A1F" w:rsidRPr="002A677E">
        <w:t>10-0</w:t>
      </w:r>
      <w:r w:rsidR="006E0E76" w:rsidRPr="002A677E">
        <w:t>0</w:t>
      </w:r>
      <w:r w:rsidR="00062A1F" w:rsidRPr="002A677E">
        <w:t>40; 0</w:t>
      </w:r>
      <w:r w:rsidR="006E0E76" w:rsidRPr="002A677E">
        <w:t>0</w:t>
      </w:r>
      <w:r w:rsidR="00062A1F" w:rsidRPr="002A677E">
        <w:t>70-</w:t>
      </w:r>
      <w:r w:rsidR="006E0E76" w:rsidRPr="002A677E">
        <w:t>0</w:t>
      </w:r>
      <w:r w:rsidR="00062A1F" w:rsidRPr="002A677E">
        <w:t xml:space="preserve">110; </w:t>
      </w:r>
      <w:r w:rsidR="006E0E76" w:rsidRPr="002A677E">
        <w:t>0</w:t>
      </w:r>
      <w:r w:rsidR="0027034D" w:rsidRPr="002A677E">
        <w:t>160</w:t>
      </w:r>
      <w:r w:rsidR="00062A1F" w:rsidRPr="002A677E">
        <w:t xml:space="preserve">; </w:t>
      </w:r>
      <w:r w:rsidR="0041205F">
        <w:t>0181</w:t>
      </w:r>
      <w:r w:rsidR="00FC38C6">
        <w:t>;</w:t>
      </w:r>
      <w:r w:rsidR="00062A1F" w:rsidRPr="002A677E">
        <w:t xml:space="preserve"> </w:t>
      </w:r>
      <w:r w:rsidR="006E0E76" w:rsidRPr="002A677E">
        <w:t>0</w:t>
      </w:r>
      <w:r w:rsidR="00062A1F" w:rsidRPr="002A677E">
        <w:t xml:space="preserve">190; </w:t>
      </w:r>
      <w:r w:rsidR="00FC38C6">
        <w:t xml:space="preserve">0223; 0230-0285; </w:t>
      </w:r>
      <w:r w:rsidR="006E0E76" w:rsidRPr="002A677E">
        <w:t>0</w:t>
      </w:r>
      <w:r w:rsidR="00062A1F" w:rsidRPr="002A677E">
        <w:t>290-</w:t>
      </w:r>
      <w:r w:rsidR="006E0E76" w:rsidRPr="002A677E">
        <w:t>0</w:t>
      </w:r>
      <w:r w:rsidR="00062A1F" w:rsidRPr="002A677E">
        <w:t xml:space="preserve">300; </w:t>
      </w:r>
      <w:r w:rsidR="006E0E76" w:rsidRPr="002A677E">
        <w:t>0</w:t>
      </w:r>
      <w:r w:rsidR="00062A1F" w:rsidRPr="002A677E">
        <w:t>310-</w:t>
      </w:r>
      <w:r w:rsidR="006E0E76" w:rsidRPr="002A677E">
        <w:t>0</w:t>
      </w:r>
      <w:r w:rsidR="00062A1F" w:rsidRPr="002A677E">
        <w:t>470.</w:t>
      </w:r>
    </w:p>
    <w:p w14:paraId="40D60DFB" w14:textId="0F7794FD" w:rsidR="00062A1F"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117</w:t>
      </w:r>
      <w:r>
        <w:fldChar w:fldCharType="end"/>
      </w:r>
      <w:r w:rsidR="00062A1F" w:rsidRPr="002A677E">
        <w:t>.</w:t>
      </w:r>
      <w:r w:rsidR="00062A1F" w:rsidRPr="002A677E">
        <w:tab/>
      </w:r>
      <w:r w:rsidR="005C14B0" w:rsidRPr="002A677E">
        <w:t xml:space="preserve"> </w:t>
      </w:r>
      <w:r w:rsidR="00062A1F" w:rsidRPr="002A677E">
        <w:t>Institutions playing the role of original lenders (not performing also the role of originators</w:t>
      </w:r>
      <w:r w:rsidR="00370576" w:rsidRPr="002A677E">
        <w:t xml:space="preserve"> </w:t>
      </w:r>
      <w:r w:rsidR="00062A1F" w:rsidRPr="002A677E">
        <w:t>or sponsors</w:t>
      </w:r>
      <w:r w:rsidR="00370576" w:rsidRPr="002A677E">
        <w:t xml:space="preserve"> </w:t>
      </w:r>
      <w:r w:rsidR="00062A1F" w:rsidRPr="002A677E">
        <w:t>in the same securitisation) shall generally report the template to the same extent as investors.</w:t>
      </w:r>
    </w:p>
    <w:p w14:paraId="6EE33BA2" w14:textId="77777777" w:rsidR="00062A1F" w:rsidRPr="002A677E" w:rsidRDefault="00A2220F" w:rsidP="006B56FF">
      <w:pPr>
        <w:pStyle w:val="Instructionsberschrift2"/>
        <w:numPr>
          <w:ilvl w:val="0"/>
          <w:numId w:val="0"/>
        </w:numPr>
        <w:rPr>
          <w:rFonts w:ascii="Times New Roman" w:hAnsi="Times New Roman" w:cs="Times New Roman"/>
          <w:sz w:val="24"/>
          <w:u w:val="none"/>
          <w:lang w:val="en-GB"/>
        </w:rPr>
      </w:pPr>
      <w:bookmarkStart w:id="428" w:name="_Toc522019892"/>
      <w:bookmarkStart w:id="429" w:name="_Toc151714438"/>
      <w:r w:rsidRPr="002A677E">
        <w:rPr>
          <w:rFonts w:ascii="Times New Roman" w:hAnsi="Times New Roman" w:cs="Times New Roman"/>
          <w:sz w:val="24"/>
          <w:u w:val="none"/>
          <w:lang w:val="en-GB"/>
        </w:rPr>
        <w:t>3.8</w:t>
      </w:r>
      <w:r w:rsidR="00062A1F" w:rsidRPr="002A677E">
        <w:rPr>
          <w:rFonts w:ascii="Times New Roman" w:hAnsi="Times New Roman" w:cs="Times New Roman"/>
          <w:sz w:val="24"/>
          <w:u w:val="none"/>
          <w:lang w:val="en-GB"/>
        </w:rPr>
        <w:t>.2 Breakdown of the SEC DETAILS template</w:t>
      </w:r>
      <w:bookmarkEnd w:id="428"/>
      <w:bookmarkEnd w:id="429"/>
    </w:p>
    <w:p w14:paraId="1E73B3CF" w14:textId="799B57B8" w:rsidR="00062A1F"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118</w:t>
      </w:r>
      <w:r>
        <w:fldChar w:fldCharType="end"/>
      </w:r>
      <w:r w:rsidR="00062A1F" w:rsidRPr="002A677E">
        <w:t>. The SEC DETAILS consists of two templates. SEC DETAILS provides a general overview of the securitisations</w:t>
      </w:r>
      <w:r w:rsidR="00643B18">
        <w:t xml:space="preserve">. </w:t>
      </w:r>
      <w:r w:rsidR="00062A1F" w:rsidRPr="002A677E">
        <w:t>SEC DETAILS 2 provides a breakdown of the securitisation</w:t>
      </w:r>
      <w:r w:rsidR="00643B18">
        <w:t xml:space="preserve"> positions subject to own funds requirements in accordance with Part Three, Title II, chapter 5, section 3 of Regulation (EU) No 575/2013</w:t>
      </w:r>
      <w:r w:rsidR="00643B18" w:rsidRPr="002A677E">
        <w:t xml:space="preserve"> </w:t>
      </w:r>
      <w:r w:rsidR="00062A1F" w:rsidRPr="002A677E">
        <w:t xml:space="preserve">by approach applied. </w:t>
      </w:r>
    </w:p>
    <w:p w14:paraId="57C5CCB6" w14:textId="57811552" w:rsidR="00062A1F" w:rsidRPr="002A677E" w:rsidRDefault="008F3052" w:rsidP="00BE08DE">
      <w:pPr>
        <w:pStyle w:val="InstructionsText2"/>
        <w:numPr>
          <w:ilvl w:val="0"/>
          <w:numId w:val="0"/>
        </w:numPr>
        <w:ind w:left="993"/>
      </w:pPr>
      <w:r>
        <w:lastRenderedPageBreak/>
        <w:fldChar w:fldCharType="begin"/>
      </w:r>
      <w:r>
        <w:instrText>seq paragraphs</w:instrText>
      </w:r>
      <w:r>
        <w:fldChar w:fldCharType="separate"/>
      </w:r>
      <w:r w:rsidR="005E3D5A">
        <w:rPr>
          <w:noProof/>
        </w:rPr>
        <w:t>119</w:t>
      </w:r>
      <w:r>
        <w:fldChar w:fldCharType="end"/>
      </w:r>
      <w:r w:rsidR="00062A1F" w:rsidRPr="002A677E">
        <w:t>. Securitisation positions in the trading book s</w:t>
      </w:r>
      <w:r w:rsidR="00E20FAC" w:rsidRPr="002A677E">
        <w:t xml:space="preserve">hall </w:t>
      </w:r>
      <w:r w:rsidR="00062A1F" w:rsidRPr="002A677E">
        <w:t xml:space="preserve">only be reported in columns </w:t>
      </w:r>
      <w:r w:rsidR="006E0E76" w:rsidRPr="002A677E">
        <w:t>0</w:t>
      </w:r>
      <w:r w:rsidR="00062A1F" w:rsidRPr="002A677E">
        <w:t>0</w:t>
      </w:r>
      <w:r w:rsidR="00670758">
        <w:t>10</w:t>
      </w:r>
      <w:r w:rsidR="00062A1F" w:rsidRPr="002A677E">
        <w:t>-</w:t>
      </w:r>
      <w:r w:rsidR="006E0E76" w:rsidRPr="002A677E">
        <w:t>0</w:t>
      </w:r>
      <w:r w:rsidR="00062A1F" w:rsidRPr="002A677E">
        <w:t xml:space="preserve">020, </w:t>
      </w:r>
      <w:r w:rsidR="006E0E76" w:rsidRPr="002A677E">
        <w:t>0</w:t>
      </w:r>
      <w:r w:rsidR="00062A1F" w:rsidRPr="002A677E">
        <w:t xml:space="preserve">420, </w:t>
      </w:r>
      <w:r w:rsidR="006E0E76" w:rsidRPr="002A677E">
        <w:t>0</w:t>
      </w:r>
      <w:r w:rsidR="00062A1F" w:rsidRPr="002A677E">
        <w:t xml:space="preserve">430, </w:t>
      </w:r>
      <w:r w:rsidR="006E0E76" w:rsidRPr="002A677E">
        <w:t>0</w:t>
      </w:r>
      <w:r w:rsidR="00C94812" w:rsidRPr="002A677E">
        <w:t xml:space="preserve">431, </w:t>
      </w:r>
      <w:r w:rsidR="006E0E76" w:rsidRPr="002A677E">
        <w:t>0</w:t>
      </w:r>
      <w:r w:rsidR="00C94812" w:rsidRPr="002A677E">
        <w:t xml:space="preserve">432, </w:t>
      </w:r>
      <w:r w:rsidR="006E0E76" w:rsidRPr="002A677E">
        <w:t>0</w:t>
      </w:r>
      <w:r w:rsidR="00062A1F" w:rsidRPr="002A677E">
        <w:t xml:space="preserve">440 and </w:t>
      </w:r>
      <w:r w:rsidR="006E0E76" w:rsidRPr="002A677E">
        <w:t>0</w:t>
      </w:r>
      <w:r w:rsidR="00062A1F" w:rsidRPr="002A677E">
        <w:t>450-</w:t>
      </w:r>
      <w:r w:rsidR="006E0E76" w:rsidRPr="002A677E">
        <w:t>0</w:t>
      </w:r>
      <w:r w:rsidR="00062A1F" w:rsidRPr="002A677E">
        <w:t xml:space="preserve">470. For columns </w:t>
      </w:r>
      <w:r w:rsidR="006E0E76" w:rsidRPr="002A677E">
        <w:t>0</w:t>
      </w:r>
      <w:r w:rsidR="00062A1F" w:rsidRPr="002A677E">
        <w:t xml:space="preserve">420, </w:t>
      </w:r>
      <w:r w:rsidR="006E0E76" w:rsidRPr="002A677E">
        <w:t>0</w:t>
      </w:r>
      <w:r w:rsidR="00062A1F" w:rsidRPr="002A677E">
        <w:t xml:space="preserve">430 and </w:t>
      </w:r>
      <w:r w:rsidR="006E0E76" w:rsidRPr="002A677E">
        <w:t>0</w:t>
      </w:r>
      <w:r w:rsidR="00062A1F" w:rsidRPr="002A677E">
        <w:t>440</w:t>
      </w:r>
      <w:r w:rsidR="002409C1" w:rsidRPr="002A677E">
        <w:t>,</w:t>
      </w:r>
      <w:r w:rsidR="00062A1F" w:rsidRPr="002A677E">
        <w:t xml:space="preserve"> </w:t>
      </w:r>
      <w:r w:rsidR="00E20FAC" w:rsidRPr="002A677E">
        <w:t>institutions shall</w:t>
      </w:r>
      <w:r w:rsidR="00062A1F" w:rsidRPr="002A677E">
        <w:t xml:space="preserve"> take into account the RW corresponding to the own fund</w:t>
      </w:r>
      <w:r w:rsidR="00E20FAC" w:rsidRPr="002A677E">
        <w:t>s</w:t>
      </w:r>
      <w:r w:rsidR="00062A1F" w:rsidRPr="002A677E">
        <w:t xml:space="preserve"> requirement of the net position.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lang w:val="en-GB"/>
        </w:rPr>
      </w:pPr>
      <w:bookmarkStart w:id="430" w:name="_Toc151714439"/>
      <w:r w:rsidRPr="002A677E">
        <w:rPr>
          <w:rFonts w:ascii="Times New Roman" w:hAnsi="Times New Roman" w:cs="Times New Roman"/>
          <w:sz w:val="24"/>
          <w:u w:val="none"/>
          <w:lang w:val="en-GB"/>
        </w:rPr>
        <w:t>3.8</w:t>
      </w:r>
      <w:r w:rsidR="00FC6275" w:rsidRPr="002A677E">
        <w:rPr>
          <w:rFonts w:ascii="Times New Roman" w:hAnsi="Times New Roman" w:cs="Times New Roman"/>
          <w:sz w:val="24"/>
          <w:u w:val="none"/>
          <w:lang w:val="en-GB"/>
        </w:rPr>
        <w:t>.3 C 14.00 – Detailed information on securitisations (SEC DETAILS)</w:t>
      </w:r>
      <w:bookmarkEnd w:id="425"/>
      <w:bookmarkEnd w:id="426"/>
      <w:bookmarkEnd w:id="427"/>
      <w:bookmarkEnd w:id="43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206B790D" w14:textId="77777777" w:rsidR="00C55547" w:rsidRPr="002A677E" w:rsidRDefault="00C55547" w:rsidP="00E10B85">
            <w:pPr>
              <w:spacing w:before="0" w:after="0"/>
              <w:jc w:val="left"/>
              <w:rPr>
                <w:rFonts w:ascii="Times New Roman" w:hAnsi="Times New Roman"/>
                <w:sz w:val="24"/>
              </w:rPr>
            </w:pPr>
          </w:p>
          <w:p w14:paraId="560FB5DF" w14:textId="33B28BC9" w:rsidR="006C5A49"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r w:rsidR="002369E6">
              <w:rPr>
                <w:rFonts w:ascii="Times New Roman" w:hAnsi="Times New Roman"/>
                <w:sz w:val="24"/>
              </w:rPr>
              <w:t>.</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62472D" w:rsidRPr="002A677E" w14:paraId="4EB9EEAD" w14:textId="77777777" w:rsidTr="00E10B85">
        <w:tc>
          <w:tcPr>
            <w:tcW w:w="1101" w:type="dxa"/>
          </w:tcPr>
          <w:p w14:paraId="5A9E324C" w14:textId="3718CD6E" w:rsidR="0062472D" w:rsidRPr="002A677E" w:rsidRDefault="0062472D"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7AE3B7AD" w14:textId="77777777" w:rsidR="0062472D" w:rsidRDefault="0062472D" w:rsidP="00E10B85">
            <w:pPr>
              <w:spacing w:before="0" w:after="0"/>
              <w:jc w:val="left"/>
              <w:rPr>
                <w:rFonts w:ascii="Times New Roman" w:hAnsi="Times New Roman"/>
                <w:b/>
                <w:sz w:val="24"/>
                <w:u w:val="single"/>
              </w:rPr>
            </w:pPr>
            <w:r>
              <w:rPr>
                <w:rFonts w:ascii="Times New Roman" w:hAnsi="Times New Roman"/>
                <w:b/>
                <w:sz w:val="24"/>
                <w:u w:val="single"/>
              </w:rPr>
              <w:t>UNIQUE IDENTIFIER</w:t>
            </w:r>
          </w:p>
          <w:p w14:paraId="6F0181FC" w14:textId="77777777" w:rsidR="0062472D" w:rsidRDefault="0062472D" w:rsidP="00E10B85">
            <w:pPr>
              <w:spacing w:before="0" w:after="0"/>
              <w:jc w:val="left"/>
              <w:rPr>
                <w:rFonts w:ascii="Times New Roman" w:hAnsi="Times New Roman"/>
                <w:b/>
                <w:sz w:val="24"/>
                <w:u w:val="single"/>
              </w:rPr>
            </w:pPr>
          </w:p>
          <w:p w14:paraId="56FB7E75" w14:textId="77777777" w:rsidR="002C08FD" w:rsidRPr="00146836" w:rsidRDefault="00455AF5" w:rsidP="00E10B85">
            <w:pPr>
              <w:spacing w:before="0" w:after="0"/>
              <w:jc w:val="left"/>
            </w:pPr>
            <w:r w:rsidRPr="00146836">
              <w:rPr>
                <w:rFonts w:ascii="Times New Roman" w:hAnsi="Times New Roman"/>
                <w:b/>
                <w:sz w:val="24"/>
                <w:u w:val="single"/>
              </w:rPr>
              <w:t xml:space="preserve">For securitisations </w:t>
            </w:r>
            <w:r w:rsidR="00510C9C" w:rsidRPr="00146836">
              <w:t>issued on or after 1 January 2019</w:t>
            </w:r>
            <w:r w:rsidR="002369E6" w:rsidRPr="00146836">
              <w:t>, institutions shall report the unique identifier as defined in Article 11(1) of Commission Delegated Regulation (EU) 2020/1224.</w:t>
            </w:r>
          </w:p>
          <w:p w14:paraId="01FC7FA8" w14:textId="2CDAA0F8" w:rsidR="0062472D" w:rsidRPr="002A677E" w:rsidRDefault="0062472D" w:rsidP="00E10B85">
            <w:pPr>
              <w:spacing w:before="0" w:after="0"/>
              <w:jc w:val="left"/>
              <w:rPr>
                <w:rFonts w:ascii="Times New Roman" w:hAnsi="Times New Roman"/>
                <w:b/>
                <w:sz w:val="24"/>
                <w:u w:val="singl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or, if not available, the name by which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is known in the market, or within the institution in case of an internal or private securitisation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w:t>
            </w:r>
            <w:r w:rsidR="002409C1"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2409C1"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sidR="00B83DDE">
              <w:rPr>
                <w:rFonts w:ascii="Times New Roman" w:hAnsi="Times New Roman"/>
                <w:sz w:val="24"/>
              </w:rPr>
              <w:t>, p</w:t>
            </w:r>
            <w:r w:rsidRPr="002A677E">
              <w:rPr>
                <w:rFonts w:ascii="Times New Roman" w:hAnsi="Times New Roman"/>
                <w:sz w:val="24"/>
              </w:rPr>
              <w:t>rivate or public securitisation</w:t>
            </w:r>
            <w:r w:rsidR="006C5A49" w:rsidRPr="002A677E">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Private</w:t>
            </w:r>
            <w:r w:rsidR="005A1898">
              <w:rPr>
                <w:rFonts w:ascii="Times New Roman" w:hAnsi="Times New Roman"/>
                <w:sz w:val="24"/>
              </w:rPr>
              <w:t xml:space="preserve"> placement;</w:t>
            </w:r>
          </w:p>
          <w:p w14:paraId="16FB8914" w14:textId="12E5DDD6" w:rsidR="00BF67D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r w:rsidR="006C5A49" w:rsidRPr="002A677E">
              <w:rPr>
                <w:rFonts w:ascii="Times New Roman" w:hAnsi="Times New Roman"/>
                <w:sz w:val="24"/>
              </w:rPr>
              <w:t>;</w:t>
            </w:r>
          </w:p>
          <w:p w14:paraId="4AC6915E" w14:textId="0C967364" w:rsidR="00C5554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sidR="005A1898">
              <w:rPr>
                <w:rFonts w:ascii="Times New Roman" w:hAnsi="Times New Roman"/>
                <w:sz w:val="24"/>
              </w:rPr>
              <w:t xml:space="preserve"> placement.</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C55547" w:rsidRPr="002A677E">
              <w:rPr>
                <w:rFonts w:ascii="Times New Roman" w:hAnsi="Times New Roman"/>
                <w:bCs/>
                <w:sz w:val="24"/>
                <w:lang w:eastAsia="nl-BE"/>
              </w:rPr>
              <w:t>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5A1898">
              <w:rPr>
                <w:rFonts w:ascii="Times New Roman" w:hAnsi="Times New Roman"/>
                <w:sz w:val="24"/>
              </w:rPr>
              <w:t xml:space="preserve">one of </w:t>
            </w:r>
            <w:r w:rsidR="00C55547" w:rsidRPr="002A677E">
              <w:rPr>
                <w:rFonts w:ascii="Times New Roman" w:hAnsi="Times New Roman"/>
                <w:sz w:val="24"/>
              </w:rPr>
              <w:t xml:space="preserve">the following: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r w:rsidR="006C5A49" w:rsidRPr="002A677E">
              <w:rPr>
                <w:rFonts w:ascii="Times New Roman" w:hAnsi="Times New Roman"/>
                <w:sz w:val="24"/>
              </w:rPr>
              <w:t>.</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 </w:t>
            </w:r>
            <w:r w:rsidR="002409C1" w:rsidRPr="002A677E">
              <w:rPr>
                <w:rFonts w:ascii="Times New Roman" w:hAnsi="Times New Roman"/>
                <w:sz w:val="24"/>
              </w:rPr>
              <w:t>as defined in Article 4(1)</w:t>
            </w:r>
            <w:r w:rsidR="00B83DDE">
              <w:rPr>
                <w:rFonts w:ascii="Times New Roman" w:hAnsi="Times New Roman"/>
                <w:sz w:val="24"/>
              </w:rPr>
              <w:t>, p</w:t>
            </w:r>
            <w:r w:rsidR="00247193" w:rsidRPr="002A677E">
              <w:rPr>
                <w:rFonts w:ascii="Times New Roman" w:hAnsi="Times New Roman"/>
                <w:sz w:val="24"/>
              </w:rPr>
              <w:t>oint (13)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rPr>
              <w:t xml:space="preserve"> </w:t>
            </w:r>
            <w:r w:rsidRPr="002A677E">
              <w:rPr>
                <w:rFonts w:ascii="Times New Roman" w:hAnsi="Times New Roman"/>
                <w:sz w:val="24"/>
              </w:rPr>
              <w:t>and Sponsor as</w:t>
            </w:r>
            <w:r w:rsidR="00C55547" w:rsidRPr="002A677E">
              <w:rPr>
                <w:rFonts w:ascii="Times New Roman" w:hAnsi="Times New Roman"/>
                <w:sz w:val="24"/>
              </w:rPr>
              <w:t xml:space="preserve"> defin</w:t>
            </w:r>
            <w:r w:rsidRPr="002A677E">
              <w:rPr>
                <w:rFonts w:ascii="Times New Roman" w:hAnsi="Times New Roman"/>
                <w:sz w:val="24"/>
              </w:rPr>
              <w:t>ed</w:t>
            </w:r>
            <w:r w:rsidR="002409C1" w:rsidRPr="002A677E">
              <w:rPr>
                <w:rFonts w:ascii="Times New Roman" w:hAnsi="Times New Roman"/>
                <w:sz w:val="24"/>
              </w:rPr>
              <w:t xml:space="preserve"> in</w:t>
            </w:r>
            <w:r w:rsidR="00C55547" w:rsidRPr="002A677E">
              <w:rPr>
                <w:rFonts w:ascii="Times New Roman" w:hAnsi="Times New Roman"/>
                <w:sz w:val="24"/>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that Regulation</w:t>
            </w:r>
            <w:r w:rsidR="00C55547" w:rsidRPr="002A677E">
              <w:rPr>
                <w:rFonts w:ascii="Times New Roman" w:hAnsi="Times New Roman"/>
                <w:sz w:val="24"/>
              </w:rPr>
              <w:t>. Investors are assumed to be those institutions to which Article 5 of Regulation (EU) 2017/2402</w:t>
            </w:r>
            <w:r w:rsidR="002409C1" w:rsidRPr="002A677E">
              <w:rPr>
                <w:rFonts w:ascii="Times New Roman" w:hAnsi="Times New Roman"/>
                <w:sz w:val="24"/>
              </w:rPr>
              <w:t xml:space="preserve"> applies</w:t>
            </w:r>
            <w:r w:rsidR="00C55547" w:rsidRPr="002A677E">
              <w:rPr>
                <w:rFonts w:ascii="Times New Roman" w:hAnsi="Times New Roman"/>
                <w:sz w:val="24"/>
              </w:rPr>
              <w:t>. In case Article 43(5) of Regulation (EU) 2017/2402 applies, Article</w:t>
            </w:r>
            <w:r w:rsidR="001C6166" w:rsidRPr="002A677E">
              <w:rPr>
                <w:rFonts w:ascii="Times New Roman" w:hAnsi="Times New Roman"/>
                <w:sz w:val="24"/>
              </w:rPr>
              <w:t>s</w:t>
            </w:r>
            <w:r w:rsidR="00C55547" w:rsidRPr="002A677E">
              <w:rPr>
                <w:rFonts w:ascii="Times New Roman" w:hAnsi="Times New Roman"/>
                <w:sz w:val="24"/>
              </w:rPr>
              <w:t xml:space="preserve"> 406 and 407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in the version applicable on 31 December 2018</w:t>
            </w:r>
            <w:r w:rsidR="001C6166" w:rsidRPr="002A677E">
              <w:rPr>
                <w:rFonts w:ascii="Times New Roman" w:hAnsi="Times New Roman"/>
                <w:sz w:val="24"/>
              </w:rPr>
              <w:t xml:space="preserve"> shall apply</w:t>
            </w:r>
            <w:r w:rsidR="00C55547" w:rsidRPr="002A677E">
              <w:rPr>
                <w:rFonts w:ascii="Times New Roman" w:hAnsi="Times New Roman"/>
                <w:sz w:val="24"/>
              </w:rPr>
              <w: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2A677E">
              <w:rPr>
                <w:rFonts w:ascii="Times New Roman" w:hAnsi="Times New Roman"/>
                <w:sz w:val="24"/>
              </w:rPr>
              <w:t>in</w:t>
            </w:r>
            <w:r w:rsidRPr="002A677E">
              <w:rPr>
                <w:rFonts w:ascii="Times New Roman" w:hAnsi="Times New Roman"/>
                <w:sz w:val="24"/>
              </w:rPr>
              <w:t xml:space="preserve"> this column.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is involved as originator, sponsor or original lender, the reporting </w:t>
            </w:r>
            <w:r w:rsidR="00E20FAC" w:rsidRPr="002A677E">
              <w:rPr>
                <w:rFonts w:ascii="Times New Roman" w:hAnsi="Times New Roman"/>
                <w:sz w:val="24"/>
              </w:rPr>
              <w:t>institution</w:t>
            </w:r>
            <w:r w:rsidRPr="002A677E">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2A677E">
              <w:rPr>
                <w:rFonts w:ascii="Times New Roman" w:hAnsi="Times New Roman"/>
                <w:sz w:val="24"/>
              </w:rPr>
              <w:t>If</w:t>
            </w:r>
            <w:r w:rsidRPr="002A677E">
              <w:rPr>
                <w:rFonts w:ascii="Times New Roman" w:hAnsi="Times New Roman"/>
                <w:sz w:val="24"/>
              </w:rPr>
              <w:t xml:space="preserve"> the code is not available or is not known by the reporting </w:t>
            </w:r>
            <w:r w:rsidR="00E20FAC" w:rsidRPr="002A677E">
              <w:rPr>
                <w:rFonts w:ascii="Times New Roman" w:hAnsi="Times New Roman"/>
                <w:sz w:val="24"/>
              </w:rPr>
              <w:t>institution,</w:t>
            </w:r>
            <w:r w:rsidRPr="002A677E">
              <w:rPr>
                <w:rFonts w:ascii="Times New Roman" w:hAnsi="Times New Roman"/>
                <w:sz w:val="24"/>
              </w:rPr>
              <w:t xml:space="preserve"> the name of the institution shall be reported.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holds a position in the securitisation as an investor,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provide the identifier of all the different originators involved in the securitisation, or, if not available, the names of the different originators.</w:t>
            </w:r>
            <w:r w:rsidR="007F1970" w:rsidRPr="002A677E">
              <w:rPr>
                <w:rFonts w:ascii="Times New Roman" w:hAnsi="Times New Roman"/>
                <w:sz w:val="24"/>
              </w:rPr>
              <w:t xml:space="preserve"> Where</w:t>
            </w:r>
            <w:r w:rsidRPr="002A677E">
              <w:rPr>
                <w:rFonts w:ascii="Times New Roman" w:hAnsi="Times New Roman"/>
                <w:sz w:val="24"/>
              </w:rPr>
              <w:t xml:space="preserve"> the names are not known by the reporting </w:t>
            </w:r>
            <w:r w:rsidR="00E20FAC" w:rsidRPr="002A677E">
              <w:rPr>
                <w:rFonts w:ascii="Times New Roman" w:hAnsi="Times New Roman"/>
                <w:sz w:val="24"/>
              </w:rPr>
              <w:t>institution</w:t>
            </w:r>
            <w:r w:rsidRPr="002A677E">
              <w:rPr>
                <w:rFonts w:ascii="Times New Roman" w:hAnsi="Times New Roman"/>
                <w:sz w:val="24"/>
              </w:rPr>
              <w:t xml:space="preserve">,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report that the securitisation is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CE2A31">
              <w:rPr>
                <w:rFonts w:ascii="Times New Roman" w:hAnsi="Times New Roman"/>
                <w:sz w:val="24"/>
              </w:rPr>
              <w:t xml:space="preserve">one of </w:t>
            </w:r>
            <w:r w:rsidR="00C55547" w:rsidRPr="002A677E">
              <w:rPr>
                <w:rFonts w:ascii="Times New Roman" w:hAnsi="Times New Roman"/>
                <w:sz w:val="24"/>
              </w:rPr>
              <w:t>the following:</w:t>
            </w:r>
            <w:r w:rsidR="00C55547" w:rsidRPr="002A677E">
              <w:rPr>
                <w:rFonts w:ascii="Times New Roman" w:hAnsi="Times New Roman"/>
                <w:sz w:val="24"/>
              </w:rPr>
              <w:br/>
              <w:t>- ABCP programme;</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sidR="00585B5B">
              <w:rPr>
                <w:rFonts w:ascii="Times New Roman" w:hAnsi="Times New Roman"/>
                <w:sz w:val="24"/>
              </w:rPr>
              <w:t xml:space="preserve"> securitisations other than </w:t>
            </w:r>
            <w:r w:rsidR="009239A1" w:rsidRPr="002A677E">
              <w:rPr>
                <w:rFonts w:ascii="Times New Roman" w:hAnsi="Times New Roman"/>
                <w:sz w:val="24"/>
              </w:rPr>
              <w:t>NPE securitisations</w:t>
            </w:r>
            <w:r w:rsidRPr="002A677E">
              <w:rPr>
                <w:rFonts w:ascii="Times New Roman" w:hAnsi="Times New Roman"/>
                <w:sz w:val="24"/>
              </w:rPr>
              <w:t>;</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N</w:t>
            </w:r>
            <w:r w:rsidRPr="002A677E">
              <w:rPr>
                <w:rFonts w:ascii="Times New Roman" w:hAnsi="Times New Roman"/>
                <w:sz w:val="24"/>
              </w:rPr>
              <w:t>on-qualifying NPE securitisations;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Q</w:t>
            </w:r>
            <w:r w:rsidRPr="002A677E">
              <w:rPr>
                <w:rFonts w:ascii="Times New Roman" w:hAnsi="Times New Roman"/>
                <w:sz w:val="24"/>
              </w:rPr>
              <w:t>ualifying NPE securitisations;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sidR="00585B5B">
              <w:rPr>
                <w:rFonts w:ascii="Times New Roman" w:hAnsi="Times New Roman"/>
                <w:sz w:val="24"/>
              </w:rPr>
              <w:t xml:space="preserve"> transaction</w:t>
            </w:r>
            <w:r w:rsidR="009239A1" w:rsidRPr="002A677E">
              <w:rPr>
                <w:rFonts w:ascii="Times New Roman" w:hAnsi="Times New Roman"/>
                <w:sz w:val="24"/>
              </w:rPr>
              <w:t>;</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The definitions of ‘Asset Backed Commercial Paper Programme’, ‘Asset Backed Commercial Paper Transaction’, ‘traditional securitisation’ and ‘synthetic securitisation’ are provided in Article 242</w:t>
            </w:r>
            <w:r w:rsidR="00B83DDE">
              <w:rPr>
                <w:rFonts w:ascii="Times New Roman" w:hAnsi="Times New Roman"/>
                <w:sz w:val="24"/>
              </w:rPr>
              <w:t>, p</w:t>
            </w:r>
            <w:r w:rsidR="00247193" w:rsidRPr="002A677E">
              <w:rPr>
                <w:rFonts w:ascii="Times New Roman" w:hAnsi="Times New Roman"/>
                <w:sz w:val="24"/>
              </w:rPr>
              <w:t>oints (11) to (14)</w:t>
            </w:r>
            <w:r w:rsidR="002E728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9239A1" w:rsidRPr="002A677E">
              <w:rPr>
                <w:rFonts w:ascii="Times New Roman" w:hAnsi="Times New Roman"/>
                <w:sz w:val="24"/>
              </w:rPr>
              <w:t xml:space="preserve">; the definitions of ‘qualifying </w:t>
            </w:r>
            <w:r w:rsidR="00A672A8">
              <w:rPr>
                <w:rFonts w:ascii="Times New Roman" w:hAnsi="Times New Roman"/>
                <w:sz w:val="24"/>
              </w:rPr>
              <w:t xml:space="preserve">traditional </w:t>
            </w:r>
            <w:r w:rsidR="009239A1" w:rsidRPr="002A677E">
              <w:rPr>
                <w:rFonts w:ascii="Times New Roman" w:hAnsi="Times New Roman"/>
                <w:sz w:val="24"/>
              </w:rPr>
              <w:t>NPE securitisations’ and ‘NPE securitisations’ are provided in Article 269a</w:t>
            </w:r>
            <w:r w:rsidR="00F219A4">
              <w:rPr>
                <w:rFonts w:ascii="Times New Roman" w:hAnsi="Times New Roman"/>
                <w:sz w:val="24"/>
              </w:rPr>
              <w:t>(1)</w:t>
            </w:r>
            <w:r w:rsidR="009239A1"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w:t>
            </w:r>
            <w:r w:rsidR="00C55547" w:rsidRPr="002A677E">
              <w:rPr>
                <w:rFonts w:ascii="Times New Roman" w:hAnsi="Times New Roman"/>
                <w:sz w:val="24"/>
              </w:rPr>
              <w:t>riginators, sponsors and original lenders shall report one of the following:</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sidR="005A1898">
              <w:rPr>
                <w:rFonts w:ascii="Times New Roman" w:hAnsi="Times New Roman"/>
                <w:sz w:val="24"/>
              </w:rPr>
              <w:t xml:space="preserve"> – totally kept</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securitised exposures remain </w:t>
            </w:r>
            <w:r w:rsidRPr="002A677E">
              <w:rPr>
                <w:rFonts w:ascii="Times New Roman" w:hAnsi="Times New Roman"/>
                <w:sz w:val="24"/>
              </w:rPr>
              <w:t>entirely recognised</w:t>
            </w:r>
            <w:r w:rsidR="007F1970" w:rsidRPr="002A677E">
              <w:rPr>
                <w:rFonts w:ascii="Times New Roman" w:hAnsi="Times New Roman"/>
                <w:sz w:val="24"/>
              </w:rPr>
              <w: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sidR="005A1898">
              <w:rPr>
                <w:rFonts w:ascii="Times New Roman" w:hAnsi="Times New Roman"/>
                <w:sz w:val="24"/>
              </w:rPr>
              <w:t xml:space="preserve"> – partially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partially derecognised</w:t>
            </w:r>
            <w:r w:rsidR="007F1970" w:rsidRPr="002A677E">
              <w:rPr>
                <w:rFonts w:ascii="Times New Roman" w:hAnsi="Times New Roman"/>
                <w:sz w:val="24"/>
              </w:rPr>
              <w:t>;</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sidR="005A1898">
              <w:rPr>
                <w:rFonts w:ascii="Times New Roman" w:hAnsi="Times New Roman"/>
                <w:sz w:val="24"/>
              </w:rPr>
              <w:t xml:space="preserve"> – totally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entirely derecognised</w:t>
            </w:r>
            <w:r w:rsidR="007F1970" w:rsidRPr="002A677E">
              <w:rPr>
                <w:rFonts w:ascii="Times New Roman" w:hAnsi="Times New Roman"/>
                <w:sz w:val="24"/>
              </w:rPr>
              <w:t>;</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sidR="005A1898">
              <w:rPr>
                <w:rFonts w:ascii="Times New Roman" w:hAnsi="Times New Roman"/>
                <w:sz w:val="24"/>
              </w:rPr>
              <w:t xml:space="preserve"> – Not applicable</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not applicable.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shall</w:t>
            </w:r>
            <w:r w:rsidRPr="002A677E">
              <w:rPr>
                <w:rFonts w:ascii="Times New Roman" w:hAnsi="Times New Roman"/>
                <w:sz w:val="24"/>
              </w:rPr>
              <w:t xml:space="preserve"> not affect the accounting treatment of the transaction under the relevant accounting framework.</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w:t>
            </w:r>
            <w:r w:rsidR="005E5070" w:rsidRPr="002A677E">
              <w:rPr>
                <w:rFonts w:ascii="Times New Roman" w:hAnsi="Times New Roman"/>
                <w:sz w:val="24"/>
              </w:rPr>
              <w:t xml:space="preserve">the </w:t>
            </w:r>
            <w:r w:rsidRPr="002A677E">
              <w:rPr>
                <w:rFonts w:ascii="Times New Roman" w:hAnsi="Times New Roman"/>
                <w:sz w:val="24"/>
              </w:rPr>
              <w:t>case of securitisations of liabilities</w:t>
            </w:r>
            <w:r w:rsidR="005E5070" w:rsidRPr="002A677E">
              <w:rPr>
                <w:rFonts w:ascii="Times New Roman" w:hAnsi="Times New Roman"/>
                <w:sz w:val="24"/>
              </w:rPr>
              <w:t>,</w:t>
            </w:r>
            <w:r w:rsidRPr="002A677E">
              <w:rPr>
                <w:rFonts w:ascii="Times New Roman" w:hAnsi="Times New Roman"/>
                <w:sz w:val="24"/>
              </w:rPr>
              <w:t xml:space="preserve"> originators shall not report this column.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w:t>
            </w:r>
            <w:r w:rsidR="007F1970" w:rsidRPr="002A677E">
              <w:rPr>
                <w:rFonts w:ascii="Times New Roman" w:hAnsi="Times New Roman"/>
                <w:sz w:val="24"/>
              </w:rPr>
              <w:t>re</w:t>
            </w:r>
            <w:r w:rsidRPr="002A677E">
              <w:rPr>
                <w:rFonts w:ascii="Times New Roman" w:hAnsi="Times New Roman"/>
                <w:sz w:val="24"/>
              </w:rPr>
              <w:t xml:space="preserve"> the securitised assets are recognised in the balance sheet to the extent of the reporting entity’</w:t>
            </w:r>
            <w:r w:rsidR="007F1970" w:rsidRPr="002A677E">
              <w:rPr>
                <w:rFonts w:ascii="Times New Roman" w:hAnsi="Times New Roman"/>
                <w:sz w:val="24"/>
              </w:rPr>
              <w:t>s</w:t>
            </w:r>
            <w:r w:rsidRPr="002A677E">
              <w:rPr>
                <w:rFonts w:ascii="Times New Roman" w:hAnsi="Times New Roman"/>
                <w:sz w:val="24"/>
              </w:rPr>
              <w:t xml:space="preserve"> continuing involvement in accordance with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00E9217C" w:rsidRPr="001235ED">
              <w:rPr>
                <w:rFonts w:ascii="Times New Roman" w:hAnsi="Times New Roman"/>
                <w:sz w:val="24"/>
                <w:lang w:val="en-US"/>
              </w:rPr>
              <w:t>of Regulation (EU) No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sidR="005A1898">
              <w:rPr>
                <w:rFonts w:ascii="Times New Roman" w:hAnsi="Times New Roman"/>
                <w:sz w:val="24"/>
              </w:rPr>
              <w:t xml:space="preserve"> one of</w:t>
            </w:r>
            <w:r w:rsidRPr="002A677E">
              <w:rPr>
                <w:rFonts w:ascii="Times New Roman" w:hAnsi="Times New Roman"/>
                <w:sz w:val="24"/>
              </w:rPr>
              <w:t xml:space="preserve"> the following: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5A1898">
              <w:rPr>
                <w:rFonts w:ascii="Times New Roman" w:hAnsi="Times New Roman"/>
                <w:sz w:val="24"/>
              </w:rPr>
              <w:t>P</w:t>
            </w:r>
            <w:r w:rsidRPr="002A677E">
              <w:rPr>
                <w:rFonts w:ascii="Times New Roman" w:hAnsi="Times New Roman"/>
                <w:sz w:val="24"/>
              </w:rPr>
              <w:t>art</w:t>
            </w:r>
            <w:r w:rsidR="005A1898">
              <w:rPr>
                <w:rFonts w:ascii="Times New Roman" w:hAnsi="Times New Roman"/>
                <w:sz w:val="24"/>
              </w:rPr>
              <w:t>ial</w:t>
            </w:r>
            <w:r w:rsidRPr="002A677E">
              <w:rPr>
                <w:rFonts w:ascii="Times New Roman" w:hAnsi="Times New Roman"/>
                <w:sz w:val="24"/>
              </w:rPr>
              <w:t xml:space="preserve">ly in </w:t>
            </w:r>
            <w:r w:rsidR="005A1898">
              <w:rPr>
                <w:rFonts w:ascii="Times New Roman" w:hAnsi="Times New Roman"/>
                <w:sz w:val="24"/>
              </w:rPr>
              <w:t>banking and trading</w:t>
            </w:r>
            <w:r w:rsidR="005A1898" w:rsidRPr="002A677E">
              <w:rPr>
                <w:rFonts w:ascii="Times New Roman" w:hAnsi="Times New Roman"/>
                <w:sz w:val="24"/>
              </w:rPr>
              <w:t xml:space="preserve"> </w:t>
            </w:r>
            <w:r w:rsidRPr="002A677E">
              <w:rPr>
                <w:rFonts w:ascii="Times New Roman" w:hAnsi="Times New Roman"/>
                <w:sz w:val="24"/>
              </w:rPr>
              <w:t>book.</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summarise the solvency treatment of the securitisation scheme by the originator. It </w:t>
            </w:r>
            <w:r w:rsidR="006C5A49" w:rsidRPr="002A677E">
              <w:rPr>
                <w:rFonts w:ascii="Times New Roman" w:hAnsi="Times New Roman"/>
                <w:sz w:val="24"/>
              </w:rPr>
              <w:t xml:space="preserve">shall </w:t>
            </w:r>
            <w:r w:rsidRPr="002A677E">
              <w:rPr>
                <w:rFonts w:ascii="Times New Roman" w:hAnsi="Times New Roman"/>
                <w:sz w:val="24"/>
              </w:rPr>
              <w:t>indicate whether own funds requirements are c</w:t>
            </w:r>
            <w:r w:rsidR="007F1970" w:rsidRPr="002A677E">
              <w:rPr>
                <w:rFonts w:ascii="Times New Roman" w:hAnsi="Times New Roman"/>
                <w:sz w:val="24"/>
              </w:rPr>
              <w:t>alculated</w:t>
            </w:r>
            <w:r w:rsidRPr="002A677E">
              <w:rPr>
                <w:rFonts w:ascii="Times New Roman" w:hAnsi="Times New Roman"/>
                <w:sz w:val="24"/>
              </w:rPr>
              <w:t xml:space="preserve"> </w:t>
            </w:r>
            <w:r w:rsidR="001C6166" w:rsidRPr="002A677E">
              <w:rPr>
                <w:rFonts w:ascii="Times New Roman" w:hAnsi="Times New Roman"/>
                <w:sz w:val="24"/>
              </w:rPr>
              <w:t>on the basis of</w:t>
            </w:r>
            <w:r w:rsidRPr="002A677E">
              <w:rPr>
                <w:rFonts w:ascii="Times New Roman" w:hAnsi="Times New Roman"/>
                <w:sz w:val="24"/>
              </w:rPr>
              <w:t xml:space="preserve"> securitised exposures or securitisation positions (banking book/trading book).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Where</w:t>
            </w:r>
            <w:r w:rsidR="00C55547" w:rsidRPr="002A677E">
              <w:rPr>
                <w:rFonts w:ascii="Times New Roman" w:hAnsi="Times New Roman"/>
                <w:sz w:val="24"/>
              </w:rPr>
              <w:t xml:space="preserve"> own funds requirements are based on </w:t>
            </w:r>
            <w:r w:rsidR="00C55547" w:rsidRPr="002A677E">
              <w:rPr>
                <w:rFonts w:ascii="Times New Roman" w:hAnsi="Times New Roman"/>
                <w:i/>
                <w:sz w:val="24"/>
              </w:rPr>
              <w:t>securitised exposures</w:t>
            </w:r>
            <w:r w:rsidR="00C55547" w:rsidRPr="002A677E">
              <w:rPr>
                <w:rFonts w:ascii="Times New Roman" w:hAnsi="Times New Roman"/>
                <w:sz w:val="24"/>
              </w:rPr>
              <w:t xml:space="preserve"> (</w:t>
            </w:r>
            <w:r w:rsidR="00882103" w:rsidRPr="002A677E">
              <w:rPr>
                <w:rFonts w:ascii="Times New Roman" w:hAnsi="Times New Roman"/>
                <w:sz w:val="24"/>
              </w:rPr>
              <w:t>as no</w:t>
            </w:r>
            <w:r w:rsidR="00C55547"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00C55547" w:rsidRPr="002A677E">
              <w:rPr>
                <w:rFonts w:ascii="Times New Roman" w:hAnsi="Times New Roman"/>
                <w:sz w:val="24"/>
              </w:rPr>
              <w:t>) the c</w:t>
            </w:r>
            <w:r w:rsidRPr="002A677E">
              <w:rPr>
                <w:rFonts w:ascii="Times New Roman" w:hAnsi="Times New Roman"/>
                <w:sz w:val="24"/>
              </w:rPr>
              <w:t>alculation</w:t>
            </w:r>
            <w:r w:rsidR="00C55547" w:rsidRPr="002A677E">
              <w:rPr>
                <w:rFonts w:ascii="Times New Roman" w:hAnsi="Times New Roman"/>
                <w:sz w:val="24"/>
              </w:rPr>
              <w:t xml:space="preserve"> of own funds requirements for credit risk shall be reported in the CR SA template,</w:t>
            </w:r>
            <w:r w:rsidR="00882103" w:rsidRPr="002A677E">
              <w:rPr>
                <w:rFonts w:ascii="Times New Roman" w:hAnsi="Times New Roman"/>
                <w:sz w:val="24"/>
              </w:rPr>
              <w:t xml:space="preserve"> </w:t>
            </w:r>
            <w:r w:rsidR="00C55547" w:rsidRPr="002A677E">
              <w:rPr>
                <w:rFonts w:ascii="Times New Roman" w:hAnsi="Times New Roman"/>
                <w:sz w:val="24"/>
              </w:rPr>
              <w:t>for those securitised exposures for which</w:t>
            </w:r>
            <w:r w:rsidRPr="002A677E">
              <w:rPr>
                <w:rFonts w:ascii="Times New Roman" w:hAnsi="Times New Roman"/>
                <w:sz w:val="24"/>
              </w:rPr>
              <w:t xml:space="preserve"> </w:t>
            </w:r>
            <w:r w:rsidR="00C55547" w:rsidRPr="002A677E">
              <w:rPr>
                <w:rFonts w:ascii="Times New Roman" w:hAnsi="Times New Roman"/>
                <w:sz w:val="24"/>
              </w:rPr>
              <w:t>the Standardised Approach is used, or in the CR IRB template for those securitised exposures for which the Internal Ratings Based Approach is used by the institution.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Conversely, </w:t>
            </w:r>
            <w:r w:rsidR="007F1970" w:rsidRPr="002A677E">
              <w:rPr>
                <w:rFonts w:ascii="Times New Roman" w:hAnsi="Times New Roman"/>
                <w:sz w:val="24"/>
              </w:rPr>
              <w:t>where</w:t>
            </w:r>
            <w:r w:rsidRPr="002A677E">
              <w:rPr>
                <w:rFonts w:ascii="Times New Roman" w:hAnsi="Times New Roman"/>
                <w:sz w:val="24"/>
              </w:rPr>
              <w:t xml:space="preserv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w:t>
            </w:r>
            <w:r w:rsidR="00882103" w:rsidRPr="002A677E">
              <w:rPr>
                <w:rFonts w:ascii="Times New Roman" w:hAnsi="Times New Roman"/>
                <w:sz w:val="24"/>
              </w:rPr>
              <w:t>as a</w:t>
            </w:r>
            <w:r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Pr="002A677E">
              <w:rPr>
                <w:rFonts w:ascii="Times New Roman" w:hAnsi="Times New Roman"/>
                <w:sz w:val="24"/>
              </w:rPr>
              <w:t>)</w:t>
            </w:r>
            <w:r w:rsidR="007F1970" w:rsidRPr="002A677E">
              <w:rPr>
                <w:rFonts w:ascii="Times New Roman" w:hAnsi="Times New Roman"/>
                <w:sz w:val="24"/>
              </w:rPr>
              <w:t>,</w:t>
            </w:r>
            <w:r w:rsidRPr="002A677E">
              <w:rPr>
                <w:rFonts w:ascii="Times New Roman" w:hAnsi="Times New Roman"/>
                <w:sz w:val="24"/>
              </w:rPr>
              <w:t xml:space="preserve"> 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credit risk shall be reported in the CR SEC template. In case of </w:t>
            </w:r>
            <w:r w:rsidRPr="002A677E">
              <w:rPr>
                <w:rFonts w:ascii="Times New Roman" w:hAnsi="Times New Roman"/>
                <w:i/>
                <w:sz w:val="24"/>
              </w:rPr>
              <w:t>securitisation positions held in the trading book</w:t>
            </w:r>
            <w:r w:rsidR="007F1970"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 xml:space="preserve">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In the case of the securitisations of liabilities</w:t>
            </w:r>
            <w:r w:rsidR="007F1970" w:rsidRPr="002A677E">
              <w:rPr>
                <w:rFonts w:ascii="Times New Roman" w:hAnsi="Times New Roman"/>
                <w:sz w:val="24"/>
              </w:rPr>
              <w:t>,</w:t>
            </w:r>
            <w:r w:rsidRPr="002A677E">
              <w:rPr>
                <w:rFonts w:ascii="Times New Roman" w:hAnsi="Times New Roman"/>
                <w:sz w:val="24"/>
              </w:rPr>
              <w:t xml:space="preserve"> originators shall not report this column.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sidR="005A1898">
              <w:rPr>
                <w:rFonts w:ascii="Times New Roman" w:hAnsi="Times New Roman"/>
                <w:sz w:val="24"/>
              </w:rPr>
              <w:t xml:space="preserve">one of </w:t>
            </w:r>
            <w:r w:rsidRPr="002A677E">
              <w:rPr>
                <w:rFonts w:ascii="Times New Roman" w:hAnsi="Times New Roman"/>
                <w:sz w:val="24"/>
              </w:rPr>
              <w:t>the following:</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sidR="005A1898">
              <w:rPr>
                <w:rFonts w:ascii="Times New Roman" w:hAnsi="Times New Roman"/>
                <w:sz w:val="24"/>
              </w:rPr>
              <w:t>-</w:t>
            </w:r>
            <w:r w:rsidRPr="002A677E">
              <w:rPr>
                <w:rFonts w:ascii="Times New Roman" w:hAnsi="Times New Roman"/>
                <w:sz w:val="24"/>
              </w:rPr>
              <w:t xml:space="preserve"> </w:t>
            </w:r>
            <w:r w:rsidR="005C5136" w:rsidRPr="002A677E">
              <w:rPr>
                <w:rFonts w:ascii="Times New Roman" w:hAnsi="Times New Roman"/>
                <w:sz w:val="24"/>
              </w:rPr>
              <w:t xml:space="preserve">reporting entity </w:t>
            </w:r>
            <w:r w:rsidRPr="002A677E">
              <w:rPr>
                <w:rFonts w:ascii="Times New Roman" w:hAnsi="Times New Roman"/>
                <w:sz w:val="24"/>
              </w:rPr>
              <w:t>risk weights its securitised exposures</w:t>
            </w:r>
            <w:r w:rsidR="006C5A49" w:rsidRPr="002A677E">
              <w:rPr>
                <w:rFonts w:ascii="Times New Roman" w:hAnsi="Times New Roman"/>
                <w:sz w:val="24"/>
              </w:rPr>
              <w:t>;</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Pr="002A677E">
              <w:rPr>
                <w:rFonts w:ascii="Times New Roman" w:hAnsi="Times New Roman"/>
                <w:sz w:val="24"/>
              </w:rPr>
              <w:t xml:space="preserve">or </w:t>
            </w:r>
            <w:r w:rsidR="001E0C80" w:rsidRPr="002A677E">
              <w:rPr>
                <w:rFonts w:ascii="Times New Roman" w:hAnsi="Times New Roman"/>
                <w:sz w:val="24"/>
              </w:rPr>
              <w:t xml:space="preserve">Article </w:t>
            </w:r>
            <w:r w:rsidRPr="002A677E">
              <w:rPr>
                <w:rFonts w:ascii="Times New Roman" w:hAnsi="Times New Roman"/>
                <w:sz w:val="24"/>
              </w:rPr>
              <w:t>245(2)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1E0C80" w:rsidRPr="002A677E">
              <w:rPr>
                <w:rFonts w:ascii="Times New Roman" w:hAnsi="Times New Roman"/>
                <w:sz w:val="24"/>
              </w:rPr>
              <w:t xml:space="preserve"> or Article 245(2)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1E0C80" w:rsidRPr="002A677E">
              <w:rPr>
                <w:rFonts w:ascii="Times New Roman" w:hAnsi="Times New Roman"/>
                <w:sz w:val="24"/>
              </w:rPr>
              <w:t xml:space="preserve"> or Article 245(3)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CF5957">
              <w:rPr>
                <w:rFonts w:ascii="Times New Roman" w:hAnsi="Times New Roman"/>
                <w:sz w:val="24"/>
              </w:rPr>
              <w:t>o</w:t>
            </w:r>
            <w:r w:rsidR="00E9217C" w:rsidRPr="001235ED">
              <w:rPr>
                <w:rFonts w:ascii="Times New Roman" w:hAnsi="Times New Roman"/>
                <w:sz w:val="24"/>
                <w:lang w:val="en-US"/>
              </w:rPr>
              <w:t>f Regulation (EU) No 575/2013</w:t>
            </w:r>
            <w:r w:rsidR="001E0C80" w:rsidRPr="002A677E">
              <w:rPr>
                <w:rFonts w:ascii="Times New Roman" w:hAnsi="Times New Roman"/>
                <w:sz w:val="24"/>
              </w:rPr>
              <w:t>;</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w:t>
            </w:r>
            <w:r w:rsidR="001E0C80"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xml:space="preserve">% RW or deducting retained positions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Article 244(1)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1E0C80" w:rsidRPr="002A677E">
              <w:rPr>
                <w:rFonts w:ascii="Times New Roman" w:hAnsi="Times New Roman"/>
                <w:sz w:val="24"/>
              </w:rPr>
              <w:t>or Article 245(1)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summariss whether </w:t>
            </w:r>
            <w:r w:rsidR="00882103" w:rsidRPr="002A677E">
              <w:rPr>
                <w:rFonts w:ascii="Times New Roman" w:hAnsi="Times New Roman"/>
                <w:sz w:val="24"/>
              </w:rPr>
              <w:t>a</w:t>
            </w:r>
            <w:r w:rsidRPr="002A677E">
              <w:rPr>
                <w:rFonts w:ascii="Times New Roman" w:hAnsi="Times New Roman"/>
                <w:sz w:val="24"/>
              </w:rPr>
              <w:t xml:space="preserve"> significant transfer</w:t>
            </w:r>
            <w:r w:rsidR="001E0C80" w:rsidRPr="002A677E">
              <w:rPr>
                <w:rFonts w:ascii="Times New Roman" w:hAnsi="Times New Roman"/>
                <w:sz w:val="24"/>
              </w:rPr>
              <w:t xml:space="preserve"> </w:t>
            </w:r>
            <w:r w:rsidR="00882103" w:rsidRPr="002A677E">
              <w:rPr>
                <w:rFonts w:ascii="Times New Roman" w:hAnsi="Times New Roman"/>
                <w:sz w:val="24"/>
              </w:rPr>
              <w:t xml:space="preserve">has been achieved </w:t>
            </w:r>
            <w:r w:rsidRPr="002A677E">
              <w:rPr>
                <w:rFonts w:ascii="Times New Roman" w:hAnsi="Times New Roman"/>
                <w:sz w:val="24"/>
              </w:rPr>
              <w:t>and</w:t>
            </w:r>
            <w:r w:rsidR="00882103" w:rsidRPr="002A677E">
              <w:rPr>
                <w:rFonts w:ascii="Times New Roman" w:hAnsi="Times New Roman"/>
                <w:sz w:val="24"/>
              </w:rPr>
              <w:t>, if so,</w:t>
            </w:r>
            <w:r w:rsidRPr="002A677E">
              <w:rPr>
                <w:rFonts w:ascii="Times New Roman" w:hAnsi="Times New Roman"/>
                <w:sz w:val="24"/>
              </w:rPr>
              <w:t xml:space="preserve"> by which </w:t>
            </w:r>
            <w:r w:rsidR="00882103" w:rsidRPr="002A677E">
              <w:rPr>
                <w:rFonts w:ascii="Times New Roman" w:hAnsi="Times New Roman"/>
                <w:sz w:val="24"/>
              </w:rPr>
              <w:t>means</w:t>
            </w:r>
            <w:r w:rsidRPr="002A677E">
              <w:rPr>
                <w:rFonts w:ascii="Times New Roman" w:hAnsi="Times New Roman"/>
                <w:sz w:val="24"/>
              </w:rPr>
              <w:t>. The achievement of SRT will determine the appropriate solvency treatment by the originator</w:t>
            </w:r>
            <w:r w:rsidR="005C5136" w:rsidRPr="002A677E">
              <w:rPr>
                <w:rFonts w:ascii="Times New Roman" w:hAnsi="Times New Roman"/>
                <w:sz w:val="24"/>
              </w:rPr>
              <w: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w:t>
            </w:r>
            <w:r w:rsidR="00C55547" w:rsidRPr="002A677E">
              <w:rPr>
                <w:rFonts w:ascii="Times New Roman" w:hAnsi="Times New Roman"/>
                <w:sz w:val="24"/>
              </w:rPr>
              <w:t xml:space="preserve"> </w:t>
            </w:r>
            <w:r w:rsidR="007F1970" w:rsidRPr="002A677E">
              <w:rPr>
                <w:rFonts w:ascii="Times New Roman" w:hAnsi="Times New Roman"/>
                <w:sz w:val="24"/>
              </w:rPr>
              <w:t xml:space="preserve">the </w:t>
            </w:r>
            <w:r w:rsidR="00C55547" w:rsidRPr="002A677E">
              <w:rPr>
                <w:rFonts w:ascii="Times New Roman" w:hAnsi="Times New Roman"/>
                <w:sz w:val="24"/>
              </w:rPr>
              <w:t xml:space="preserve">definition of ‘securitisation’ </w:t>
            </w:r>
            <w:r w:rsidR="007F1970" w:rsidRPr="002A677E">
              <w:rPr>
                <w:rFonts w:ascii="Times New Roman" w:hAnsi="Times New Roman"/>
                <w:sz w:val="24"/>
              </w:rPr>
              <w:t>in</w:t>
            </w:r>
            <w:r w:rsidR="00402284">
              <w:rPr>
                <w:rFonts w:ascii="Times New Roman" w:hAnsi="Times New Roman"/>
                <w:sz w:val="24"/>
              </w:rPr>
              <w:t xml:space="preserve"> </w:t>
            </w:r>
            <w:r w:rsidR="007F1970"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(61)</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w:t>
            </w:r>
            <w:r w:rsidR="00C55547" w:rsidRPr="002A677E">
              <w:rPr>
                <w:rFonts w:ascii="Times New Roman" w:hAnsi="Times New Roman"/>
                <w:sz w:val="24"/>
              </w:rPr>
              <w:t xml:space="preserve">and </w:t>
            </w:r>
            <w:r w:rsidR="007F1970" w:rsidRPr="002A677E">
              <w:rPr>
                <w:rFonts w:ascii="Times New Roman" w:hAnsi="Times New Roman"/>
                <w:sz w:val="24"/>
              </w:rPr>
              <w:t xml:space="preserve">the definition of </w:t>
            </w:r>
            <w:r w:rsidR="00C55547" w:rsidRPr="002A677E">
              <w:rPr>
                <w:rFonts w:ascii="Times New Roman" w:hAnsi="Times New Roman"/>
                <w:sz w:val="24"/>
              </w:rPr>
              <w:t xml:space="preserve">‘re-securitisation’ in </w:t>
            </w:r>
            <w:r w:rsidR="00247193"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the type of </w:t>
            </w:r>
            <w:r w:rsidR="006C5A49" w:rsidRPr="002A677E">
              <w:rPr>
                <w:rFonts w:ascii="Times New Roman" w:hAnsi="Times New Roman"/>
                <w:sz w:val="24"/>
              </w:rPr>
              <w:t xml:space="preserve">securitisation </w:t>
            </w:r>
            <w:r w:rsidR="00C55547" w:rsidRPr="002A677E">
              <w:rPr>
                <w:rFonts w:ascii="Times New Roman" w:hAnsi="Times New Roman"/>
                <w:sz w:val="24"/>
              </w:rPr>
              <w:t>using the following abbreviations</w:t>
            </w:r>
            <w:r w:rsidR="006C5A49" w:rsidRPr="002A677E">
              <w:rPr>
                <w:rFonts w:ascii="Times New Roman" w:hAnsi="Times New Roman"/>
                <w:sz w:val="24"/>
              </w:rPr>
              <w:t xml:space="preserve"> shall be reported</w:t>
            </w:r>
            <w:r w:rsidR="00C55547" w:rsidRPr="002A677E">
              <w:rPr>
                <w:rFonts w:ascii="Times New Roman" w:hAnsi="Times New Roman"/>
                <w:sz w:val="24"/>
              </w:rPr>
              <w:t>:</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Article 18 of Regulation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sidRPr="002A677E">
              <w:rPr>
                <w:rFonts w:ascii="Times New Roman" w:hAnsi="Times New Roman"/>
                <w:sz w:val="24"/>
              </w:rPr>
              <w:t>Institutions s</w:t>
            </w:r>
            <w:r w:rsidR="00837612" w:rsidRPr="002A677E">
              <w:rPr>
                <w:rFonts w:ascii="Times New Roman" w:hAnsi="Times New Roman"/>
                <w:sz w:val="24"/>
              </w:rPr>
              <w:t>hall r</w:t>
            </w:r>
            <w:r w:rsidR="00C55547" w:rsidRPr="002A677E">
              <w:rPr>
                <w:rFonts w:ascii="Times New Roman" w:hAnsi="Times New Roman"/>
                <w:sz w:val="24"/>
              </w:rPr>
              <w:t>eport one of the following abbreviations</w:t>
            </w:r>
            <w:r w:rsidRPr="002A677E">
              <w:rPr>
                <w:rFonts w:ascii="Times New Roman" w:hAnsi="Times New Roman"/>
                <w:sz w:val="24"/>
              </w:rPr>
              <w:t>:</w:t>
            </w:r>
          </w:p>
          <w:p w14:paraId="61E106B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 – Yes</w:t>
            </w:r>
            <w:r w:rsidR="00554261" w:rsidRPr="002A677E">
              <w:rPr>
                <w:rFonts w:ascii="Times New Roman" w:hAnsi="Times New Roman"/>
                <w:sz w:val="24"/>
              </w:rPr>
              <w:t>;</w:t>
            </w:r>
          </w:p>
          <w:p w14:paraId="10CB62B7"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N – No</w:t>
            </w:r>
            <w:r w:rsidR="00554261" w:rsidRPr="002A677E">
              <w:rPr>
                <w:rFonts w:ascii="Times New Roman" w:hAnsi="Times New Roman"/>
                <w:sz w:val="24"/>
              </w:rPr>
              <w:t>.</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C55547" w:rsidRPr="002A677E">
              <w:rPr>
                <w:rFonts w:ascii="Times New Roman" w:hAnsi="Times New Roman"/>
                <w:sz w:val="24"/>
              </w:rPr>
              <w:t>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sidRPr="002A677E">
              <w:rPr>
                <w:rFonts w:ascii="Times New Roman" w:hAnsi="Times New Roman"/>
                <w:sz w:val="24"/>
              </w:rPr>
              <w:t>Articles 243</w:t>
            </w:r>
            <w:r w:rsidR="00FC70BF" w:rsidRPr="002A677E">
              <w:rPr>
                <w:rFonts w:ascii="Times New Roman" w:hAnsi="Times New Roman"/>
                <w:sz w:val="24"/>
              </w:rPr>
              <w:t xml:space="preserve">, </w:t>
            </w:r>
            <w:r w:rsidRPr="002A677E">
              <w:rPr>
                <w:rFonts w:ascii="Times New Roman" w:hAnsi="Times New Roman"/>
                <w:sz w:val="24"/>
              </w:rPr>
              <w:t>270</w:t>
            </w:r>
            <w:r w:rsidR="00FC70BF" w:rsidRPr="002A677E">
              <w:rPr>
                <w:rFonts w:ascii="Times New Roman" w:hAnsi="Times New Roman"/>
                <w:sz w:val="24"/>
              </w:rPr>
              <w:t xml:space="preserve"> and 494c</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p>
          <w:p w14:paraId="67252912" w14:textId="77777777" w:rsidR="00C55547" w:rsidRPr="002A677E" w:rsidRDefault="00EE2BEA" w:rsidP="00E10B85">
            <w:pPr>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 abbreviations</w:t>
            </w:r>
            <w:r w:rsidR="00554261" w:rsidRPr="002A677E">
              <w:rPr>
                <w:rFonts w:ascii="Times New Roman" w:hAnsi="Times New Roman"/>
                <w:sz w:val="24"/>
              </w:rPr>
              <w:t>:</w:t>
            </w:r>
          </w:p>
          <w:p w14:paraId="17A5936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r w:rsidR="00554261" w:rsidRPr="002A677E">
              <w:rPr>
                <w:rFonts w:ascii="Times New Roman" w:hAnsi="Times New Roman"/>
                <w:sz w:val="24"/>
              </w:rPr>
              <w:t>;</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r w:rsidR="00554261" w:rsidRPr="002A677E">
              <w:rPr>
                <w:rFonts w:ascii="Times New Roman" w:hAnsi="Times New Roman"/>
                <w:sz w:val="24"/>
              </w:rPr>
              <w:t>.</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sidRPr="002A677E">
              <w:rPr>
                <w:rFonts w:ascii="Times New Roman" w:hAnsi="Times New Roman"/>
                <w:sz w:val="24"/>
              </w:rPr>
              <w:t xml:space="preserve">‘Yes’ shall be reported in </w:t>
            </w:r>
            <w:r w:rsidR="00FC70BF" w:rsidRPr="002A677E">
              <w:rPr>
                <w:rFonts w:ascii="Times New Roman" w:hAnsi="Times New Roman"/>
                <w:sz w:val="24"/>
              </w:rPr>
              <w:t xml:space="preserve">the following </w:t>
            </w:r>
            <w:r w:rsidRPr="002A677E">
              <w:rPr>
                <w:rFonts w:ascii="Times New Roman" w:hAnsi="Times New Roman"/>
                <w:sz w:val="24"/>
              </w:rPr>
              <w:t>case</w:t>
            </w:r>
            <w:r w:rsidR="00FC70BF" w:rsidRPr="002A677E">
              <w:rPr>
                <w:rFonts w:ascii="Times New Roman" w:hAnsi="Times New Roman"/>
                <w:sz w:val="24"/>
              </w:rPr>
              <w:t>s:</w:t>
            </w:r>
          </w:p>
          <w:p w14:paraId="0A85D908" w14:textId="0B178E13" w:rsidR="00FC70BF" w:rsidRPr="002A677E" w:rsidRDefault="00C55547"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00E9217C" w:rsidRPr="001235ED">
              <w:rPr>
                <w:rFonts w:ascii="Times New Roman" w:hAnsi="Times New Roman"/>
                <w:sz w:val="24"/>
                <w:lang w:val="en-US"/>
              </w:rPr>
              <w:t>of Regulation (EU) No 575/2013</w:t>
            </w:r>
            <w:r w:rsidRPr="001235ED">
              <w:rPr>
                <w:rFonts w:ascii="Times New Roman" w:hAnsi="Times New Roman"/>
                <w:sz w:val="24"/>
              </w:rPr>
              <w:t xml:space="preserve"> </w:t>
            </w:r>
          </w:p>
          <w:p w14:paraId="1434E575" w14:textId="183E21D8" w:rsidR="00FC70BF" w:rsidRPr="002A677E" w:rsidRDefault="00FC70BF"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lastRenderedPageBreak/>
              <w:t>S</w:t>
            </w:r>
            <w:r w:rsidR="00C55547" w:rsidRPr="001235ED">
              <w:rPr>
                <w:rFonts w:ascii="Times New Roman" w:hAnsi="Times New Roman"/>
                <w:sz w:val="24"/>
              </w:rPr>
              <w:t xml:space="preserve">enior positions in STS </w:t>
            </w:r>
            <w:r w:rsidR="009239A1" w:rsidRPr="001235ED">
              <w:rPr>
                <w:rFonts w:ascii="Times New Roman" w:hAnsi="Times New Roman"/>
                <w:sz w:val="24"/>
              </w:rPr>
              <w:t xml:space="preserve">on-balance sheet </w:t>
            </w:r>
            <w:r w:rsidR="00C55547" w:rsidRPr="001235ED">
              <w:rPr>
                <w:rFonts w:ascii="Times New Roman" w:hAnsi="Times New Roman"/>
                <w:sz w:val="24"/>
              </w:rPr>
              <w:t xml:space="preserve">securitisations eligible for this treatment in accordance with Article 270 </w:t>
            </w:r>
            <w:r w:rsidR="00E9217C" w:rsidRPr="001235ED">
              <w:rPr>
                <w:rFonts w:ascii="Times New Roman" w:hAnsi="Times New Roman"/>
                <w:sz w:val="24"/>
                <w:lang w:val="en-US"/>
              </w:rPr>
              <w:t>of Regulation (EU) No 575/2013</w:t>
            </w:r>
          </w:p>
          <w:p w14:paraId="6545768C" w14:textId="22A51C0F" w:rsidR="00C55547" w:rsidRPr="001235ED" w:rsidRDefault="00FC70BF"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00E9217C" w:rsidRPr="001235ED">
              <w:rPr>
                <w:rFonts w:ascii="Times New Roman" w:hAnsi="Times New Roman"/>
                <w:sz w:val="24"/>
                <w:lang w:val="en-US"/>
              </w:rPr>
              <w:t>of Regulation (EU) No 575/2013</w:t>
            </w:r>
            <w:r w:rsidR="00C55547" w:rsidRPr="001235ED">
              <w:rPr>
                <w:rFonts w:ascii="Times New Roman" w:hAnsi="Times New Roman"/>
                <w:sz w:val="24"/>
              </w:rPr>
              <w:t>.</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sidRPr="00BF7347">
              <w:rPr>
                <w:rFonts w:ascii="Times New Roman" w:hAnsi="Times New Roman"/>
                <w:b/>
                <w:sz w:val="24"/>
                <w:u w:val="single"/>
              </w:rPr>
              <w:t>T</w:t>
            </w:r>
            <w:r w:rsidR="00B15F2D" w:rsidRPr="001235ED">
              <w:rPr>
                <w:rFonts w:ascii="Times New Roman" w:hAnsi="Times New Roman"/>
                <w:b/>
                <w:sz w:val="24"/>
                <w:u w:val="single"/>
              </w:rPr>
              <w:t>YPE OF</w:t>
            </w:r>
            <w:r>
              <w:rPr>
                <w:rFonts w:ascii="Times New Roman" w:hAnsi="Times New Roman"/>
                <w:b/>
                <w:sz w:val="24"/>
                <w:u w:val="single"/>
              </w:rPr>
              <w:t xml:space="preserve"> </w:t>
            </w:r>
            <w:r w:rsidR="00826E25" w:rsidRPr="002A677E">
              <w:rPr>
                <w:rFonts w:ascii="Times New Roman" w:hAnsi="Times New Roman"/>
                <w:b/>
                <w:sz w:val="24"/>
                <w:u w:val="single"/>
              </w:rPr>
              <w:t>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Article 2</w:t>
            </w:r>
            <w:r w:rsidR="00CE2A31">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00EC153B" w:rsidRPr="009C43C7">
              <w:rPr>
                <w:rFonts w:ascii="Times New Roman" w:hAnsi="Times New Roman"/>
                <w:sz w:val="24"/>
              </w:rPr>
              <w:t>9</w:t>
            </w:r>
            <w:r w:rsidRPr="002A677E">
              <w:rPr>
                <w:rFonts w:ascii="Times New Roman" w:hAnsi="Times New Roman"/>
                <w:sz w:val="24"/>
              </w:rPr>
              <w:t xml:space="preserve">) of Regulation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0BEB12E" w14:textId="5A1149B3" w:rsidR="00826E25" w:rsidRPr="002A677E" w:rsidRDefault="00826E25"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No excess spread</w:t>
            </w:r>
          </w:p>
          <w:p w14:paraId="2E9FE1BE" w14:textId="2418713E"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mechanism</w:t>
            </w:r>
          </w:p>
          <w:p w14:paraId="46A3FA0F" w14:textId="694FFA2B"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CE2A31">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CE2A31">
              <w:rPr>
                <w:rFonts w:ascii="Times New Roman" w:hAnsi="Times New Roman"/>
                <w:sz w:val="24"/>
              </w:rPr>
              <w:t xml:space="preserve"> mechanism</w:t>
            </w:r>
          </w:p>
          <w:p w14:paraId="1BBCF418" w14:textId="3C3D28DA"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ariable amount</w:t>
            </w:r>
            <w:r w:rsidR="00884384">
              <w:rPr>
                <w:rFonts w:ascii="Times New Roman" w:hAnsi="Times New Roman"/>
                <w:sz w:val="24"/>
              </w:rPr>
              <w:t xml:space="preserve">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w:t>
            </w:r>
          </w:p>
          <w:p w14:paraId="0A52D195" w14:textId="0369ABE8"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 xml:space="preserve">ariable amount </w:t>
            </w:r>
            <w:r w:rsidR="001102E5">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1102E5">
              <w:rPr>
                <w:rFonts w:ascii="Times New Roman" w:hAnsi="Times New Roman"/>
                <w:sz w:val="24"/>
              </w:rPr>
              <w:t xml:space="preserve"> mechanism</w:t>
            </w:r>
            <w:r w:rsidR="00826E25" w:rsidRPr="002A677E">
              <w:rPr>
                <w:rFonts w:ascii="Times New Roman" w:hAnsi="Times New Roman"/>
                <w:sz w:val="24"/>
              </w:rPr>
              <w: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297FC4D" w14:textId="3F6BDE08"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Sequential</w:t>
            </w:r>
            <w:r w:rsidR="00922B19">
              <w:rPr>
                <w:rFonts w:ascii="Times New Roman" w:hAnsi="Times New Roman"/>
                <w:sz w:val="24"/>
              </w:rPr>
              <w:t xml:space="preserve"> amortisation</w:t>
            </w:r>
          </w:p>
          <w:p w14:paraId="1BB6CD33" w14:textId="0993E469"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Pro-rata</w:t>
            </w:r>
            <w:r w:rsidR="00922B19">
              <w:rPr>
                <w:rFonts w:ascii="Times New Roman" w:hAnsi="Times New Roman"/>
                <w:sz w:val="24"/>
              </w:rPr>
              <w:t xml:space="preserve"> amortisation</w:t>
            </w:r>
          </w:p>
          <w:p w14:paraId="20A064B5" w14:textId="7C7E9D06"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Compliant with</w:t>
            </w:r>
            <w:r w:rsidR="002D318D">
              <w:rPr>
                <w:rFonts w:ascii="Times New Roman" w:hAnsi="Times New Roman"/>
                <w:sz w:val="24"/>
              </w:rPr>
              <w:t xml:space="preserve"> STS criteria for on-balance sheet securitisations </w:t>
            </w:r>
            <w:r w:rsidR="00B15F2D">
              <w:rPr>
                <w:rFonts w:ascii="Times New Roman" w:hAnsi="Times New Roman"/>
                <w:sz w:val="24"/>
              </w:rPr>
              <w:br/>
            </w:r>
            <w:r w:rsidR="002D318D">
              <w:rPr>
                <w:rFonts w:ascii="Times New Roman" w:hAnsi="Times New Roman"/>
                <w:sz w:val="24"/>
              </w:rPr>
              <w:t>(</w:t>
            </w:r>
            <w:r w:rsidRPr="002A677E">
              <w:rPr>
                <w:rFonts w:ascii="Times New Roman" w:hAnsi="Times New Roman"/>
                <w:sz w:val="24"/>
              </w:rPr>
              <w:t xml:space="preserve">Article 26c (5) </w:t>
            </w:r>
            <w:r w:rsidR="000A6BBC" w:rsidRPr="002A677E">
              <w:rPr>
                <w:rFonts w:ascii="Times New Roman" w:hAnsi="Times New Roman"/>
                <w:sz w:val="24"/>
              </w:rPr>
              <w:t>of Regulation (EU) 2017/2402</w:t>
            </w:r>
            <w:r w:rsidR="002D318D">
              <w:rPr>
                <w:rFonts w:ascii="Times New Roman" w:hAnsi="Times New Roman"/>
                <w:sz w:val="24"/>
              </w:rPr>
              <w:t>)</w:t>
            </w:r>
            <w:r w:rsidRPr="002A677E">
              <w:rPr>
                <w:rFonts w:ascii="Times New Roman" w:hAnsi="Times New Roman"/>
                <w:sz w:val="24"/>
              </w:rPr>
              <w:t xml:space="preserve">. </w:t>
            </w:r>
          </w:p>
          <w:p w14:paraId="44442548" w14:textId="34FB5C22" w:rsidR="007421F4" w:rsidRPr="0052508A"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002D318D" w:rsidRPr="000D3222">
              <w:rPr>
                <w:rFonts w:ascii="Times New Roman" w:hAnsi="Times New Roman"/>
                <w:sz w:val="24"/>
              </w:rPr>
              <w:t xml:space="preserve"> </w:t>
            </w:r>
            <w:r w:rsidR="00BF7347" w:rsidRPr="000D3222">
              <w:rPr>
                <w:rFonts w:ascii="Times New Roman" w:hAnsi="Times New Roman"/>
                <w:sz w:val="24"/>
              </w:rPr>
              <w:br/>
            </w:r>
            <w:r w:rsidR="002D318D" w:rsidRPr="000D3222">
              <w:rPr>
                <w:rFonts w:ascii="Times New Roman" w:hAnsi="Times New Roman"/>
                <w:sz w:val="24"/>
              </w:rPr>
              <w:t>(Guidelines on STS criteria for non-ABCP transactions</w:t>
            </w:r>
            <w:r w:rsidR="00922B19" w:rsidRPr="0052508A">
              <w:rPr>
                <w:rFonts w:ascii="Times New Roman" w:hAnsi="Times New Roman"/>
                <w:sz w:val="24"/>
              </w:rPr>
              <w:t xml:space="preserve"> </w:t>
            </w:r>
            <w:r w:rsidRPr="0052508A">
              <w:rPr>
                <w:rFonts w:ascii="Times New Roman" w:hAnsi="Times New Roman"/>
                <w:sz w:val="24"/>
              </w:rPr>
              <w:t>and Art</w:t>
            </w:r>
            <w:r w:rsidR="00922B19" w:rsidRPr="000D3222">
              <w:rPr>
                <w:rFonts w:ascii="Times New Roman" w:hAnsi="Times New Roman"/>
                <w:sz w:val="24"/>
              </w:rPr>
              <w:t>icle</w:t>
            </w:r>
            <w:r w:rsidRPr="000D3222">
              <w:rPr>
                <w:rFonts w:ascii="Times New Roman" w:hAnsi="Times New Roman"/>
                <w:sz w:val="24"/>
              </w:rPr>
              <w:t xml:space="preserve"> 21 (5) </w:t>
            </w:r>
            <w:r w:rsidR="000A6BBC" w:rsidRPr="000D3222">
              <w:rPr>
                <w:rFonts w:ascii="Times New Roman" w:hAnsi="Times New Roman"/>
                <w:sz w:val="24"/>
              </w:rPr>
              <w:t>of Regulation (EU) 2017/2402</w:t>
            </w:r>
          </w:p>
          <w:p w14:paraId="05571779" w14:textId="0EBF6A28"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Not compliant</w:t>
            </w:r>
          </w:p>
          <w:p w14:paraId="248D25E9" w14:textId="264A3114" w:rsidR="007421F4" w:rsidRPr="001235ED" w:rsidRDefault="007421F4" w:rsidP="001435E2">
            <w:pPr>
              <w:numPr>
                <w:ilvl w:val="0"/>
                <w:numId w:val="34"/>
              </w:numPr>
              <w:spacing w:before="0" w:after="0"/>
              <w:jc w:val="left"/>
              <w:rPr>
                <w:rFonts w:ascii="Times New Roman" w:hAnsi="Times New Roman"/>
                <w:b/>
                <w:sz w:val="24"/>
                <w:u w:val="single"/>
              </w:rPr>
            </w:pPr>
            <w:r w:rsidRPr="002A677E">
              <w:rPr>
                <w:rFonts w:ascii="Times New Roman" w:hAnsi="Times New Roman"/>
                <w:sz w:val="24"/>
              </w:rPr>
              <w:t>Other</w:t>
            </w:r>
            <w:r w:rsidR="00922B19">
              <w:rPr>
                <w:rFonts w:ascii="Times New Roman" w:hAnsi="Times New Roman"/>
                <w:sz w:val="24"/>
              </w:rPr>
              <w:t xml:space="preserve"> amortisation 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Article 26e of Regulation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1EC5B888" w14:textId="77777777" w:rsidR="00D5668A" w:rsidRPr="002A677E" w:rsidRDefault="00D5668A" w:rsidP="00D5668A"/>
          <w:p w14:paraId="22450011" w14:textId="487F0151"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C204AAA" w14:textId="4B625744"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DDD4855" w14:textId="2BA07ACE"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Collateral in the form of cash on deposit with the originator, or one of its affiliates, if the originator or one of its affiliates qualifies as a </w:t>
            </w:r>
            <w:r w:rsidRPr="001235ED">
              <w:rPr>
                <w:rFonts w:ascii="Times New Roman" w:hAnsi="Times New Roman"/>
                <w:sz w:val="24"/>
              </w:rPr>
              <w:lastRenderedPageBreak/>
              <w:t>minimum for credit quality step 2</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second subparagraph </w:t>
            </w:r>
            <w:r w:rsidR="00BC7E64" w:rsidRPr="002A677E">
              <w:rPr>
                <w:rFonts w:ascii="Times New Roman" w:hAnsi="Times New Roman"/>
                <w:sz w:val="24"/>
              </w:rPr>
              <w:t>of Regulation (EU) 2017/2402</w:t>
            </w:r>
          </w:p>
          <w:p w14:paraId="7D2C9FEB" w14:textId="24839752"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w:t>
            </w:r>
            <w:r w:rsidRPr="001235ED">
              <w:rPr>
                <w:rFonts w:ascii="Times New Roman" w:hAnsi="Times New Roman"/>
                <w:sz w:val="24"/>
              </w:rPr>
              <w:t xml:space="preserve"> third subparagraph </w:t>
            </w:r>
            <w:r w:rsidR="00BC7E64" w:rsidRPr="002A677E">
              <w:rPr>
                <w:rFonts w:ascii="Times New Roman" w:hAnsi="Times New Roman"/>
                <w:sz w:val="24"/>
              </w:rPr>
              <w:t>of Regulation (EU) 2017/2402</w:t>
            </w:r>
          </w:p>
          <w:p w14:paraId="33FFFFAB" w14:textId="32B64F5D"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fourth subparagraph </w:t>
            </w:r>
            <w:r w:rsidR="00BC7E64" w:rsidRPr="002A677E">
              <w:rPr>
                <w:rFonts w:ascii="Times New Roman" w:hAnsi="Times New Roman"/>
                <w:sz w:val="24"/>
              </w:rPr>
              <w:t>of Regulation (EU) 2017/2402</w:t>
            </w:r>
          </w:p>
          <w:p w14:paraId="7F00225A" w14:textId="6B29D94F"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qualifies for a 0</w:t>
            </w:r>
            <w:r w:rsidR="00B856D5">
              <w:t> </w:t>
            </w:r>
            <w:r w:rsidRPr="001235ED">
              <w:rPr>
                <w:rFonts w:ascii="Times New Roman" w:hAnsi="Times New Roman"/>
                <w:sz w:val="24"/>
              </w:rPr>
              <w:t>% RW</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332D1BA" w14:textId="3F82A502"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benefits from a counter-guarantee of an entity that qualifies for a 0</w:t>
            </w:r>
            <w:r w:rsidR="00B856D5">
              <w:t> </w:t>
            </w:r>
            <w:r w:rsidRPr="001235ED">
              <w:rPr>
                <w:rFonts w:ascii="Times New Roman" w:hAnsi="Times New Roman"/>
                <w:sz w:val="24"/>
              </w:rPr>
              <w:t>% RW</w:t>
            </w:r>
            <w:r w:rsidR="008122CC">
              <w:rPr>
                <w:rFonts w:ascii="Times New Roman" w:hAnsi="Times New Roman"/>
                <w:sz w:val="24"/>
              </w:rPr>
              <w:br/>
            </w:r>
            <w:r w:rsidRPr="001235ED">
              <w:rPr>
                <w:rFonts w:ascii="Times New Roman" w:hAnsi="Times New Roman"/>
                <w:sz w:val="24"/>
              </w:rPr>
              <w:t>Art</w:t>
            </w:r>
            <w:r w:rsidR="008122C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8122C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FA4B04E" w14:textId="6D90FDB7"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of Regulation (EU) 2017/2402</w:t>
            </w:r>
            <w:r w:rsidRPr="001235ED">
              <w:rPr>
                <w:rFonts w:ascii="Times New Roman" w:hAnsi="Times New Roman"/>
                <w:sz w:val="24"/>
              </w:rPr>
              <w:t xml:space="preserve"> </w:t>
            </w:r>
          </w:p>
          <w:p w14:paraId="3C0C4ABF" w14:textId="13FB9243"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cash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 xml:space="preserve">of </w:t>
            </w:r>
            <w:r w:rsidR="00BC7E64" w:rsidRPr="000D3222">
              <w:rPr>
                <w:rFonts w:ascii="Times New Roman" w:hAnsi="Times New Roman"/>
                <w:sz w:val="24"/>
              </w:rPr>
              <w:t>Regulation (EU) 2017/2402</w:t>
            </w:r>
            <w:r w:rsidRPr="001235ED">
              <w:rPr>
                <w:rFonts w:ascii="Times New Roman" w:hAnsi="Times New Roman"/>
                <w:sz w:val="24"/>
              </w:rPr>
              <w:t xml:space="preserve"> </w:t>
            </w:r>
          </w:p>
          <w:p w14:paraId="7F664E2F" w14:textId="4F64E22D"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7A0CE8" w:rsidRPr="001235ED">
              <w:rPr>
                <w:rFonts w:ascii="Times New Roman" w:hAnsi="Times New Roman"/>
                <w:sz w:val="24"/>
              </w:rPr>
              <w:t>, not compliant with STS criteria for on-balance sheet securitisation</w:t>
            </w:r>
            <w:r w:rsidR="007A0CE8" w:rsidRPr="001235ED">
              <w:rPr>
                <w:rFonts w:ascii="Times New Roman" w:hAnsi="Times New Roman"/>
                <w:sz w:val="24"/>
              </w:rPr>
              <w:br/>
              <w:t>C</w:t>
            </w:r>
            <w:r w:rsidRPr="001235ED">
              <w:rPr>
                <w:rFonts w:ascii="Times New Roman" w:hAnsi="Times New Roman"/>
                <w:sz w:val="24"/>
              </w:rPr>
              <w:t xml:space="preserve">ases different </w:t>
            </w:r>
            <w:r w:rsidR="00BF7347" w:rsidRPr="001235ED">
              <w:rPr>
                <w:rFonts w:ascii="Times New Roman" w:hAnsi="Times New Roman"/>
                <w:sz w:val="24"/>
              </w:rPr>
              <w:t xml:space="preserve">from those where there is no collateral, but </w:t>
            </w:r>
            <w:r w:rsidR="00BF7347" w:rsidRPr="000D3222">
              <w:rPr>
                <w:rFonts w:ascii="Times New Roman" w:hAnsi="Times New Roman"/>
                <w:sz w:val="24"/>
              </w:rPr>
              <w:t>the investor qualifies for a 0</w:t>
            </w:r>
            <w:r w:rsidR="00B856D5">
              <w:t> </w:t>
            </w:r>
            <w:r w:rsidR="00BF7347" w:rsidRPr="000D3222">
              <w:rPr>
                <w:rFonts w:ascii="Times New Roman" w:hAnsi="Times New Roman"/>
                <w:sz w:val="24"/>
              </w:rPr>
              <w:t xml:space="preserve">% RW or </w:t>
            </w:r>
            <w:r w:rsidR="00BF7347" w:rsidRPr="001235ED">
              <w:rPr>
                <w:rFonts w:ascii="Times New Roman" w:hAnsi="Times New Roman"/>
                <w:sz w:val="24"/>
              </w:rPr>
              <w:t>benefits from a counter-guarantee of an entity that qualifies for a 0</w:t>
            </w:r>
            <w:r w:rsidR="00B856D5">
              <w:t> </w:t>
            </w:r>
            <w:r w:rsidR="00BF7347" w:rsidRPr="001235ED">
              <w:rPr>
                <w:rFonts w:ascii="Times New Roman" w:hAnsi="Times New Roman"/>
                <w:sz w:val="24"/>
              </w:rPr>
              <w:t>% RW</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sidR="00951204">
              <w:rPr>
                <w:rFonts w:ascii="Times New Roman" w:hAnsi="Times New Roman"/>
                <w:sz w:val="24"/>
              </w:rPr>
              <w:t xml:space="preserve"> transaction</w:t>
            </w:r>
            <w:r w:rsidRPr="002A677E">
              <w:rPr>
                <w:rFonts w:ascii="Times New Roman" w:hAnsi="Times New Roman"/>
                <w:sz w:val="24"/>
              </w:rPr>
              <w:t>’.</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b/>
                <w:sz w:val="24"/>
                <w:u w:val="single"/>
              </w:rPr>
              <w:t>RETENTION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00E9217C"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sidR="00B856D5">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sidR="00B856D5">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sidRPr="002A677E">
              <w:rPr>
                <w:rFonts w:ascii="Times New Roman" w:hAnsi="Times New Roman"/>
                <w:sz w:val="24"/>
              </w:rPr>
              <w:lastRenderedPageBreak/>
              <w:t>B - Revolving exposures: ”</w:t>
            </w:r>
            <w:r w:rsidRPr="002A677E">
              <w:rPr>
                <w:rFonts w:ascii="Times New Roman" w:hAnsi="Times New Roman"/>
                <w:i/>
                <w:sz w:val="24"/>
              </w:rPr>
              <w:t>in the case of securitisations of revolving exposures, retention of the originator’s interest of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sidR="00B856D5">
              <w:rPr>
                <w:rFonts w:ascii="Times New Roman" w:hAnsi="Times New Roman"/>
                <w:i/>
                <w:sz w:val="24"/>
              </w:rPr>
              <w:t xml:space="preserve"> </w:t>
            </w:r>
            <w:r w:rsidRPr="002A677E">
              <w:rPr>
                <w:rFonts w:ascii="Times New Roman" w:hAnsi="Times New Roman"/>
                <w:i/>
                <w:sz w:val="24"/>
              </w:rPr>
              <w:t>%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sidR="00B856D5">
              <w:rPr>
                <w:rFonts w:ascii="Times New Roman" w:hAnsi="Times New Roman"/>
                <w:sz w:val="24"/>
              </w:rPr>
              <w:t xml:space="preserve"> </w:t>
            </w:r>
            <w:r w:rsidRPr="002A677E">
              <w:rPr>
                <w:rFonts w:ascii="Times New Roman" w:hAnsi="Times New Roman"/>
                <w:sz w:val="24"/>
              </w:rPr>
              <w:t>% (at origination date).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 xml:space="preserve">This column shall not be reported where code ‘E’ (exempted) </w:t>
            </w:r>
            <w:r w:rsidR="00471159" w:rsidRPr="002A677E">
              <w:rPr>
                <w:rFonts w:ascii="Times New Roman" w:hAnsi="Times New Roman"/>
                <w:sz w:val="24"/>
                <w:lang w:eastAsia="es-ES_tradnl"/>
              </w:rPr>
              <w:t>is</w:t>
            </w:r>
            <w:r w:rsidR="00402284">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00E9217C"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sidRPr="002A677E">
              <w:rPr>
                <w:rFonts w:ascii="Times New Roman" w:hAnsi="Times New Roman"/>
                <w:b/>
                <w:sz w:val="24"/>
              </w:rPr>
              <w:t>ORIGINATION DATE (yyyy-mm-dd)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month and year of the origination date (i.e. cut-off or closing date of the pool) of the securitisation shall be reported in the following format: ‘mm/yyyy’.</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Institutions shall report the value of the securitised portfolio at reporting date, i.e. the outstanding amount of the securitised exposures. In the case of traditional securitisations, no other assets of the securitisation pool shall be included. In the </w:t>
            </w:r>
            <w:r w:rsidRPr="002A677E">
              <w:rPr>
                <w:rFonts w:ascii="Times New Roman" w:hAnsi="Times New Roman"/>
                <w:sz w:val="24"/>
              </w:rPr>
              <w:lastRenderedPageBreak/>
              <w:t>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rsidR="00B856D5">
              <w:t> </w:t>
            </w:r>
            <w:r w:rsidRPr="002A677E">
              <w:rPr>
                <w:rFonts w:ascii="Times New Roman" w:hAnsi="Times New Roman"/>
                <w:sz w:val="24"/>
              </w:rPr>
              <w:t>%, except for multi-seller securitisation schemes. In that case, the reporting entity shall report its current contribution to the securitised portfolio (equivalent to column 0140 in relative terms).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Other wholesale exposures.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5D86D8FA" w14:textId="57ED8409" w:rsidR="007421F4"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For securitisation schemes backed by closed pools the type cannot change between reporting dates.</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w:t>
            </w:r>
            <w:r w:rsidR="00B83DDE">
              <w:rPr>
                <w:rFonts w:ascii="Times New Roman" w:hAnsi="Times New Roman"/>
                <w:sz w:val="24"/>
              </w:rPr>
              <w:t>, p</w:t>
            </w:r>
            <w:r w:rsidR="007038D5">
              <w:rPr>
                <w:rFonts w:ascii="Times New Roman" w:hAnsi="Times New Roman"/>
                <w:sz w:val="24"/>
              </w:rPr>
              <w:t>oint</w:t>
            </w:r>
            <w:r>
              <w:rPr>
                <w:rFonts w:ascii="Times New Roman" w:hAnsi="Times New Roman"/>
                <w:sz w:val="24"/>
              </w:rPr>
              <w:t xml:space="preserve"> (b)</w:t>
            </w:r>
            <w:r w:rsidR="00BE1277">
              <w:rPr>
                <w:rFonts w:ascii="Times New Roman" w:hAnsi="Times New Roman"/>
                <w:sz w:val="24"/>
              </w:rPr>
              <w:t>,</w:t>
            </w:r>
            <w:r w:rsidR="007038D5">
              <w:rPr>
                <w:rFonts w:ascii="Times New Roman" w:hAnsi="Times New Roman"/>
                <w:sz w:val="24"/>
              </w:rPr>
              <w:t xml:space="preserve"> of </w:t>
            </w:r>
            <w:r>
              <w:rPr>
                <w:rFonts w:ascii="Times New Roman" w:hAnsi="Times New Roman"/>
                <w:sz w:val="24"/>
              </w:rPr>
              <w:t>section 3.2.1 of this annex).</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00E9217C" w:rsidRPr="001235ED">
              <w:rPr>
                <w:rFonts w:ascii="Times New Roman" w:hAnsi="Times New Roman"/>
                <w:sz w:val="24"/>
                <w:lang w:val="en-US"/>
              </w:rPr>
              <w:t>of Regulation (EU) No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sidR="00B856D5">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Article 261(2) </w:t>
            </w:r>
            <w:r w:rsidR="00E9217C" w:rsidRPr="001235ED">
              <w:rPr>
                <w:rFonts w:ascii="Times New Roman" w:hAnsi="Times New Roman"/>
                <w:sz w:val="24"/>
                <w:lang w:val="en-US"/>
              </w:rPr>
              <w:t>of Regulation (EU) No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expected loss (EL)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00E9217C" w:rsidRPr="001235ED">
              <w:rPr>
                <w:rFonts w:ascii="Times New Roman" w:hAnsi="Times New Roman"/>
                <w:sz w:val="24"/>
                <w:lang w:val="en-US"/>
              </w:rPr>
              <w:t>of Regulation (EU) No 575/2013</w:t>
            </w:r>
            <w:r w:rsidRPr="002A677E">
              <w:rPr>
                <w:rFonts w:ascii="Times New Roman" w:hAnsi="Times New Roman"/>
                <w:sz w:val="24"/>
              </w:rPr>
              <w:t>. The EL shall be calculated as indicated in Part Three</w:t>
            </w:r>
            <w:r w:rsidR="00E9217C" w:rsidRPr="002A677E">
              <w:rPr>
                <w:rFonts w:ascii="Times New Roman" w:hAnsi="Times New Roman"/>
                <w:sz w:val="24"/>
              </w:rPr>
              <w:t xml:space="preserve">, Title II, Chapter 3, Section 3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sidR="00B856D5">
              <w:rPr>
                <w:rFonts w:ascii="Times New Roman" w:hAnsi="Times New Roman"/>
                <w:sz w:val="24"/>
              </w:rPr>
              <w:t xml:space="preserve"> </w:t>
            </w:r>
            <w:r w:rsidRPr="002A677E">
              <w:rPr>
                <w:rFonts w:ascii="Times New Roman" w:hAnsi="Times New Roman"/>
                <w:sz w:val="24"/>
              </w:rPr>
              <w:t xml:space="preserve">%. RWEA shall be calculated as indicated in </w:t>
            </w:r>
            <w:r w:rsidR="00E9217C" w:rsidRPr="002A677E">
              <w:rPr>
                <w:rFonts w:ascii="Times New Roman" w:hAnsi="Times New Roman"/>
                <w:sz w:val="24"/>
              </w:rPr>
              <w:t xml:space="preserve">Part Three, Title II, Chapter 3, Section 2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sidR="00402284">
              <w:rPr>
                <w:rFonts w:ascii="Times New Roman" w:hAnsi="Times New Roman"/>
                <w:sz w:val="24"/>
              </w:rPr>
              <w:t xml:space="preserve"> </w:t>
            </w:r>
            <w:r w:rsidRPr="002A677E">
              <w:rPr>
                <w:rFonts w:ascii="Times New Roman" w:hAnsi="Times New Roman"/>
                <w:sz w:val="24"/>
              </w:rPr>
              <w:t>Article 162(2)</w:t>
            </w:r>
            <w:r w:rsidR="00B83DDE">
              <w:rPr>
                <w:rFonts w:ascii="Times New Roman" w:hAnsi="Times New Roman"/>
                <w:sz w:val="24"/>
              </w:rPr>
              <w:t>, p</w:t>
            </w:r>
            <w:r w:rsidR="00945ED3" w:rsidRPr="002A677E">
              <w:rPr>
                <w:rFonts w:ascii="Times New Roman" w:hAnsi="Times New Roman"/>
                <w:sz w:val="24"/>
              </w:rPr>
              <w:t>oints (a) and (f)</w:t>
            </w:r>
            <w:r w:rsidR="002E7287">
              <w:rPr>
                <w:rFonts w:ascii="Times New Roman" w:hAnsi="Times New Roman"/>
                <w:sz w:val="24"/>
              </w:rPr>
              <w:t>,</w:t>
            </w:r>
            <w:r w:rsidR="00945ED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00E9217C"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w:t>
            </w:r>
            <w:r w:rsidRPr="002A677E">
              <w:rPr>
                <w:rFonts w:ascii="Times New Roman" w:hAnsi="Times New Roman"/>
                <w:sz w:val="24"/>
              </w:rPr>
              <w:lastRenderedPageBreak/>
              <w:t xml:space="preserve">of financial assets measured at fair value that shall not be deducted from the exposure value) plus the discounts on assets purchased when in default as referred to in Article 166(1) </w:t>
            </w:r>
            <w:r w:rsidR="00E9217C"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00E9217C"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00E9217C"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Section 3 </w:t>
            </w:r>
            <w:r w:rsidR="00E9217C"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00215CD7" w:rsidRPr="001235ED">
              <w:rPr>
                <w:rFonts w:ascii="Times New Roman" w:hAnsi="Times New Roman"/>
                <w:sz w:val="24"/>
                <w:lang w:val="en-US"/>
              </w:rPr>
              <w:t>of Regulation (EU) No 575/2013</w:t>
            </w:r>
            <w:r w:rsidRPr="002A677E">
              <w:rPr>
                <w:rFonts w:ascii="Times New Roman" w:hAnsi="Times New Roman"/>
                <w:sz w:val="24"/>
              </w:rPr>
              <w:t xml:space="preserv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00215CD7"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007421F4" w:rsidRPr="002A677E">
              <w:rPr>
                <w:rFonts w:ascii="Times New Roman" w:hAnsi="Times New Roman"/>
                <w:b/>
                <w:sz w:val="24"/>
                <w:u w:val="single"/>
              </w:rPr>
              <w:t xml:space="preserve">CREDIT RISK ADJUSTMENTS DURING THE CURRENT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00215CD7" w:rsidRPr="001235ED">
              <w:rPr>
                <w:rFonts w:ascii="Times New Roman" w:hAnsi="Times New Roman"/>
                <w:sz w:val="24"/>
                <w:lang w:val="en-US"/>
              </w:rPr>
              <w:t>of Regulation (EU) No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block of columns gathers information on the structure of the securitisation on the basis of on/off balance sheet positions, tranches (senior/mezzanine/ first loss) and maturity at reporting date.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0230-025</w:t>
            </w:r>
            <w:r w:rsidR="00B734C4">
              <w:rPr>
                <w:rFonts w:ascii="Times New Roman" w:hAnsi="Times New Roman"/>
                <w:sz w:val="24"/>
              </w:rPr>
              <w:t>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00215CD7" w:rsidRPr="001235ED">
              <w:rPr>
                <w:rFonts w:ascii="Times New Roman" w:hAnsi="Times New Roman"/>
                <w:sz w:val="24"/>
                <w:lang w:val="en-US"/>
              </w:rPr>
              <w:t>of Regulation (EU) No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Credit quality steps (CQS) as envisaged for institutions applying SEC-ERBA (Article 263</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 1 and 2 </w:t>
            </w:r>
            <w:r w:rsidRPr="002A677E">
              <w:rPr>
                <w:rFonts w:ascii="Times New Roman" w:hAnsi="Times New Roman"/>
                <w:sz w:val="24"/>
                <w:lang w:eastAsia="es-ES_tradnl"/>
              </w:rPr>
              <w:t>and Article 264</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Tables 3 and 4 </w:t>
            </w:r>
            <w:r w:rsidR="00215CD7"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109FB3F3" w14:textId="05C6C032" w:rsidR="007421F4" w:rsidRPr="002A677E" w:rsidRDefault="007421F4" w:rsidP="001435E2">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9C73862" w14:textId="34C7EB59" w:rsidR="007421F4" w:rsidRPr="002A677E" w:rsidRDefault="007421F4" w:rsidP="001435E2">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Number of mezzanine 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sidR="00080DDC">
              <w:rPr>
                <w:rFonts w:ascii="Times New Roman" w:hAnsi="Times New Roman"/>
                <w:b/>
                <w:sz w:val="24"/>
                <w:u w:val="single"/>
              </w:rPr>
              <w:t>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CQS, as determined in accordance with Article 263</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2 </w:t>
            </w:r>
            <w:r w:rsidRPr="002A677E">
              <w:rPr>
                <w:rFonts w:ascii="Times New Roman" w:hAnsi="Times New Roman"/>
                <w:sz w:val="24"/>
              </w:rPr>
              <w:t>and Article 264</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3 </w:t>
            </w:r>
            <w:r w:rsidR="00215CD7"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00215CD7" w:rsidRPr="001235ED">
              <w:rPr>
                <w:rFonts w:ascii="Times New Roman" w:hAnsi="Times New Roman"/>
                <w:sz w:val="24"/>
                <w:lang w:val="en-US"/>
              </w:rPr>
              <w:t>of Regulation (EU) No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00215CD7" w:rsidRPr="001235ED">
              <w:rPr>
                <w:rFonts w:ascii="Times New Roman" w:hAnsi="Times New Roman"/>
                <w:sz w:val="24"/>
                <w:lang w:val="en-US"/>
              </w:rPr>
              <w:t>of Regulation (EU) No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r w:rsidRPr="002A677E">
              <w:rPr>
                <w:rFonts w:ascii="Times New Roman" w:hAnsi="Times New Roman"/>
                <w:sz w:val="24"/>
              </w:rPr>
              <w:t>-025</w:t>
            </w:r>
            <w:r w:rsidR="00577AA3">
              <w:rPr>
                <w:rFonts w:ascii="Times New Roman" w:hAnsi="Times New Roman"/>
                <w:sz w:val="24"/>
              </w:rPr>
              <w:t>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sidR="00B734C4">
              <w:rPr>
                <w:rFonts w:ascii="Times New Roman" w:hAnsi="Times New Roman"/>
                <w:b/>
                <w:sz w:val="24"/>
                <w:u w:val="single"/>
              </w:rPr>
              <w:t>L</w:t>
            </w:r>
            <w:r w:rsidRPr="002A677E">
              <w:rPr>
                <w:rFonts w:ascii="Times New Roman" w:hAnsi="Times New Roman"/>
                <w:b/>
                <w:sz w:val="24"/>
                <w:u w:val="single"/>
              </w:rPr>
              <w:t>ATERALISATION AND FUNDED RESERVE ACCOUNTS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000A6BBC" w:rsidRPr="002A677E">
              <w:rPr>
                <w:rFonts w:ascii="Times New Roman" w:hAnsi="Times New Roman"/>
                <w:sz w:val="24"/>
              </w:rPr>
              <w:t>s</w:t>
            </w:r>
            <w:r w:rsidRPr="001235ED">
              <w:rPr>
                <w:rFonts w:ascii="Times New Roman" w:hAnsi="Times New Roman"/>
                <w:sz w:val="24"/>
              </w:rPr>
              <w:t xml:space="preserve"> 256(3) and (4) </w:t>
            </w:r>
            <w:r w:rsidR="00215CD7" w:rsidRPr="001235ED">
              <w:rPr>
                <w:rFonts w:ascii="Times New Roman" w:hAnsi="Times New Roman"/>
                <w:sz w:val="24"/>
                <w:lang w:val="en-US"/>
              </w:rPr>
              <w:t>of Regulation (EU) No 575/2013</w:t>
            </w:r>
            <w:r w:rsidR="007B54D6" w:rsidRPr="002A677E">
              <w:rPr>
                <w:rFonts w:ascii="Times New Roman" w:hAnsi="Times New Roman"/>
                <w:sz w:val="24"/>
              </w:rPr>
              <w:t>.</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w:t>
            </w:r>
            <w:r w:rsidR="000B0694">
              <w:rPr>
                <w:rFonts w:ascii="Times New Roman" w:hAnsi="Times New Roman"/>
                <w:sz w:val="24"/>
              </w:rPr>
              <w:t>g</w:t>
            </w:r>
            <w:r>
              <w:rPr>
                <w:rFonts w:ascii="Times New Roman" w:hAnsi="Times New Roman"/>
                <w:sz w:val="24"/>
              </w:rPr>
              <w:t xml:space="preserve"> attachment and detachment points in accordance with Article 256(3) of Regulation (EU) No 575/2013</w:t>
            </w:r>
            <w:r w:rsidR="000B0694">
              <w:rPr>
                <w:rFonts w:ascii="Times New Roman" w:hAnsi="Times New Roman"/>
                <w:sz w:val="24"/>
              </w:rPr>
              <w:t>.</w:t>
            </w:r>
            <w:r w:rsidR="00BE79AB" w:rsidRPr="002A677E">
              <w:rPr>
                <w:rFonts w:ascii="Times New Roman" w:hAnsi="Times New Roman"/>
                <w:sz w:val="24"/>
              </w:rPr>
              <w:t xml:space="preserve">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sidR="00B12E10">
              <w:rPr>
                <w:rFonts w:ascii="Times New Roman" w:hAnsi="Times New Roman"/>
                <w:sz w:val="24"/>
              </w:rPr>
              <w:t xml:space="preserve">, point </w:t>
            </w:r>
            <w:r w:rsidRPr="002A677E">
              <w:rPr>
                <w:rFonts w:ascii="Times New Roman" w:hAnsi="Times New Roman"/>
                <w:sz w:val="24"/>
              </w:rPr>
              <w:t>(</w:t>
            </w:r>
            <w:r w:rsidR="004E7D09" w:rsidRPr="002A677E">
              <w:rPr>
                <w:rFonts w:ascii="Times New Roman" w:hAnsi="Times New Roman"/>
                <w:sz w:val="24"/>
              </w:rPr>
              <w:t>31</w:t>
            </w:r>
            <w:r w:rsidRPr="002A677E">
              <w:rPr>
                <w:rFonts w:ascii="Times New Roman" w:hAnsi="Times New Roman"/>
                <w:sz w:val="24"/>
              </w:rPr>
              <w:t xml:space="preserve">) </w:t>
            </w:r>
            <w:r w:rsidR="00215CD7" w:rsidRPr="001235ED">
              <w:rPr>
                <w:rFonts w:ascii="Times New Roman" w:hAnsi="Times New Roman"/>
                <w:sz w:val="24"/>
                <w:lang w:val="en-US"/>
              </w:rPr>
              <w:t xml:space="preserve">of Regulation (EU) No </w:t>
            </w:r>
            <w:r w:rsidR="004E7D09" w:rsidRPr="001235ED">
              <w:rPr>
                <w:rFonts w:ascii="Times New Roman" w:hAnsi="Times New Roman"/>
                <w:sz w:val="24"/>
                <w:lang w:val="en-US"/>
              </w:rPr>
              <w:t>2017/2402</w:t>
            </w:r>
            <w:r w:rsidRPr="002A677E">
              <w:rPr>
                <w:rFonts w:ascii="Times New Roman" w:hAnsi="Times New Roman"/>
                <w:sz w:val="24"/>
              </w:rPr>
              <w:t xml:space="preserve">.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sidR="00BA4A8E">
              <w:rPr>
                <w:rFonts w:ascii="Times New Roman" w:hAnsi="Times New Roman"/>
                <w:sz w:val="24"/>
              </w:rPr>
              <w:t xml:space="preserve">in </w:t>
            </w:r>
            <w:r w:rsidR="00FC70BF" w:rsidRPr="002A677E">
              <w:rPr>
                <w:rFonts w:ascii="Times New Roman" w:hAnsi="Times New Roman"/>
                <w:sz w:val="24"/>
              </w:rPr>
              <w:t>accord</w:t>
            </w:r>
            <w:r w:rsidR="00BA4A8E">
              <w:rPr>
                <w:rFonts w:ascii="Times New Roman" w:hAnsi="Times New Roman"/>
                <w:sz w:val="24"/>
              </w:rPr>
              <w:t xml:space="preserve">ance with </w:t>
            </w:r>
            <w:r w:rsidR="00FC70BF" w:rsidRPr="002A677E">
              <w:rPr>
                <w:rFonts w:ascii="Times New Roman" w:hAnsi="Times New Roman"/>
                <w:sz w:val="24"/>
              </w:rPr>
              <w:t>Article 269a(7)</w:t>
            </w:r>
            <w:r w:rsidR="00945ED3" w:rsidRPr="002A677E">
              <w:rPr>
                <w:rFonts w:ascii="Times New Roman" w:hAnsi="Times New Roman"/>
                <w:sz w:val="24"/>
              </w:rPr>
              <w:t>,</w:t>
            </w:r>
            <w:r w:rsidR="00215CD7" w:rsidRPr="001235ED">
              <w:rPr>
                <w:rFonts w:ascii="Times New Roman" w:hAnsi="Times New Roman"/>
                <w:sz w:val="24"/>
                <w:lang w:val="en-US"/>
              </w:rPr>
              <w:t>of Regulation (EU) No 575/2013</w:t>
            </w:r>
            <w:r w:rsidR="00FC70BF" w:rsidRPr="002A677E">
              <w:rPr>
                <w:rFonts w:ascii="Times New Roman" w:hAnsi="Times New Roman"/>
                <w:sz w:val="24"/>
              </w:rPr>
              <w:t xml:space="preserve"> </w:t>
            </w:r>
            <w:r w:rsidRPr="002A677E">
              <w:rPr>
                <w:rFonts w:ascii="Times New Roman" w:hAnsi="Times New Roman"/>
                <w:sz w:val="24"/>
              </w:rPr>
              <w:t>at the reporting date</w:t>
            </w:r>
            <w:r w:rsidR="005E61A3">
              <w:rPr>
                <w:rFonts w:ascii="Times New Roman" w:hAnsi="Times New Roman"/>
                <w:sz w:val="24"/>
              </w:rPr>
              <w:t xml:space="preserve">, which </w:t>
            </w:r>
            <w:r w:rsidR="005E61A3" w:rsidRPr="00D05136">
              <w:rPr>
                <w:rFonts w:ascii="Times New Roman" w:hAnsi="Times New Roman"/>
                <w:sz w:val="24"/>
              </w:rPr>
              <w:t>shall be adjusted downwards taking into account the realised losses</w:t>
            </w:r>
            <w:r w:rsidR="005E61A3">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sidR="000A368E">
              <w:rPr>
                <w:rFonts w:ascii="Times New Roman" w:hAnsi="Times New Roman"/>
                <w:sz w:val="24"/>
              </w:rPr>
              <w:t>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block of columns gathers information on off-balance sheet items and derivatives </w:t>
            </w:r>
            <w:r w:rsidR="00724108" w:rsidRPr="002A677E">
              <w:rPr>
                <w:rFonts w:ascii="Times New Roman" w:hAnsi="Times New Roman"/>
                <w:sz w:val="24"/>
              </w:rPr>
              <w:t xml:space="preserve">before conversion factors, </w:t>
            </w:r>
            <w:r w:rsidRPr="002A677E">
              <w:rPr>
                <w:rFonts w:ascii="Times New Roman" w:hAnsi="Times New Roman"/>
                <w:sz w:val="24"/>
              </w:rPr>
              <w:t>broken down by tranches (senior/mezzanine/first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028</w:t>
            </w:r>
            <w:r w:rsidR="000A368E">
              <w:rPr>
                <w:rFonts w:ascii="Times New Roman" w:hAnsi="Times New Roman"/>
                <w:sz w:val="24"/>
              </w:rPr>
              <w:t>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w:t>
            </w:r>
            <w:r w:rsidR="000313B7" w:rsidRPr="001235ED">
              <w:rPr>
                <w:rFonts w:ascii="Times New Roman" w:hAnsi="Times New Roman"/>
                <w:sz w:val="24"/>
                <w:lang w:val="en-US"/>
              </w:rPr>
              <w:t>icles</w:t>
            </w:r>
            <w:r w:rsidRPr="001235ED">
              <w:rPr>
                <w:rFonts w:ascii="Times New Roman" w:hAnsi="Times New Roman"/>
                <w:sz w:val="24"/>
                <w:lang w:val="en-US"/>
              </w:rPr>
              <w:t xml:space="preserve"> 242</w:t>
            </w:r>
            <w:r w:rsidR="000B0694">
              <w:rPr>
                <w:rFonts w:ascii="Times New Roman" w:hAnsi="Times New Roman"/>
                <w:sz w:val="24"/>
                <w:lang w:val="en-US"/>
              </w:rPr>
              <w:t>,</w:t>
            </w:r>
            <w:r w:rsidRPr="001235ED">
              <w:rPr>
                <w:rFonts w:ascii="Times New Roman" w:hAnsi="Times New Roman"/>
                <w:sz w:val="24"/>
                <w:lang w:val="en-US"/>
              </w:rPr>
              <w:t xml:space="preserve"> </w:t>
            </w:r>
            <w:r w:rsidR="000B0694">
              <w:rPr>
                <w:rFonts w:ascii="Times New Roman" w:hAnsi="Times New Roman"/>
                <w:sz w:val="24"/>
                <w:lang w:val="en-US"/>
              </w:rPr>
              <w:t xml:space="preserve">point </w:t>
            </w:r>
            <w:r w:rsidRPr="001235ED">
              <w:rPr>
                <w:rFonts w:ascii="Times New Roman" w:hAnsi="Times New Roman"/>
                <w:sz w:val="24"/>
                <w:lang w:val="en-US"/>
              </w:rPr>
              <w:t>(</w:t>
            </w:r>
            <w:r w:rsidR="002E58AF">
              <w:rPr>
                <w:rFonts w:ascii="Times New Roman" w:hAnsi="Times New Roman"/>
                <w:sz w:val="24"/>
                <w:lang w:val="en-US"/>
              </w:rPr>
              <w:t>20</w:t>
            </w:r>
            <w:r w:rsidRPr="001235ED">
              <w:rPr>
                <w:rFonts w:ascii="Times New Roman" w:hAnsi="Times New Roman"/>
                <w:sz w:val="24"/>
                <w:lang w:val="en-US"/>
              </w:rPr>
              <w:t>)</w:t>
            </w:r>
            <w:r w:rsidR="00C24F3F" w:rsidRPr="002A677E">
              <w:rPr>
                <w:rFonts w:ascii="Times New Roman" w:hAnsi="Times New Roman"/>
                <w:sz w:val="24"/>
                <w:lang w:val="en-US"/>
              </w:rPr>
              <w:t>,</w:t>
            </w:r>
            <w:r w:rsidRPr="001235ED">
              <w:rPr>
                <w:rFonts w:ascii="Times New Roman" w:hAnsi="Times New Roman"/>
                <w:sz w:val="24"/>
                <w:lang w:val="en-US"/>
              </w:rPr>
              <w:t xml:space="preserve"> 248(1)</w:t>
            </w:r>
            <w:r w:rsidR="00B83DDE">
              <w:rPr>
                <w:rFonts w:ascii="Times New Roman" w:hAnsi="Times New Roman"/>
                <w:sz w:val="24"/>
                <w:lang w:val="en-US"/>
              </w:rPr>
              <w:t>, p</w:t>
            </w:r>
            <w:r w:rsidR="00512CC7">
              <w:rPr>
                <w:rFonts w:ascii="Times New Roman" w:hAnsi="Times New Roman"/>
                <w:sz w:val="24"/>
                <w:lang w:val="en-US"/>
              </w:rPr>
              <w:t xml:space="preserve">oint </w:t>
            </w:r>
            <w:r w:rsidRPr="001235ED">
              <w:rPr>
                <w:rFonts w:ascii="Times New Roman" w:hAnsi="Times New Roman"/>
                <w:sz w:val="24"/>
                <w:lang w:val="en-US"/>
              </w:rPr>
              <w:t xml:space="preserve">(e) </w:t>
            </w:r>
            <w:r w:rsidR="00C24F3F" w:rsidRPr="002A677E">
              <w:rPr>
                <w:rFonts w:ascii="Times New Roman" w:hAnsi="Times New Roman"/>
                <w:sz w:val="24"/>
                <w:lang w:val="en-US"/>
              </w:rPr>
              <w:t>and 256(6)</w:t>
            </w:r>
            <w:r w:rsidR="00512CC7">
              <w:rPr>
                <w:rFonts w:ascii="Times New Roman" w:hAnsi="Times New Roman"/>
                <w:sz w:val="24"/>
                <w:lang w:val="en-US"/>
              </w:rPr>
              <w:t xml:space="preserve"> </w:t>
            </w:r>
            <w:r w:rsidR="00215CD7" w:rsidRPr="001235ED">
              <w:rPr>
                <w:rFonts w:ascii="Times New Roman" w:hAnsi="Times New Roman"/>
                <w:sz w:val="24"/>
                <w:lang w:val="en-US"/>
              </w:rPr>
              <w:t>of Regulation (EU) No 575/2013</w:t>
            </w:r>
            <w:r w:rsidRPr="001235ED">
              <w:rPr>
                <w:rFonts w:ascii="Times New Roman" w:hAnsi="Times New Roman"/>
                <w:sz w:val="24"/>
                <w:lang w:val="en-US"/>
              </w:rPr>
              <w:t xml:space="preserve">.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00215CD7"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4BC62F1E" w14:textId="54071AD3"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sidR="00B83DDE">
              <w:rPr>
                <w:rFonts w:ascii="Times New Roman" w:hAnsi="Times New Roman"/>
                <w:sz w:val="24"/>
              </w:rPr>
              <w:t>, p</w:t>
            </w:r>
            <w:r w:rsidR="00945ED3" w:rsidRPr="002A677E">
              <w:rPr>
                <w:rFonts w:ascii="Times New Roman" w:hAnsi="Times New Roman"/>
                <w:sz w:val="24"/>
              </w:rPr>
              <w:t>oint (g)</w:t>
            </w:r>
            <w:r w:rsidR="00BE1277">
              <w:rPr>
                <w:rFonts w:ascii="Times New Roman" w:hAnsi="Times New Roman"/>
                <w:sz w:val="24"/>
              </w:rPr>
              <w:t>,</w:t>
            </w:r>
            <w:r w:rsidR="00945ED3"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D0A6F6A" w14:textId="77777777"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clean-up call option;</w:t>
            </w:r>
          </w:p>
          <w:p w14:paraId="6460DCFE" w14:textId="77777777"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type of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lastRenderedPageBreak/>
              <w:t>Originators, only, shall report the attachment point of the most subordinated tranche sold to, for traditional securitisations, or protected by, for synthetic securitisations, third parties.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lastRenderedPageBreak/>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lang w:val="en-GB"/>
        </w:rPr>
      </w:pPr>
      <w:bookmarkStart w:id="431" w:name="_Toc522019895"/>
      <w:bookmarkStart w:id="432" w:name="_Toc151714440"/>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431"/>
      <w:bookmarkEnd w:id="432"/>
    </w:p>
    <w:bookmarkStart w:id="433" w:name="_Toc522019896"/>
    <w:p w14:paraId="4E2BD416" w14:textId="0E1BBEC9" w:rsidR="00CA4EB2" w:rsidRPr="002A677E" w:rsidRDefault="00771068" w:rsidP="00BE08DE">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5E3D5A">
        <w:rPr>
          <w:noProof/>
        </w:rPr>
        <w:t>120</w:t>
      </w:r>
      <w:r w:rsidRPr="00624117">
        <w:fldChar w:fldCharType="end"/>
      </w:r>
      <w:r w:rsidR="00CA4EB2" w:rsidRPr="002A677E">
        <w:t>. The template SEC DETAILS 2 shall be reported separately for the following approaches:</w:t>
      </w:r>
    </w:p>
    <w:p w14:paraId="02743D9E" w14:textId="77777777" w:rsidR="00CA4EB2" w:rsidRPr="00B44FD0" w:rsidRDefault="00CA4EB2" w:rsidP="00BE08DE">
      <w:pPr>
        <w:pStyle w:val="InstructionsText2"/>
        <w:numPr>
          <w:ilvl w:val="0"/>
          <w:numId w:val="0"/>
        </w:numPr>
        <w:ind w:left="993"/>
        <w:rPr>
          <w:lang w:val="fr-BE"/>
        </w:rPr>
      </w:pPr>
      <w:r w:rsidRPr="00B44FD0">
        <w:rPr>
          <w:lang w:val="fr-BE"/>
        </w:rPr>
        <w:t>1) SEC-IRBA</w:t>
      </w:r>
      <w:r w:rsidR="005E5070" w:rsidRPr="00B44FD0">
        <w:rPr>
          <w:lang w:val="fr-BE"/>
        </w:rPr>
        <w:t>;</w:t>
      </w:r>
    </w:p>
    <w:p w14:paraId="406C7FE9" w14:textId="77777777" w:rsidR="00CA4EB2" w:rsidRPr="00B44FD0" w:rsidRDefault="00CA4EB2" w:rsidP="00BE08DE">
      <w:pPr>
        <w:pStyle w:val="InstructionsText2"/>
        <w:numPr>
          <w:ilvl w:val="0"/>
          <w:numId w:val="0"/>
        </w:numPr>
        <w:ind w:left="993"/>
        <w:rPr>
          <w:lang w:val="fr-BE"/>
        </w:rPr>
      </w:pPr>
      <w:r w:rsidRPr="00B44FD0">
        <w:rPr>
          <w:lang w:val="fr-BE"/>
        </w:rPr>
        <w:t>2) SEC-SA</w:t>
      </w:r>
      <w:r w:rsidR="005E5070" w:rsidRPr="00B44FD0">
        <w:rPr>
          <w:lang w:val="fr-BE"/>
        </w:rPr>
        <w:t>;</w:t>
      </w:r>
    </w:p>
    <w:p w14:paraId="21228F8E" w14:textId="3F2CF048" w:rsidR="006A7EC8" w:rsidRPr="00B44FD0" w:rsidRDefault="00CA4EB2" w:rsidP="00BE08DE">
      <w:pPr>
        <w:pStyle w:val="InstructionsText2"/>
        <w:numPr>
          <w:ilvl w:val="0"/>
          <w:numId w:val="0"/>
        </w:numPr>
        <w:ind w:left="993"/>
        <w:rPr>
          <w:lang w:val="fr-BE"/>
        </w:rPr>
      </w:pPr>
      <w:r w:rsidRPr="00B44FD0">
        <w:rPr>
          <w:lang w:val="fr-BE"/>
        </w:rPr>
        <w:t>3) SEC-ERBA</w:t>
      </w:r>
      <w:r w:rsidR="005E5070" w:rsidRPr="00B44FD0">
        <w:rPr>
          <w:lang w:val="fr-BE"/>
        </w:rPr>
        <w:t>;</w:t>
      </w:r>
    </w:p>
    <w:p w14:paraId="0062414C" w14:textId="470B818B" w:rsidR="00CA4EB2" w:rsidRDefault="00CA4EB2" w:rsidP="00BE08DE">
      <w:pPr>
        <w:pStyle w:val="InstructionsText2"/>
        <w:numPr>
          <w:ilvl w:val="0"/>
          <w:numId w:val="0"/>
        </w:numPr>
        <w:ind w:left="993"/>
      </w:pPr>
      <w:r w:rsidRPr="002A677E">
        <w:t>4) 1</w:t>
      </w:r>
      <w:r w:rsidR="006A66C9" w:rsidRPr="002A677E">
        <w:t xml:space="preserve"> </w:t>
      </w:r>
      <w:r w:rsidRPr="002A677E">
        <w:t>250</w:t>
      </w:r>
      <w:r w:rsidR="00B856D5">
        <w:t> </w:t>
      </w:r>
      <w:r w:rsidRPr="002A677E">
        <w:t>%</w:t>
      </w:r>
      <w:r w:rsidR="00855EAC">
        <w:t>;</w:t>
      </w:r>
    </w:p>
    <w:p w14:paraId="6F7C4A1C" w14:textId="1FE96360" w:rsidR="00B12E10" w:rsidRDefault="00B12E10" w:rsidP="00BE08DE">
      <w:pPr>
        <w:pStyle w:val="InstructionsText2"/>
        <w:numPr>
          <w:ilvl w:val="0"/>
          <w:numId w:val="0"/>
        </w:numPr>
        <w:ind w:left="993"/>
      </w:pPr>
      <w:r w:rsidRPr="001235ED">
        <w:t>5) Internal assessment approach</w:t>
      </w:r>
    </w:p>
    <w:p w14:paraId="1F10A4FD" w14:textId="4DA46199" w:rsidR="00855EAC" w:rsidRPr="002A677E" w:rsidRDefault="00B12E10" w:rsidP="00BE08DE">
      <w:pPr>
        <w:pStyle w:val="InstructionsText2"/>
        <w:numPr>
          <w:ilvl w:val="0"/>
          <w:numId w:val="0"/>
        </w:numPr>
        <w:ind w:left="993"/>
      </w:pPr>
      <w:r>
        <w:rPr>
          <w:lang w:val="en-US"/>
        </w:rPr>
        <w:t>6</w:t>
      </w:r>
      <w:r w:rsidR="00855EAC" w:rsidRPr="005A1047">
        <w:rPr>
          <w:lang w:val="en-US"/>
        </w:rPr>
        <w:t>) Specific treatment for senior tranches of quali</w:t>
      </w:r>
      <w:r w:rsidR="00855EAC" w:rsidRPr="002A677E">
        <w:rPr>
          <w:lang w:val="en-US"/>
        </w:rPr>
        <w:t>fying NPE securitisations</w:t>
      </w:r>
      <w:r w:rsidR="00855EAC">
        <w:rPr>
          <w:lang w:val="en-US"/>
        </w:rPr>
        <w:t>.</w:t>
      </w:r>
    </w:p>
    <w:bookmarkEnd w:id="433"/>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973973"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w:t>
            </w:r>
            <w:r w:rsidR="00D956C2" w:rsidRPr="002A677E">
              <w:rPr>
                <w:rFonts w:ascii="Times New Roman" w:hAnsi="Times New Roman"/>
                <w:sz w:val="24"/>
              </w:rPr>
              <w:t xml:space="preserve"> transaction</w:t>
            </w:r>
            <w:r w:rsidRPr="002A677E">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BA2644" w:rsidRPr="002A677E" w14:paraId="3E786E3C" w14:textId="77777777" w:rsidTr="00E10B85">
        <w:tc>
          <w:tcPr>
            <w:tcW w:w="1101" w:type="dxa"/>
          </w:tcPr>
          <w:p w14:paraId="7F805410" w14:textId="60370668" w:rsidR="00BA2644" w:rsidRPr="002A677E" w:rsidRDefault="00BA2644"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1B04C14D" w14:textId="77777777" w:rsidR="00BA2644" w:rsidRDefault="00BA2644" w:rsidP="00BA2644">
            <w:pPr>
              <w:spacing w:before="0" w:after="0"/>
              <w:jc w:val="left"/>
              <w:rPr>
                <w:rFonts w:ascii="Times New Roman" w:hAnsi="Times New Roman"/>
                <w:b/>
                <w:sz w:val="24"/>
                <w:u w:val="single"/>
              </w:rPr>
            </w:pPr>
            <w:r>
              <w:rPr>
                <w:rFonts w:ascii="Times New Roman" w:hAnsi="Times New Roman"/>
                <w:b/>
                <w:sz w:val="24"/>
                <w:u w:val="single"/>
              </w:rPr>
              <w:t>UNIQUE IDENTIFIER</w:t>
            </w:r>
          </w:p>
          <w:p w14:paraId="2078713B" w14:textId="77777777" w:rsidR="00BA2644" w:rsidRDefault="00BA2644" w:rsidP="00BA2644">
            <w:pPr>
              <w:spacing w:before="0" w:after="0"/>
              <w:jc w:val="left"/>
              <w:rPr>
                <w:rFonts w:ascii="Times New Roman" w:hAnsi="Times New Roman"/>
                <w:b/>
                <w:sz w:val="24"/>
                <w:u w:val="single"/>
              </w:rPr>
            </w:pPr>
          </w:p>
          <w:p w14:paraId="479C9822" w14:textId="77777777" w:rsidR="00BA2644" w:rsidRPr="00EB2A53" w:rsidRDefault="00BA2644" w:rsidP="00BA2644">
            <w:pPr>
              <w:spacing w:before="0" w:after="0"/>
              <w:jc w:val="left"/>
              <w:rPr>
                <w:rFonts w:ascii="Times New Roman" w:hAnsi="Times New Roman"/>
                <w:sz w:val="24"/>
              </w:rPr>
            </w:pPr>
            <w:r w:rsidRPr="00EB2A53">
              <w:rPr>
                <w:rFonts w:ascii="Times New Roman" w:hAnsi="Times New Roman"/>
                <w:sz w:val="24"/>
              </w:rPr>
              <w:lastRenderedPageBreak/>
              <w:t>For securitisations issued on or after 1 January 2019, institutions shall report the unique identifier as defined in Article 11(1) of Commission Delegated Regulation (EU) 2020/1224.</w:t>
            </w:r>
          </w:p>
          <w:p w14:paraId="7925E96A" w14:textId="77777777" w:rsidR="00BA2644" w:rsidRPr="002A677E" w:rsidRDefault="00BA2644" w:rsidP="00E10B85">
            <w:pPr>
              <w:spacing w:before="0" w:after="0"/>
              <w:jc w:val="left"/>
              <w:rPr>
                <w:rFonts w:ascii="Times New Roman" w:hAnsi="Times New Roman"/>
                <w:b/>
                <w:sz w:val="24"/>
                <w:u w:val="singl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FC6275" w:rsidRPr="002A677E">
              <w:rPr>
                <w:rFonts w:ascii="Times New Roman" w:hAnsi="Times New Roman"/>
                <w:sz w:val="24"/>
              </w:rPr>
              <w:t>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position, or transaction in case of several positions that can be reported in the same row, </w:t>
            </w:r>
            <w:r w:rsidRPr="002A677E">
              <w:rPr>
                <w:rFonts w:ascii="Times New Roman" w:hAnsi="Times New Roman"/>
                <w:sz w:val="24"/>
              </w:rPr>
              <w:t>or, if not available, the name by which the securitisation</w:t>
            </w:r>
            <w:r w:rsidR="00D956C2" w:rsidRPr="002A677E">
              <w:rPr>
                <w:rFonts w:ascii="Times New Roman" w:hAnsi="Times New Roman"/>
                <w:sz w:val="24"/>
              </w:rPr>
              <w:t xml:space="preserve"> position or transaction</w:t>
            </w:r>
            <w:r w:rsidRPr="002A677E">
              <w:rPr>
                <w:rFonts w:ascii="Times New Roman" w:hAnsi="Times New Roman"/>
                <w:sz w:val="24"/>
              </w:rPr>
              <w:t xml:space="preserve"> is known in the market, or within the institution in the case of an internal or private securitisation. Whe</w:t>
            </w:r>
            <w:r w:rsidR="001C3443"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1C3443"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w:t>
            </w:r>
            <w:r w:rsidR="0094380A" w:rsidRPr="002A677E">
              <w:rPr>
                <w:rFonts w:ascii="Times New Roman" w:hAnsi="Times New Roman"/>
                <w:sz w:val="24"/>
              </w:rPr>
              <w:t>broken down by</w:t>
            </w:r>
            <w:r w:rsidRPr="002A677E">
              <w:rPr>
                <w:rFonts w:ascii="Times New Roman" w:hAnsi="Times New Roman"/>
                <w:sz w:val="24"/>
              </w:rPr>
              <w:t xml:space="preserve"> on/off balance sheet positions and the tranches (senior/mezzanine/ first loss) at reporting date.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230,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240 and </w:t>
            </w:r>
            <w:r w:rsidR="00973973" w:rsidRPr="002A677E">
              <w:rPr>
                <w:rFonts w:ascii="Times New Roman" w:hAnsi="Times New Roman"/>
                <w:sz w:val="24"/>
                <w:lang w:eastAsia="es-ES_tradnl"/>
              </w:rPr>
              <w:t>0</w:t>
            </w:r>
            <w:r w:rsidRPr="002A677E">
              <w:rPr>
                <w:rFonts w:ascii="Times New Roman" w:hAnsi="Times New Roman"/>
                <w:sz w:val="24"/>
                <w:lang w:eastAsia="es-ES_tradnl"/>
              </w:rPr>
              <w:t>250</w:t>
            </w:r>
            <w:r w:rsidR="00D87007">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340-</w:t>
            </w:r>
            <w:r w:rsidR="007421F4" w:rsidRPr="002A677E">
              <w:rPr>
                <w:rFonts w:ascii="Times New Roman" w:hAnsi="Times New Roman"/>
                <w:bCs/>
                <w:sz w:val="24"/>
                <w:lang w:eastAsia="nl-BE"/>
              </w:rPr>
              <w:t>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260 to </w:t>
            </w:r>
            <w:r w:rsidR="00973973" w:rsidRPr="002A677E">
              <w:rPr>
                <w:rFonts w:ascii="Times New Roman" w:hAnsi="Times New Roman"/>
                <w:sz w:val="24"/>
                <w:lang w:eastAsia="es-ES_tradnl"/>
              </w:rPr>
              <w:t>0</w:t>
            </w:r>
            <w:r w:rsidRPr="002A677E">
              <w:rPr>
                <w:rFonts w:ascii="Times New Roman" w:hAnsi="Times New Roman"/>
                <w:sz w:val="24"/>
                <w:lang w:eastAsia="es-ES_tradnl"/>
              </w:rPr>
              <w:t>28</w:t>
            </w:r>
            <w:r w:rsidR="006A7EC8">
              <w:rPr>
                <w:rFonts w:ascii="Times New Roman" w:hAnsi="Times New Roman"/>
                <w:sz w:val="24"/>
                <w:lang w:eastAsia="es-ES_tradnl"/>
              </w:rPr>
              <w:t>7</w:t>
            </w:r>
            <w:r w:rsidRPr="002A677E">
              <w:rPr>
                <w:rFonts w:ascii="Times New Roman" w:hAnsi="Times New Roman"/>
                <w:sz w:val="24"/>
                <w:lang w:eastAsia="es-ES_tradnl"/>
              </w:rPr>
              <w:t xml:space="preserve"> </w:t>
            </w:r>
            <w:r w:rsidR="00D87007">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 xml:space="preserve">351 and </w:t>
            </w:r>
            <w:r w:rsidRPr="002A677E">
              <w:rPr>
                <w:rFonts w:ascii="Times New Roman" w:hAnsi="Times New Roman"/>
                <w:sz w:val="24"/>
              </w:rPr>
              <w:t>0</w:t>
            </w:r>
            <w:r w:rsidR="00FC6275" w:rsidRPr="002A677E">
              <w:rPr>
                <w:rFonts w:ascii="Times New Roman" w:hAnsi="Times New Roman"/>
                <w:sz w:val="24"/>
              </w:rPr>
              <w:t>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w:t>
            </w:r>
            <w:r w:rsidR="0073527C" w:rsidRPr="002A677E">
              <w:rPr>
                <w:rFonts w:ascii="Times New Roman" w:hAnsi="Times New Roman"/>
                <w:sz w:val="24"/>
              </w:rPr>
              <w:t xml:space="preserve">credit protection </w:t>
            </w:r>
            <w:r w:rsidR="00BB22D4" w:rsidRPr="002A677E">
              <w:rPr>
                <w:rFonts w:ascii="Times New Roman" w:hAnsi="Times New Roman"/>
                <w:sz w:val="24"/>
              </w:rPr>
              <w:t>in accordance with</w:t>
            </w:r>
            <w:r w:rsidR="00D956C2" w:rsidRPr="002A677E">
              <w:rPr>
                <w:rFonts w:ascii="Times New Roman" w:hAnsi="Times New Roman"/>
                <w:sz w:val="24"/>
              </w:rPr>
              <w:t xml:space="preserve"> Article 249</w:t>
            </w:r>
            <w:r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sidR="002339F2">
              <w:rPr>
                <w:rFonts w:ascii="Times New Roman" w:hAnsi="Times New Roman"/>
                <w:sz w:val="24"/>
              </w:rPr>
              <w:t>20</w:t>
            </w:r>
            <w:r w:rsidRPr="002A677E">
              <w:rPr>
                <w:rFonts w:ascii="Times New Roman" w:hAnsi="Times New Roman"/>
                <w:sz w:val="24"/>
              </w:rPr>
              <w:t xml:space="preserve">), </w:t>
            </w:r>
            <w:r w:rsidR="0037077A" w:rsidRPr="002A677E">
              <w:rPr>
                <w:rFonts w:ascii="Times New Roman" w:hAnsi="Times New Roman"/>
                <w:sz w:val="24"/>
              </w:rPr>
              <w:t>248 (1)</w:t>
            </w:r>
            <w:r w:rsidR="00B83DDE">
              <w:rPr>
                <w:rFonts w:ascii="Times New Roman" w:hAnsi="Times New Roman"/>
                <w:sz w:val="24"/>
              </w:rPr>
              <w:t>, p</w:t>
            </w:r>
            <w:r w:rsidR="002339F2">
              <w:rPr>
                <w:rFonts w:ascii="Times New Roman" w:hAnsi="Times New Roman"/>
                <w:sz w:val="24"/>
              </w:rPr>
              <w:t xml:space="preserve">oint </w:t>
            </w:r>
            <w:r w:rsidR="0037077A" w:rsidRPr="002A677E">
              <w:rPr>
                <w:rFonts w:ascii="Times New Roman" w:hAnsi="Times New Roman"/>
                <w:sz w:val="24"/>
              </w:rPr>
              <w:t xml:space="preserve">(e) </w:t>
            </w:r>
            <w:r w:rsidRPr="002A677E">
              <w:rPr>
                <w:rFonts w:ascii="Times New Roman" w:hAnsi="Times New Roman"/>
                <w:sz w:val="24"/>
              </w:rPr>
              <w:t xml:space="preserve">and </w:t>
            </w:r>
            <w:r w:rsidRPr="002A677E">
              <w:rPr>
                <w:rFonts w:ascii="Times New Roman" w:hAnsi="Times New Roman"/>
                <w:sz w:val="24"/>
                <w:lang w:val="en-US"/>
              </w:rPr>
              <w:t xml:space="preserve">256(6) </w:t>
            </w:r>
            <w:r w:rsidR="00215CD7" w:rsidRPr="001235ED">
              <w:rPr>
                <w:rFonts w:ascii="Times New Roman" w:hAnsi="Times New Roman"/>
                <w:sz w:val="24"/>
                <w:lang w:val="en-US"/>
              </w:rPr>
              <w:t>of Regulation (EU) No 575/2013</w:t>
            </w:r>
            <w:r w:rsidR="0037077A" w:rsidRPr="002A677E">
              <w:rPr>
                <w:rFonts w:ascii="Times New Roman" w:hAnsi="Times New Roman"/>
                <w:sz w:val="24"/>
              </w:rPr>
              <w:t>.</w:t>
            </w:r>
            <w:r w:rsidR="00402284">
              <w:rPr>
                <w:rFonts w:ascii="Times New Roman" w:hAnsi="Times New Roman"/>
                <w:sz w:val="24"/>
              </w:rPr>
              <w:t xml:space="preserve">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block of columns gathers additional information on the total off-balance sheet items and derivatives (which are already reported under a different breakdown in columns </w:t>
            </w:r>
            <w:r w:rsidR="00973973" w:rsidRPr="002A677E">
              <w:rPr>
                <w:rFonts w:ascii="Times New Roman" w:hAnsi="Times New Roman"/>
                <w:sz w:val="24"/>
              </w:rPr>
              <w:t>0</w:t>
            </w:r>
            <w:r w:rsidRPr="002A677E">
              <w:rPr>
                <w:rFonts w:ascii="Times New Roman" w:hAnsi="Times New Roman"/>
                <w:sz w:val="24"/>
              </w:rPr>
              <w:t>340-</w:t>
            </w:r>
            <w:r w:rsidR="00973973" w:rsidRPr="002A677E">
              <w:rPr>
                <w:rFonts w:ascii="Times New Roman" w:hAnsi="Times New Roman"/>
                <w:sz w:val="24"/>
              </w:rPr>
              <w:t>0</w:t>
            </w:r>
            <w:r w:rsidRPr="002A677E">
              <w:rPr>
                <w:rFonts w:ascii="Times New Roman" w:hAnsi="Times New Roman"/>
                <w:sz w:val="24"/>
              </w:rPr>
              <w:t>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FC6275" w:rsidRPr="002A677E">
              <w:rPr>
                <w:rFonts w:ascii="Times New Roman" w:hAnsi="Times New Roman"/>
                <w:sz w:val="24"/>
              </w:rPr>
              <w:t xml:space="preserve"> Annex I </w:t>
            </w:r>
            <w:r w:rsidR="001C3443" w:rsidRPr="002A677E">
              <w:rPr>
                <w:rFonts w:ascii="Times New Roman" w:hAnsi="Times New Roman"/>
                <w:sz w:val="24"/>
              </w:rPr>
              <w:t xml:space="preserve">to </w:t>
            </w:r>
            <w:r w:rsidR="00215CD7" w:rsidRPr="001235ED">
              <w:rPr>
                <w:rFonts w:ascii="Times New Roman" w:hAnsi="Times New Roman"/>
                <w:sz w:val="24"/>
                <w:lang w:val="en-US"/>
              </w:rPr>
              <w:t>of Regulation (EU) No 575/2013</w:t>
            </w:r>
            <w:r w:rsidR="001C3443" w:rsidRPr="002A677E">
              <w:rPr>
                <w:rFonts w:ascii="Times New Roman" w:hAnsi="Times New Roman"/>
                <w:sz w:val="24"/>
              </w:rPr>
              <w:t>,</w:t>
            </w:r>
            <w:r w:rsidR="00FC6275" w:rsidRPr="002A677E">
              <w:rPr>
                <w:rFonts w:ascii="Times New Roman" w:hAnsi="Times New Roman"/>
                <w:sz w:val="24"/>
              </w:rPr>
              <w:t xml:space="preserve"> the following full risk off-balance sheet items </w:t>
            </w:r>
            <w:r w:rsidR="001C3443" w:rsidRPr="002A677E">
              <w:rPr>
                <w:rFonts w:ascii="Times New Roman" w:hAnsi="Times New Roman"/>
                <w:sz w:val="24"/>
              </w:rPr>
              <w:t>shall be</w:t>
            </w:r>
            <w:r w:rsidR="00FC6275" w:rsidRPr="002A677E">
              <w:rPr>
                <w:rFonts w:ascii="Times New Roman" w:hAnsi="Times New Roman"/>
                <w:sz w:val="24"/>
              </w:rPr>
              <w:t xml:space="preserve"> regarded as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09F83054"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sidRPr="002A677E">
              <w:rPr>
                <w:rFonts w:ascii="Times New Roman" w:hAnsi="Times New Roman"/>
                <w:sz w:val="24"/>
              </w:rPr>
              <w:t>IRS stands for Interest Rate Swaps, whereas CRS stands for Currency Rate Swaps. Th</w:t>
            </w:r>
            <w:r w:rsidR="001C3443" w:rsidRPr="002A677E">
              <w:rPr>
                <w:rFonts w:ascii="Times New Roman" w:hAnsi="Times New Roman"/>
                <w:sz w:val="24"/>
              </w:rPr>
              <w:t>o</w:t>
            </w:r>
            <w:r w:rsidRPr="002A677E">
              <w:rPr>
                <w:rFonts w:ascii="Times New Roman" w:hAnsi="Times New Roman"/>
                <w:sz w:val="24"/>
              </w:rPr>
              <w:t xml:space="preserve">se derivatives are listed in Annex II </w:t>
            </w:r>
            <w:r w:rsidR="001C3443" w:rsidRPr="002A677E">
              <w:rPr>
                <w:rFonts w:ascii="Times New Roman" w:hAnsi="Times New Roman"/>
                <w:sz w:val="24"/>
              </w:rPr>
              <w:t xml:space="preserve">to </w:t>
            </w:r>
            <w:r w:rsidR="0094380A" w:rsidRPr="002A677E">
              <w:rPr>
                <w:rFonts w:ascii="Times New Roman" w:hAnsi="Times New Roman"/>
                <w:sz w:val="24"/>
              </w:rPr>
              <w:t xml:space="preserve">the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sidRPr="002A677E">
              <w:rPr>
                <w:rFonts w:ascii="Times New Roman" w:hAnsi="Times New Roman"/>
                <w:sz w:val="24"/>
              </w:rPr>
              <w:t>Liquidity facilities (LF)</w:t>
            </w:r>
            <w:r w:rsidR="001C3443" w:rsidRPr="002A677E">
              <w:rPr>
                <w:rFonts w:ascii="Times New Roman" w:hAnsi="Times New Roman"/>
                <w:sz w:val="24"/>
              </w:rPr>
              <w:t xml:space="preserve"> as</w:t>
            </w:r>
            <w:r w:rsidRPr="002A677E">
              <w:rPr>
                <w:rFonts w:ascii="Times New Roman" w:hAnsi="Times New Roman"/>
                <w:sz w:val="24"/>
              </w:rPr>
              <w:t xml:space="preserve"> defined in Article 242(3)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sidRPr="002A677E">
              <w:rPr>
                <w:rFonts w:ascii="Times New Roman" w:hAnsi="Times New Roman"/>
                <w:sz w:val="24"/>
              </w:rPr>
              <w:t>R</w:t>
            </w:r>
            <w:r w:rsidR="00FC6275" w:rsidRPr="002A677E">
              <w:rPr>
                <w:rFonts w:ascii="Times New Roman" w:hAnsi="Times New Roman"/>
                <w:sz w:val="24"/>
              </w:rPr>
              <w:t>emaining off-balance sheet items.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A negative figure shall be reported in this column.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8A1D44E" w14:textId="416AAAB8"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 xml:space="preserve"> </w:t>
            </w:r>
          </w:p>
          <w:p w14:paraId="07D605CA" w14:textId="77777777" w:rsidR="000C45DE" w:rsidRDefault="00FC6275" w:rsidP="00E10B85">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sidR="000C45DE">
              <w:rPr>
                <w:rFonts w:ascii="Times New Roman" w:hAnsi="Times New Roman"/>
                <w:sz w:val="24"/>
              </w:rPr>
              <w:t>following shall be reported:</w:t>
            </w:r>
          </w:p>
          <w:p w14:paraId="635A8D93" w14:textId="48BAFE5B" w:rsidR="00FC6275" w:rsidRPr="00C54203" w:rsidRDefault="00FC6275" w:rsidP="000059B8">
            <w:pPr>
              <w:pStyle w:val="ListParagraph"/>
              <w:numPr>
                <w:ilvl w:val="0"/>
                <w:numId w:val="29"/>
              </w:numPr>
              <w:spacing w:before="0" w:after="0"/>
              <w:jc w:val="left"/>
              <w:rPr>
                <w:rFonts w:ascii="Times New Roman" w:hAnsi="Times New Roman"/>
                <w:sz w:val="24"/>
              </w:rPr>
            </w:pPr>
            <w:r w:rsidRPr="000059B8">
              <w:rPr>
                <w:rFonts w:ascii="Times New Roman" w:hAnsi="Times New Roman"/>
                <w:sz w:val="24"/>
              </w:rPr>
              <w:lastRenderedPageBreak/>
              <w:t xml:space="preserve">the </w:t>
            </w:r>
            <w:r w:rsidRPr="00C54203">
              <w:rPr>
                <w:rFonts w:ascii="Times New Roman" w:hAnsi="Times New Roman"/>
                <w:sz w:val="24"/>
              </w:rPr>
              <w:t>RWEA concerning the specific risk</w:t>
            </w:r>
            <w:r w:rsidR="0076359C">
              <w:rPr>
                <w:rFonts w:ascii="Times New Roman" w:hAnsi="Times New Roman"/>
                <w:sz w:val="24"/>
              </w:rPr>
              <w:t xml:space="preserve">, determined as 12,5 times the own funds requirement as reported in </w:t>
            </w:r>
            <w:r w:rsidRPr="00C54203">
              <w:rPr>
                <w:rFonts w:ascii="Times New Roman" w:hAnsi="Times New Roman"/>
                <w:sz w:val="24"/>
              </w:rPr>
              <w:t xml:space="preserve">column </w:t>
            </w:r>
            <w:r w:rsidR="00973973" w:rsidRPr="00C54203">
              <w:rPr>
                <w:rFonts w:ascii="Times New Roman" w:hAnsi="Times New Roman"/>
                <w:sz w:val="24"/>
              </w:rPr>
              <w:t>0</w:t>
            </w:r>
            <w:r w:rsidRPr="00C54203">
              <w:rPr>
                <w:rFonts w:ascii="Times New Roman" w:hAnsi="Times New Roman"/>
                <w:sz w:val="24"/>
              </w:rPr>
              <w:t xml:space="preserve">570 of MKR SA SEC, or columns </w:t>
            </w:r>
            <w:r w:rsidR="00973973" w:rsidRPr="00C54203">
              <w:rPr>
                <w:rFonts w:ascii="Times New Roman" w:hAnsi="Times New Roman"/>
                <w:sz w:val="24"/>
              </w:rPr>
              <w:t>0</w:t>
            </w:r>
            <w:r w:rsidRPr="00C54203">
              <w:rPr>
                <w:rFonts w:ascii="Times New Roman" w:hAnsi="Times New Roman"/>
                <w:sz w:val="24"/>
              </w:rPr>
              <w:t xml:space="preserve">410 and </w:t>
            </w:r>
            <w:r w:rsidR="00973973" w:rsidRPr="00C54203">
              <w:rPr>
                <w:rFonts w:ascii="Times New Roman" w:hAnsi="Times New Roman"/>
                <w:sz w:val="24"/>
              </w:rPr>
              <w:t>0</w:t>
            </w:r>
            <w:r w:rsidRPr="00C54203">
              <w:rPr>
                <w:rFonts w:ascii="Times New Roman" w:hAnsi="Times New Roman"/>
                <w:sz w:val="24"/>
              </w:rPr>
              <w:t>420 (the relevant for the own funds requirement) of MKR SA CTP, respectively</w:t>
            </w:r>
            <w:r w:rsidR="0076359C">
              <w:rPr>
                <w:rFonts w:ascii="Times New Roman" w:hAnsi="Times New Roman"/>
                <w:sz w:val="24"/>
              </w:rPr>
              <w:t>, where the institution applies the Simplified Standardises Approach for market risk,</w:t>
            </w:r>
          </w:p>
          <w:p w14:paraId="5525A38C" w14:textId="75318635" w:rsidR="0076359C" w:rsidRPr="000059B8" w:rsidRDefault="00F735A9" w:rsidP="000059B8">
            <w:pPr>
              <w:pStyle w:val="ListParagraph"/>
              <w:numPr>
                <w:ilvl w:val="0"/>
                <w:numId w:val="29"/>
              </w:numPr>
              <w:spacing w:before="0" w:after="0"/>
              <w:jc w:val="left"/>
              <w:rPr>
                <w:rFonts w:ascii="Times New Roman" w:hAnsi="Times New Roman"/>
                <w:sz w:val="24"/>
              </w:rPr>
            </w:pPr>
            <w:r>
              <w:rPr>
                <w:rFonts w:ascii="Times New Roman" w:hAnsi="Times New Roman"/>
                <w:sz w:val="24"/>
              </w:rPr>
              <w:t>t</w:t>
            </w:r>
            <w:r w:rsidR="0076359C">
              <w:rPr>
                <w:rFonts w:ascii="Times New Roman" w:hAnsi="Times New Roman"/>
                <w:sz w:val="24"/>
              </w:rPr>
              <w:t xml:space="preserve">he </w:t>
            </w:r>
            <w:r w:rsidR="00FD5357">
              <w:rPr>
                <w:rFonts w:ascii="Times New Roman" w:hAnsi="Times New Roman"/>
                <w:sz w:val="24"/>
              </w:rPr>
              <w:t xml:space="preserve">sum of the absolute value of all the </w:t>
            </w:r>
            <w:r>
              <w:rPr>
                <w:rFonts w:ascii="Times New Roman" w:hAnsi="Times New Roman"/>
                <w:sz w:val="24"/>
              </w:rPr>
              <w:t>weighted sensitivit</w:t>
            </w:r>
            <w:r w:rsidR="00FD5357">
              <w:rPr>
                <w:rFonts w:ascii="Times New Roman" w:hAnsi="Times New Roman"/>
                <w:sz w:val="24"/>
              </w:rPr>
              <w:t xml:space="preserve">ies of the securitisation </w:t>
            </w:r>
            <w:r w:rsidR="002C15B7">
              <w:rPr>
                <w:rFonts w:ascii="Times New Roman" w:hAnsi="Times New Roman"/>
                <w:sz w:val="24"/>
              </w:rPr>
              <w:t>to risk factors</w:t>
            </w:r>
            <w:r w:rsidR="00FD5357">
              <w:rPr>
                <w:rFonts w:ascii="Times New Roman" w:hAnsi="Times New Roman"/>
                <w:sz w:val="24"/>
              </w:rPr>
              <w:t xml:space="preserve">, </w:t>
            </w:r>
            <w:r w:rsidR="002C15B7">
              <w:rPr>
                <w:rFonts w:ascii="Times New Roman" w:hAnsi="Times New Roman"/>
                <w:sz w:val="24"/>
              </w:rPr>
              <w:t>as determined for the purposes of calculating the own funds requirements for the credit spread risk for securitisations not included in the ACTP, or the credit spread risk for securitisations in the ACTP, where the institution applies the ASA or AIMA</w:t>
            </w:r>
            <w:r w:rsidR="007A33F8">
              <w:rPr>
                <w:rFonts w:ascii="Times New Roman" w:hAnsi="Times New Roman"/>
                <w:sz w:val="24"/>
              </w:rPr>
              <w:t>.</w:t>
            </w:r>
          </w:p>
          <w:p w14:paraId="4399A172" w14:textId="77777777" w:rsidR="00FC6275" w:rsidRDefault="00FC6275" w:rsidP="00E10B85">
            <w:pPr>
              <w:spacing w:before="0" w:after="0"/>
              <w:jc w:val="left"/>
              <w:rPr>
                <w:rFonts w:ascii="Times New Roman" w:hAnsi="Times New Roman"/>
                <w:b/>
                <w:sz w:val="24"/>
                <w:u w:val="single"/>
              </w:rPr>
            </w:pP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267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268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r w:rsidR="00613578" w:rsidRPr="002A677E">
              <w:rPr>
                <w:rFonts w:ascii="Times New Roman" w:hAnsi="Times New Roman"/>
                <w:sz w:val="24"/>
              </w:rPr>
              <w:t xml:space="preserve">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5281DC76" w14:textId="77777777" w:rsidR="00FC6275" w:rsidRPr="002A677E" w:rsidRDefault="00FC6275" w:rsidP="00E10B85">
            <w:pPr>
              <w:spacing w:before="0" w:after="0"/>
              <w:rPr>
                <w:rFonts w:ascii="Times New Roman" w:hAnsi="Times New Roman"/>
                <w:sz w:val="24"/>
              </w:rPr>
            </w:pPr>
          </w:p>
          <w:p w14:paraId="7D521A02" w14:textId="77777777" w:rsidR="007A33F8" w:rsidRDefault="00FC6275" w:rsidP="007A33F8">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sidR="007A33F8">
              <w:rPr>
                <w:rFonts w:ascii="Times New Roman" w:hAnsi="Times New Roman"/>
                <w:sz w:val="24"/>
              </w:rPr>
              <w:t>following shall be reported:</w:t>
            </w:r>
          </w:p>
          <w:p w14:paraId="51BCA9A6" w14:textId="77777777" w:rsidR="007A33F8" w:rsidRDefault="007A33F8" w:rsidP="001D03A6">
            <w:pPr>
              <w:pStyle w:val="ListParagraph"/>
              <w:numPr>
                <w:ilvl w:val="0"/>
                <w:numId w:val="29"/>
              </w:numPr>
              <w:spacing w:before="0" w:after="0"/>
              <w:jc w:val="left"/>
              <w:rPr>
                <w:rFonts w:ascii="Times New Roman" w:hAnsi="Times New Roman"/>
                <w:sz w:val="24"/>
              </w:rPr>
            </w:pPr>
            <w:r w:rsidRPr="00C21289">
              <w:rPr>
                <w:rFonts w:ascii="Times New Roman" w:hAnsi="Times New Roman"/>
                <w:sz w:val="24"/>
              </w:rPr>
              <w:t xml:space="preserve">the </w:t>
            </w:r>
            <w:r w:rsidR="00FC6275"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4DC526F0" w14:textId="77777777" w:rsidR="007A33F8" w:rsidRPr="00C21289" w:rsidRDefault="007A33F8" w:rsidP="007A33F8">
            <w:pPr>
              <w:pStyle w:val="ListParagraph"/>
              <w:numPr>
                <w:ilvl w:val="0"/>
                <w:numId w:val="29"/>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p>
          <w:p w14:paraId="47754513" w14:textId="77777777" w:rsidR="00FC6275" w:rsidRPr="002A677E" w:rsidRDefault="00FC6275" w:rsidP="00E10B85">
            <w:pPr>
              <w:spacing w:before="0" w:after="0"/>
              <w:jc w:val="left"/>
              <w:rPr>
                <w:rFonts w:ascii="Times New Roman" w:hAnsi="Times New Roman"/>
                <w:sz w:val="24"/>
              </w:rPr>
            </w:pPr>
          </w:p>
        </w:tc>
      </w:tr>
      <w:tr w:rsidR="001B2337" w:rsidRPr="002A677E" w14:paraId="156D043B" w14:textId="77777777" w:rsidTr="00E10B85">
        <w:tc>
          <w:tcPr>
            <w:tcW w:w="1101" w:type="dxa"/>
          </w:tcPr>
          <w:p w14:paraId="2773BDC0" w14:textId="2EE5D4DE" w:rsidR="001B2337" w:rsidRPr="002A677E" w:rsidRDefault="001B2337" w:rsidP="001B2337">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422427A8" w14:textId="77777777" w:rsidR="001B2337" w:rsidRDefault="001B2337" w:rsidP="001B2337">
            <w:pPr>
              <w:spacing w:before="0" w:after="0"/>
              <w:jc w:val="left"/>
              <w:rPr>
                <w:rFonts w:ascii="Times New Roman" w:hAnsi="Times New Roman"/>
                <w:b/>
                <w:sz w:val="24"/>
                <w:u w:val="single"/>
              </w:rPr>
            </w:pPr>
            <w:r>
              <w:rPr>
                <w:rFonts w:ascii="Times New Roman" w:hAnsi="Times New Roman"/>
                <w:b/>
                <w:sz w:val="24"/>
                <w:u w:val="single"/>
              </w:rPr>
              <w:t>OUTPUT FLOOR S-TREA</w:t>
            </w:r>
          </w:p>
          <w:p w14:paraId="00123E2A" w14:textId="77777777" w:rsidR="001B2337" w:rsidRDefault="001B2337" w:rsidP="001B2337">
            <w:pPr>
              <w:spacing w:before="0" w:after="0"/>
              <w:jc w:val="left"/>
              <w:rPr>
                <w:rFonts w:ascii="Times New Roman" w:hAnsi="Times New Roman"/>
                <w:sz w:val="24"/>
              </w:rPr>
            </w:pPr>
          </w:p>
          <w:p w14:paraId="1E4342F9" w14:textId="4A4EB2B1" w:rsidR="001B2337" w:rsidRPr="002A677E" w:rsidRDefault="001B2337" w:rsidP="001B2337">
            <w:pPr>
              <w:spacing w:before="0" w:after="0"/>
              <w:jc w:val="left"/>
              <w:rPr>
                <w:rFonts w:ascii="Times New Roman" w:hAnsi="Times New Roman"/>
                <w:b/>
                <w:sz w:val="24"/>
                <w:u w:val="single"/>
              </w:rPr>
            </w:pPr>
            <w:r w:rsidRPr="005878D9">
              <w:rPr>
                <w:rFonts w:ascii="Times New Roman" w:hAnsi="Times New Roman"/>
                <w:sz w:val="24"/>
              </w:rPr>
              <w:t xml:space="preserve">For institutions subject the output floor as per Article 92(3) </w:t>
            </w:r>
            <w:r w:rsidRPr="005878D9">
              <w:rPr>
                <w:rFonts w:ascii="Times New Roman" w:hAnsi="Times New Roman"/>
                <w:sz w:val="24"/>
                <w:lang w:val="en-US"/>
              </w:rPr>
              <w:t>of Regulation (EU) No 575/2013, the standardised total risk exposure amount (S-TREA) calculated in accordance with Article 92(</w:t>
            </w:r>
            <w:r>
              <w:rPr>
                <w:rFonts w:ascii="Times New Roman" w:hAnsi="Times New Roman"/>
                <w:sz w:val="24"/>
                <w:lang w:val="en-US"/>
              </w:rPr>
              <w:t>5</w:t>
            </w:r>
            <w:r w:rsidRPr="005878D9">
              <w:rPr>
                <w:rFonts w:ascii="Times New Roman" w:hAnsi="Times New Roman"/>
                <w:sz w:val="24"/>
                <w:lang w:val="en-US"/>
              </w:rPr>
              <w:t>).</w:t>
            </w:r>
          </w:p>
        </w:tc>
      </w:tr>
      <w:tr w:rsidR="001B2337" w:rsidRPr="002A677E" w14:paraId="5ADDD45D" w14:textId="77777777" w:rsidTr="00E10B85">
        <w:tc>
          <w:tcPr>
            <w:tcW w:w="1101" w:type="dxa"/>
          </w:tcPr>
          <w:p w14:paraId="277B8410" w14:textId="086C2E0A" w:rsidR="001B2337" w:rsidRPr="002A677E" w:rsidRDefault="001B2337" w:rsidP="001B2337">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392EDBD9" w14:textId="77777777" w:rsidR="001B2337" w:rsidRPr="002A677E" w:rsidRDefault="001B2337" w:rsidP="001B2337">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55B4DFBC" w14:textId="77777777" w:rsidR="001B2337" w:rsidRPr="002A677E" w:rsidRDefault="001B2337" w:rsidP="001B2337">
            <w:pPr>
              <w:spacing w:before="0" w:after="0"/>
              <w:jc w:val="left"/>
              <w:rPr>
                <w:rFonts w:ascii="Times New Roman" w:hAnsi="Times New Roman"/>
                <w:sz w:val="24"/>
              </w:rPr>
            </w:pPr>
          </w:p>
          <w:p w14:paraId="16F80937" w14:textId="7EE04786" w:rsidR="001B2337" w:rsidRPr="002A677E" w:rsidRDefault="001B2337" w:rsidP="001B2337">
            <w:pPr>
              <w:spacing w:before="0" w:after="0"/>
              <w:rPr>
                <w:rFonts w:ascii="Times New Roman" w:hAnsi="Times New Roman"/>
                <w:sz w:val="24"/>
              </w:rPr>
            </w:pPr>
            <w:r>
              <w:rPr>
                <w:rFonts w:ascii="Times New Roman" w:hAnsi="Times New Roman"/>
                <w:sz w:val="24"/>
              </w:rPr>
              <w:t>S-TREA</w:t>
            </w:r>
            <w:r w:rsidRPr="002A677E" w:rsidDel="00A730C4">
              <w:rPr>
                <w:rFonts w:ascii="Times New Roman" w:hAnsi="Times New Roman"/>
                <w:sz w:val="24"/>
              </w:rPr>
              <w:t xml:space="preserve"> </w:t>
            </w:r>
            <w:r w:rsidRPr="002A677E">
              <w:rPr>
                <w:rFonts w:ascii="Times New Roman" w:hAnsi="Times New Roman"/>
                <w:sz w:val="24"/>
              </w:rPr>
              <w:t xml:space="preserve">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44863542" w14:textId="77777777" w:rsidR="001B2337" w:rsidRPr="002A677E" w:rsidRDefault="001B2337" w:rsidP="001B2337">
            <w:pPr>
              <w:spacing w:before="0" w:after="0"/>
              <w:jc w:val="left"/>
              <w:rPr>
                <w:rFonts w:ascii="Times New Roman" w:hAnsi="Times New Roman"/>
                <w:sz w:val="24"/>
              </w:rPr>
            </w:pPr>
            <w:r w:rsidRPr="002A677E">
              <w:rPr>
                <w:rFonts w:ascii="Times New Roman" w:hAnsi="Times New Roman"/>
                <w:sz w:val="24"/>
              </w:rPr>
              <w:t xml:space="preserve"> </w:t>
            </w:r>
          </w:p>
          <w:p w14:paraId="1420D911" w14:textId="1BB31781" w:rsidR="001A208E" w:rsidRDefault="001B2337" w:rsidP="001A208E">
            <w:pPr>
              <w:spacing w:before="0" w:after="0"/>
              <w:jc w:val="left"/>
              <w:rPr>
                <w:rFonts w:ascii="Times New Roman" w:hAnsi="Times New Roman"/>
                <w:sz w:val="24"/>
              </w:rPr>
            </w:pPr>
            <w:r w:rsidRPr="002A677E">
              <w:rPr>
                <w:rFonts w:ascii="Times New Roman" w:hAnsi="Times New Roman"/>
                <w:sz w:val="24"/>
              </w:rPr>
              <w:lastRenderedPageBreak/>
              <w:t xml:space="preserve">In the case of securitisations in the trading book, the </w:t>
            </w:r>
            <w:r w:rsidR="001A208E">
              <w:rPr>
                <w:rFonts w:ascii="Times New Roman" w:hAnsi="Times New Roman"/>
                <w:sz w:val="24"/>
              </w:rPr>
              <w:t>following shall be reported:</w:t>
            </w:r>
          </w:p>
          <w:p w14:paraId="4B342523" w14:textId="77777777" w:rsidR="001A208E" w:rsidRDefault="001A208E" w:rsidP="001D03A6">
            <w:pPr>
              <w:pStyle w:val="ListParagraph"/>
              <w:numPr>
                <w:ilvl w:val="0"/>
                <w:numId w:val="29"/>
              </w:numPr>
              <w:spacing w:before="0" w:after="0"/>
              <w:jc w:val="left"/>
              <w:rPr>
                <w:rFonts w:ascii="Times New Roman" w:hAnsi="Times New Roman"/>
                <w:sz w:val="24"/>
              </w:rPr>
            </w:pPr>
            <w:r w:rsidRPr="00C21289">
              <w:rPr>
                <w:rFonts w:ascii="Times New Roman" w:hAnsi="Times New Roman"/>
                <w:sz w:val="24"/>
              </w:rPr>
              <w:t xml:space="preserve">the </w:t>
            </w:r>
            <w:r w:rsidR="001B2337"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2A817FE4" w14:textId="6284F497" w:rsidR="001A208E" w:rsidRPr="00C21289" w:rsidRDefault="001A208E" w:rsidP="001A208E">
            <w:pPr>
              <w:pStyle w:val="ListParagraph"/>
              <w:numPr>
                <w:ilvl w:val="0"/>
                <w:numId w:val="29"/>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p>
          <w:tbl>
            <w:tblPr>
              <w:tblStyle w:val="TableGrid"/>
              <w:tblW w:w="0" w:type="auto"/>
              <w:tblLook w:val="04A0" w:firstRow="1" w:lastRow="0" w:firstColumn="1" w:lastColumn="0" w:noHBand="0" w:noVBand="1"/>
            </w:tblPr>
            <w:tblGrid>
              <w:gridCol w:w="7587"/>
            </w:tblGrid>
            <w:tr w:rsidR="000B0C9C" w14:paraId="77399D87" w14:textId="77777777">
              <w:tc>
                <w:tcPr>
                  <w:tcW w:w="7587" w:type="dxa"/>
                </w:tcPr>
                <w:p w14:paraId="14CB56F6" w14:textId="77777777" w:rsidR="000B0C9C" w:rsidRPr="0051092B" w:rsidRDefault="000B0C9C" w:rsidP="000B0C9C">
                  <w:pPr>
                    <w:pStyle w:val="body"/>
                    <w:rPr>
                      <w:b/>
                      <w:bCs/>
                      <w:lang w:val="en-GB"/>
                    </w:rPr>
                  </w:pPr>
                  <w:r w:rsidRPr="0051092B">
                    <w:rPr>
                      <w:b/>
                      <w:bCs/>
                      <w:lang w:val="en-GB"/>
                    </w:rPr>
                    <w:t>Explanatory text for consultation purposes</w:t>
                  </w:r>
                </w:p>
                <w:p w14:paraId="57D3E65F" w14:textId="24698685" w:rsidR="000B0C9C" w:rsidRDefault="00B01919" w:rsidP="000B0C9C">
                  <w:pPr>
                    <w:pStyle w:val="body"/>
                    <w:rPr>
                      <w:rFonts w:ascii="Times New Roman" w:hAnsi="Times New Roman" w:cs="Times New Roman"/>
                      <w:lang w:val="en-GB"/>
                    </w:rPr>
                  </w:pPr>
                  <w:r>
                    <w:rPr>
                      <w:lang w:val="en-GB"/>
                    </w:rPr>
                    <w:t xml:space="preserve">For reasons of simplicity, and despite the fact that it will not reflect the differences between the calculation of the S-TREA and the U-TREA (see new columns below), both institutions applying the ASA and institutions applying the AIMA are asked to </w:t>
                  </w:r>
                  <w:r w:rsidR="00661E57">
                    <w:rPr>
                      <w:lang w:val="en-GB"/>
                    </w:rPr>
                    <w:t xml:space="preserve">simply </w:t>
                  </w:r>
                  <w:r>
                    <w:rPr>
                      <w:lang w:val="en-GB"/>
                    </w:rPr>
                    <w:t xml:space="preserve">report the </w:t>
                  </w:r>
                  <w:r w:rsidR="00661E57">
                    <w:rPr>
                      <w:lang w:val="en-GB"/>
                    </w:rPr>
                    <w:t>sum of the weighted sensitivities determined on the basis of the SbM for the credit spread risk of the securitisation. Due to the output floor rules, both ASA and AIMA institutions are expected to have this value available without additional effort.</w:t>
                  </w:r>
                </w:p>
              </w:tc>
            </w:tr>
          </w:tbl>
          <w:p w14:paraId="488614EE"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249FDA29" w14:textId="77777777" w:rsidTr="00E10B85">
        <w:tc>
          <w:tcPr>
            <w:tcW w:w="1101" w:type="dxa"/>
          </w:tcPr>
          <w:p w14:paraId="2A324B8A" w14:textId="3F4E117D" w:rsidR="001B2337" w:rsidRPr="002A677E" w:rsidRDefault="001B2337" w:rsidP="001B2337">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3101B0B8" w14:textId="77777777" w:rsidR="001B2337" w:rsidRPr="002A677E" w:rsidRDefault="001B2337" w:rsidP="001B2337">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8E54130" w14:textId="77777777" w:rsidR="001B2337" w:rsidRPr="002A677E" w:rsidRDefault="001B2337" w:rsidP="001B2337">
            <w:pPr>
              <w:spacing w:before="0" w:after="0"/>
              <w:jc w:val="left"/>
              <w:rPr>
                <w:rFonts w:ascii="Times New Roman" w:hAnsi="Times New Roman"/>
                <w:b/>
                <w:sz w:val="24"/>
                <w:u w:val="single"/>
              </w:rPr>
            </w:pPr>
          </w:p>
          <w:p w14:paraId="7E0286B5" w14:textId="77777777" w:rsidR="001B2337" w:rsidRPr="002A677E" w:rsidRDefault="001B2337" w:rsidP="001B2337">
            <w:pPr>
              <w:spacing w:before="0" w:after="0"/>
              <w:jc w:val="left"/>
              <w:rPr>
                <w:rFonts w:ascii="Times New Roman" w:hAnsi="Times New Roman"/>
                <w:sz w:val="24"/>
              </w:rPr>
            </w:pPr>
            <w:r>
              <w:rPr>
                <w:rFonts w:ascii="Times New Roman" w:hAnsi="Times New Roman"/>
                <w:bCs/>
                <w:sz w:val="24"/>
                <w:lang w:bidi="ne-NP"/>
              </w:rPr>
              <w:t xml:space="preserve">Reduction of S-TREA due to the risk weight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r>
              <w:rPr>
                <w:rFonts w:ascii="Times New Roman" w:hAnsi="Times New Roman"/>
                <w:sz w:val="24"/>
                <w:lang w:val="en-US"/>
              </w:rPr>
              <w:t>.</w:t>
            </w:r>
          </w:p>
          <w:p w14:paraId="6688AE9E"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775E5C90" w14:textId="77777777" w:rsidTr="00E10B85">
        <w:tc>
          <w:tcPr>
            <w:tcW w:w="1101" w:type="dxa"/>
          </w:tcPr>
          <w:p w14:paraId="149456AA" w14:textId="41F6B767" w:rsidR="001B2337" w:rsidRPr="002A677E" w:rsidRDefault="001B2337" w:rsidP="001B2337">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E6C8C1" w14:textId="77777777" w:rsidR="001B2337" w:rsidRPr="002A677E" w:rsidRDefault="001B2337" w:rsidP="001B2337">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20B061E4" w14:textId="77777777" w:rsidR="001B2337" w:rsidRPr="002A677E" w:rsidRDefault="001B2337" w:rsidP="001B2337">
            <w:pPr>
              <w:spacing w:before="0" w:after="0"/>
              <w:jc w:val="left"/>
              <w:rPr>
                <w:rFonts w:ascii="Times New Roman" w:hAnsi="Times New Roman"/>
                <w:b/>
                <w:sz w:val="24"/>
                <w:u w:val="single"/>
              </w:rPr>
            </w:pPr>
          </w:p>
          <w:p w14:paraId="29A83023" w14:textId="77777777" w:rsidR="001B2337" w:rsidRPr="002A677E" w:rsidRDefault="001B2337" w:rsidP="001B2337">
            <w:pPr>
              <w:spacing w:before="0" w:after="0"/>
              <w:jc w:val="left"/>
              <w:rPr>
                <w:rFonts w:ascii="Times New Roman" w:hAnsi="Times New Roman"/>
                <w:sz w:val="24"/>
              </w:rPr>
            </w:pPr>
            <w:r>
              <w:rPr>
                <w:rFonts w:ascii="Times New Roman" w:hAnsi="Times New Roman"/>
                <w:bCs/>
                <w:sz w:val="24"/>
                <w:lang w:bidi="ne-NP"/>
              </w:rPr>
              <w:t xml:space="preserve">Reduction of S-TREA due to the overall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Pr>
                <w:rFonts w:ascii="Times New Roman" w:hAnsi="Times New Roman"/>
                <w:sz w:val="24"/>
                <w:lang w:val="en-US"/>
              </w:rPr>
              <w:t>.</w:t>
            </w:r>
            <w:r w:rsidRPr="002A677E">
              <w:rPr>
                <w:rFonts w:ascii="Times New Roman" w:hAnsi="Times New Roman"/>
                <w:sz w:val="24"/>
              </w:rPr>
              <w:t xml:space="preserve"> </w:t>
            </w:r>
          </w:p>
          <w:p w14:paraId="19CD6312"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702FBF6A" w14:textId="77777777" w:rsidTr="00E10B85">
        <w:tc>
          <w:tcPr>
            <w:tcW w:w="1101" w:type="dxa"/>
          </w:tcPr>
          <w:p w14:paraId="102725C5" w14:textId="344B6D0E" w:rsidR="001B2337" w:rsidRPr="002A677E" w:rsidRDefault="001B2337" w:rsidP="001B2337">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4CA390B8" w14:textId="77777777" w:rsidR="001B2337" w:rsidRPr="002A677E" w:rsidRDefault="001B2337" w:rsidP="001B2337">
            <w:pPr>
              <w:spacing w:before="0" w:after="0"/>
              <w:jc w:val="left"/>
              <w:rPr>
                <w:rFonts w:ascii="Times New Roman" w:hAnsi="Times New Roman"/>
                <w:b/>
                <w:sz w:val="24"/>
                <w:u w:val="single"/>
              </w:rPr>
            </w:pPr>
            <w:r w:rsidRPr="002A677E">
              <w:rPr>
                <w:rFonts w:ascii="Times New Roman" w:hAnsi="Times New Roman"/>
                <w:b/>
                <w:sz w:val="24"/>
                <w:u w:val="single"/>
              </w:rPr>
              <w:t>AFTER CAP</w:t>
            </w:r>
          </w:p>
          <w:p w14:paraId="39F3CC7E" w14:textId="77777777" w:rsidR="001B2337" w:rsidRPr="002A677E" w:rsidRDefault="001B2337" w:rsidP="001B2337">
            <w:pPr>
              <w:spacing w:before="0" w:after="0"/>
              <w:jc w:val="left"/>
              <w:rPr>
                <w:rFonts w:ascii="Times New Roman" w:hAnsi="Times New Roman"/>
                <w:sz w:val="24"/>
              </w:rPr>
            </w:pPr>
          </w:p>
          <w:p w14:paraId="58F8DBF5" w14:textId="1F128545" w:rsidR="001B2337" w:rsidRPr="002A677E" w:rsidRDefault="001B2337" w:rsidP="001B2337">
            <w:pPr>
              <w:spacing w:before="0" w:after="0"/>
              <w:rPr>
                <w:rFonts w:ascii="Times New Roman" w:hAnsi="Times New Roman"/>
                <w:sz w:val="24"/>
              </w:rPr>
            </w:pPr>
            <w:r w:rsidRPr="002A677E">
              <w:rPr>
                <w:rFonts w:ascii="Times New Roman" w:hAnsi="Times New Roman"/>
                <w:sz w:val="24"/>
              </w:rPr>
              <w:t xml:space="preserve">This column gathers information on the </w:t>
            </w:r>
            <w:r>
              <w:rPr>
                <w:rFonts w:ascii="Times New Roman" w:hAnsi="Times New Roman"/>
                <w:sz w:val="24"/>
              </w:rPr>
              <w:t>S-TREA</w:t>
            </w:r>
            <w:r w:rsidRPr="002A677E">
              <w:rPr>
                <w:rFonts w:ascii="Times New Roman" w:hAnsi="Times New Roman"/>
                <w:sz w:val="24"/>
              </w:rPr>
              <w:t xml:space="preserve">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5E1B2C34" w14:textId="77777777" w:rsidR="001B2337" w:rsidRPr="002A677E" w:rsidRDefault="001B2337" w:rsidP="001B2337">
            <w:pPr>
              <w:spacing w:before="0" w:after="0"/>
              <w:rPr>
                <w:rFonts w:ascii="Times New Roman" w:hAnsi="Times New Roman"/>
                <w:sz w:val="24"/>
              </w:rPr>
            </w:pPr>
          </w:p>
          <w:p w14:paraId="05376990" w14:textId="77777777" w:rsidR="002B0EC3" w:rsidRDefault="001B2337" w:rsidP="002B0EC3">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sidR="002B0EC3">
              <w:rPr>
                <w:rFonts w:ascii="Times New Roman" w:hAnsi="Times New Roman"/>
                <w:sz w:val="24"/>
              </w:rPr>
              <w:t>following shall be reported:</w:t>
            </w:r>
          </w:p>
          <w:p w14:paraId="39D95FAD" w14:textId="77777777" w:rsidR="002B0EC3" w:rsidRDefault="002B0EC3" w:rsidP="001D03A6">
            <w:pPr>
              <w:pStyle w:val="ListParagraph"/>
              <w:numPr>
                <w:ilvl w:val="0"/>
                <w:numId w:val="29"/>
              </w:numPr>
              <w:spacing w:before="0" w:after="0"/>
              <w:jc w:val="left"/>
              <w:rPr>
                <w:rFonts w:ascii="Times New Roman" w:hAnsi="Times New Roman"/>
                <w:sz w:val="24"/>
              </w:rPr>
            </w:pPr>
            <w:r w:rsidRPr="00C21289">
              <w:rPr>
                <w:rFonts w:ascii="Times New Roman" w:hAnsi="Times New Roman"/>
                <w:sz w:val="24"/>
              </w:rPr>
              <w:t xml:space="preserve">the </w:t>
            </w:r>
            <w:r w:rsidR="001B2337"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633849AF" w14:textId="58D33BEF" w:rsidR="002B0EC3" w:rsidRPr="00C21289" w:rsidRDefault="002B0EC3" w:rsidP="002B0EC3">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the sum of the absolute value of all the weighted sensitivities of the securitisation to risk factors, as determined for the purposes of calculating the own funds requirements for the credit spread risk for securitisations not included </w:t>
            </w:r>
            <w:r>
              <w:rPr>
                <w:rFonts w:ascii="Times New Roman" w:hAnsi="Times New Roman"/>
                <w:sz w:val="24"/>
              </w:rPr>
              <w:lastRenderedPageBreak/>
              <w:t>in the ACTP, or the credit spread risk for securitisations in the ACTP, where the institution applies the ASA.</w:t>
            </w:r>
          </w:p>
          <w:p w14:paraId="48E0B941" w14:textId="77777777" w:rsidR="001B2337" w:rsidRPr="002A677E" w:rsidRDefault="001B2337" w:rsidP="001B2337">
            <w:pPr>
              <w:spacing w:before="0" w:after="0"/>
              <w:jc w:val="left"/>
              <w:rPr>
                <w:rFonts w:ascii="Times New Roman" w:hAnsi="Times New Roman"/>
                <w:b/>
                <w:sz w:val="24"/>
                <w:u w:val="single"/>
              </w:rPr>
            </w:pPr>
          </w:p>
        </w:tc>
      </w:tr>
      <w:tr w:rsidR="00FC6275" w:rsidRPr="002A677E" w14:paraId="6A272CD6" w14:textId="77777777" w:rsidTr="00E10B85">
        <w:tc>
          <w:tcPr>
            <w:tcW w:w="1101" w:type="dxa"/>
          </w:tcPr>
          <w:p w14:paraId="6E390299" w14:textId="2FA0FC0C"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447-</w:t>
            </w:r>
            <w:r w:rsidRPr="002A677E">
              <w:rPr>
                <w:rFonts w:ascii="Times New Roman" w:hAnsi="Times New Roman"/>
                <w:sz w:val="24"/>
              </w:rPr>
              <w:t>0</w:t>
            </w:r>
            <w:r w:rsidR="00FC6275" w:rsidRPr="002A677E">
              <w:rPr>
                <w:rFonts w:ascii="Times New Roman" w:hAnsi="Times New Roman"/>
                <w:sz w:val="24"/>
              </w:rPr>
              <w:t>4</w:t>
            </w:r>
            <w:r w:rsidR="000B169F">
              <w:rPr>
                <w:rFonts w:ascii="Times New Roman" w:hAnsi="Times New Roman"/>
                <w:sz w:val="24"/>
              </w:rPr>
              <w:t>xx</w:t>
            </w:r>
          </w:p>
        </w:tc>
        <w:tc>
          <w:tcPr>
            <w:tcW w:w="7903" w:type="dxa"/>
          </w:tcPr>
          <w:p w14:paraId="3DB090B6" w14:textId="2D80B2D0" w:rsidR="00171149"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ITEMS</w:t>
            </w:r>
          </w:p>
          <w:p w14:paraId="1C259DE5" w14:textId="3022D3E9" w:rsidR="00FC6275" w:rsidRPr="002A677E" w:rsidRDefault="00FC6275" w:rsidP="00E10B85">
            <w:pPr>
              <w:spacing w:before="0" w:after="0"/>
              <w:jc w:val="left"/>
              <w:rPr>
                <w:rFonts w:ascii="Times New Roman" w:hAnsi="Times New Roman"/>
                <w:b/>
                <w:sz w:val="24"/>
                <w:u w:val="single"/>
              </w:rPr>
            </w:pP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263 and 264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only be reported for rated transactions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261 and 262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be reported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DE0EDA" w:rsidRPr="002A677E" w14:paraId="5D0A8A95" w14:textId="77777777" w:rsidTr="00E10B85">
        <w:tc>
          <w:tcPr>
            <w:tcW w:w="1101" w:type="dxa"/>
            <w:shd w:val="clear" w:color="auto" w:fill="auto"/>
          </w:tcPr>
          <w:p w14:paraId="223A9A59" w14:textId="5D9C95CC" w:rsidR="00DE0EDA" w:rsidRPr="002A677E" w:rsidRDefault="00E70F4F" w:rsidP="00677A91">
            <w:pPr>
              <w:autoSpaceDE w:val="0"/>
              <w:autoSpaceDN w:val="0"/>
              <w:adjustRightInd w:val="0"/>
              <w:spacing w:before="0" w:after="0"/>
              <w:rPr>
                <w:rFonts w:ascii="Times New Roman" w:hAnsi="Times New Roman"/>
                <w:sz w:val="24"/>
              </w:rPr>
            </w:pPr>
            <w:r>
              <w:rPr>
                <w:rFonts w:ascii="Times New Roman" w:hAnsi="Times New Roman"/>
                <w:sz w:val="24"/>
              </w:rPr>
              <w:t>0</w:t>
            </w:r>
            <w:r w:rsidR="00976BDB">
              <w:rPr>
                <w:rFonts w:ascii="Times New Roman" w:hAnsi="Times New Roman"/>
                <w:sz w:val="24"/>
              </w:rPr>
              <w:t>451</w:t>
            </w:r>
            <w:r>
              <w:rPr>
                <w:rFonts w:ascii="Times New Roman" w:hAnsi="Times New Roman"/>
                <w:sz w:val="24"/>
              </w:rPr>
              <w:t>-0</w:t>
            </w:r>
            <w:r w:rsidR="00976BDB">
              <w:rPr>
                <w:rFonts w:ascii="Times New Roman" w:hAnsi="Times New Roman"/>
                <w:sz w:val="24"/>
              </w:rPr>
              <w:t>453</w:t>
            </w:r>
          </w:p>
        </w:tc>
        <w:tc>
          <w:tcPr>
            <w:tcW w:w="7903" w:type="dxa"/>
            <w:shd w:val="clear" w:color="auto" w:fill="auto"/>
          </w:tcPr>
          <w:p w14:paraId="0481086E" w14:textId="2EB0BC3F" w:rsidR="00DE0EDA" w:rsidRDefault="00E70F4F" w:rsidP="00E10B85">
            <w:pPr>
              <w:spacing w:before="0" w:after="0"/>
              <w:jc w:val="left"/>
              <w:rPr>
                <w:rFonts w:ascii="Times New Roman" w:hAnsi="Times New Roman"/>
                <w:b/>
                <w:sz w:val="24"/>
                <w:u w:val="single"/>
              </w:rPr>
            </w:pPr>
            <w:r w:rsidRPr="00E70F4F">
              <w:rPr>
                <w:rFonts w:ascii="Times New Roman" w:hAnsi="Times New Roman"/>
                <w:b/>
                <w:sz w:val="24"/>
                <w:u w:val="single"/>
              </w:rPr>
              <w:t xml:space="preserve">OUTPUT FLOOR: RWEA RELATED TO THE IMPACT OF APPLICATION </w:t>
            </w:r>
            <w:r w:rsidR="00ED6152">
              <w:rPr>
                <w:rFonts w:ascii="Times New Roman" w:hAnsi="Times New Roman"/>
                <w:b/>
                <w:sz w:val="24"/>
                <w:u w:val="single"/>
              </w:rPr>
              <w:t>OF</w:t>
            </w:r>
            <w:r w:rsidRPr="00E70F4F">
              <w:rPr>
                <w:rFonts w:ascii="Times New Roman" w:hAnsi="Times New Roman"/>
                <w:b/>
                <w:sz w:val="24"/>
                <w:u w:val="single"/>
              </w:rPr>
              <w:t xml:space="preserve"> </w:t>
            </w:r>
            <w:r w:rsidR="00ED6152">
              <w:rPr>
                <w:rFonts w:ascii="Times New Roman" w:hAnsi="Times New Roman"/>
                <w:b/>
                <w:sz w:val="24"/>
                <w:u w:val="single"/>
              </w:rPr>
              <w:t>ARTICLE</w:t>
            </w:r>
            <w:r w:rsidRPr="00E70F4F">
              <w:rPr>
                <w:rFonts w:ascii="Times New Roman" w:hAnsi="Times New Roman"/>
                <w:b/>
                <w:sz w:val="24"/>
                <w:u w:val="single"/>
              </w:rPr>
              <w:t xml:space="preserve"> 465(5b) </w:t>
            </w:r>
            <w:r w:rsidR="00DB1B54">
              <w:rPr>
                <w:rFonts w:ascii="Times New Roman" w:hAnsi="Times New Roman"/>
                <w:b/>
                <w:sz w:val="24"/>
                <w:u w:val="single"/>
              </w:rPr>
              <w:t>OF REGULATION (EU) NO 575/2013</w:t>
            </w:r>
          </w:p>
          <w:p w14:paraId="3D400B9E" w14:textId="6EE5F3B3" w:rsidR="00DE0EDA" w:rsidRPr="002A677E" w:rsidRDefault="005931E3" w:rsidP="00E10B85">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sidR="00AA42A1">
              <w:rPr>
                <w:rFonts w:ascii="Times New Roman" w:hAnsi="Times New Roman"/>
                <w:sz w:val="24"/>
                <w:lang w:val="en-US"/>
              </w:rPr>
              <w:t xml:space="preserve"> for </w:t>
            </w:r>
            <w:r w:rsidR="00A026D1">
              <w:rPr>
                <w:rFonts w:ascii="Times New Roman" w:hAnsi="Times New Roman"/>
                <w:sz w:val="24"/>
                <w:lang w:val="en-US"/>
              </w:rPr>
              <w:t xml:space="preserve">each of the three approaches: SEC-IRBA, internal assessment approach and </w:t>
            </w:r>
            <w:r w:rsidR="0081359E">
              <w:rPr>
                <w:rFonts w:ascii="Times New Roman" w:hAnsi="Times New Roman"/>
                <w:sz w:val="24"/>
                <w:lang w:val="en-US"/>
              </w:rPr>
              <w:t xml:space="preserve">specific treatmemt of senior tranches in </w:t>
            </w:r>
            <w:r w:rsidR="00244ADD">
              <w:rPr>
                <w:rFonts w:ascii="Times New Roman" w:hAnsi="Times New Roman"/>
                <w:sz w:val="24"/>
                <w:lang w:val="en-US"/>
              </w:rPr>
              <w:t>qualifying SPE securitisations.</w:t>
            </w: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77A91" w:rsidRPr="002A677E">
              <w:rPr>
                <w:rFonts w:ascii="Times New Roman" w:hAnsi="Times New Roman"/>
                <w:sz w:val="24"/>
              </w:rPr>
              <w:t>450-</w:t>
            </w:r>
            <w:r w:rsidRPr="002A677E">
              <w:rPr>
                <w:rFonts w:ascii="Times New Roman" w:hAnsi="Times New Roman"/>
                <w:sz w:val="24"/>
              </w:rPr>
              <w:t>0</w:t>
            </w:r>
            <w:r w:rsidR="00677A91" w:rsidRPr="002A677E">
              <w:rPr>
                <w:rFonts w:ascii="Times New Roman" w:hAnsi="Times New Roman"/>
                <w:sz w:val="24"/>
              </w:rPr>
              <w:t>47</w:t>
            </w:r>
            <w:r w:rsidR="00FC6275" w:rsidRPr="002A677E">
              <w:rPr>
                <w:rFonts w:ascii="Times New Roman" w:hAnsi="Times New Roman"/>
                <w:sz w:val="24"/>
              </w:rPr>
              <w:t>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3060BCBC" w:rsidR="00FC6275" w:rsidRPr="002A677E" w:rsidDel="00304CB1" w:rsidRDefault="00976BDB" w:rsidP="00E10B85">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Institutions shall r</w:t>
            </w:r>
            <w:r w:rsidR="00FC6275" w:rsidRPr="002A677E">
              <w:rPr>
                <w:rStyle w:val="InstructionsTabelleText"/>
                <w:rFonts w:ascii="Times New Roman" w:hAnsi="Times New Roman"/>
                <w:sz w:val="24"/>
              </w:rPr>
              <w:t xml:space="preserve">eport </w:t>
            </w:r>
            <w:r w:rsidR="000D1FBE">
              <w:rPr>
                <w:rStyle w:val="InstructionsTabelleText"/>
                <w:rFonts w:ascii="Times New Roman" w:hAnsi="Times New Roman"/>
                <w:sz w:val="24"/>
              </w:rPr>
              <w:t xml:space="preserve">one of </w:t>
            </w:r>
            <w:r w:rsidR="00FC6275" w:rsidRPr="002A677E">
              <w:rPr>
                <w:rStyle w:val="InstructionsTabelleText"/>
                <w:rFonts w:ascii="Times New Roman" w:hAnsi="Times New Roman"/>
                <w:sz w:val="24"/>
              </w:rPr>
              <w:t>the following:</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C</w:t>
            </w:r>
            <w:r>
              <w:rPr>
                <w:rStyle w:val="InstructionsTabelleText"/>
                <w:rFonts w:ascii="Times New Roman" w:hAnsi="Times New Roman"/>
                <w:sz w:val="24"/>
              </w:rPr>
              <w:t>TP’</w:t>
            </w:r>
            <w:r w:rsidR="00FC6275" w:rsidRPr="002A677E">
              <w:rPr>
                <w:rStyle w:val="InstructionsTabelleText"/>
                <w:rFonts w:ascii="Times New Roman" w:hAnsi="Times New Roman"/>
                <w:sz w:val="24"/>
              </w:rPr>
              <w:t xml:space="preserve"> - Correlation Trading 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Non-CTP</w:t>
            </w:r>
            <w:r>
              <w:rPr>
                <w:rStyle w:val="InstructionsTabelleText"/>
                <w:rFonts w:ascii="Times New Roman" w:hAnsi="Times New Roman"/>
                <w:sz w:val="24"/>
              </w:rPr>
              <w:t>’.</w:t>
            </w:r>
          </w:p>
          <w:p w14:paraId="51F86ACD"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1435E2">
      <w:pPr>
        <w:pStyle w:val="ListParagraph"/>
        <w:keepNext/>
        <w:numPr>
          <w:ilvl w:val="1"/>
          <w:numId w:val="48"/>
        </w:numPr>
        <w:spacing w:before="240" w:after="240"/>
        <w:outlineLvl w:val="1"/>
        <w:rPr>
          <w:rFonts w:ascii="Times New Roman" w:hAnsi="Times New Roman"/>
          <w:sz w:val="24"/>
        </w:rPr>
      </w:pPr>
      <w:bookmarkStart w:id="434" w:name="_Toc19715796"/>
      <w:bookmarkStart w:id="435" w:name="_Toc151714441"/>
      <w:r w:rsidRPr="002A677E">
        <w:rPr>
          <w:rFonts w:ascii="Times New Roman" w:hAnsi="Times New Roman"/>
          <w:sz w:val="24"/>
        </w:rPr>
        <w:t>Counterparty Credit Risk</w:t>
      </w:r>
      <w:bookmarkEnd w:id="434"/>
      <w:bookmarkEnd w:id="435"/>
    </w:p>
    <w:p w14:paraId="3C6C03EE" w14:textId="43ACB553" w:rsidR="00595FAD" w:rsidRPr="002A677E" w:rsidRDefault="00595FAD" w:rsidP="000059B8">
      <w:pPr>
        <w:pStyle w:val="Instructionsberschrift2"/>
        <w:numPr>
          <w:ilvl w:val="2"/>
          <w:numId w:val="48"/>
        </w:numPr>
        <w:rPr>
          <w:rFonts w:ascii="Times New Roman" w:hAnsi="Times New Roman" w:cs="Times New Roman"/>
          <w:sz w:val="24"/>
          <w:lang w:val="en-GB"/>
        </w:rPr>
      </w:pPr>
      <w:bookmarkStart w:id="436" w:name="_Toc19712307"/>
      <w:bookmarkStart w:id="437" w:name="_Toc19715797"/>
      <w:bookmarkStart w:id="438" w:name="_Toc19715798"/>
      <w:bookmarkStart w:id="439" w:name="_Toc19715799"/>
      <w:bookmarkStart w:id="440" w:name="_Toc19715800"/>
      <w:bookmarkStart w:id="441" w:name="_Toc19715801"/>
      <w:bookmarkStart w:id="442" w:name="_Toc5612629"/>
      <w:bookmarkStart w:id="443" w:name="_Toc19715802"/>
      <w:bookmarkStart w:id="444" w:name="_Toc151714442"/>
      <w:bookmarkEnd w:id="436"/>
      <w:bookmarkEnd w:id="437"/>
      <w:bookmarkEnd w:id="438"/>
      <w:bookmarkEnd w:id="439"/>
      <w:bookmarkEnd w:id="440"/>
      <w:bookmarkEnd w:id="441"/>
      <w:r w:rsidRPr="002A677E">
        <w:rPr>
          <w:rFonts w:ascii="Times New Roman" w:hAnsi="Times New Roman" w:cs="Times New Roman"/>
          <w:sz w:val="24"/>
          <w:lang w:val="en-GB"/>
        </w:rPr>
        <w:t>Scope of the counterparty credit risk templates</w:t>
      </w:r>
      <w:bookmarkEnd w:id="442"/>
      <w:bookmarkEnd w:id="443"/>
      <w:bookmarkEnd w:id="444"/>
    </w:p>
    <w:p w14:paraId="16DF9742" w14:textId="16642922"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121</w:t>
      </w:r>
      <w:r>
        <w:fldChar w:fldCharType="end"/>
      </w:r>
      <w:r w:rsidR="00595FAD" w:rsidRPr="002A677E">
        <w:t>. The counterparty credit risk templates cover information on exposures</w:t>
      </w:r>
      <w:r w:rsidR="00402284">
        <w:t xml:space="preserve"> </w:t>
      </w:r>
      <w:r w:rsidR="00595FAD" w:rsidRPr="002A677E">
        <w:t>subject to counterparty credit risk in application Part Three</w:t>
      </w:r>
      <w:r w:rsidR="00215CD7" w:rsidRPr="002A677E">
        <w:t>,</w:t>
      </w:r>
      <w:r w:rsidR="00595FAD" w:rsidRPr="002A677E">
        <w:t xml:space="preserve"> </w:t>
      </w:r>
      <w:r w:rsidR="00215CD7" w:rsidRPr="002A677E">
        <w:t xml:space="preserve">Title II, Chapters 4 and 6 </w:t>
      </w:r>
      <w:r w:rsidR="00215CD7" w:rsidRPr="001235ED">
        <w:rPr>
          <w:lang w:val="en-US"/>
        </w:rPr>
        <w:t>of Regulation (EU) No 575/2013</w:t>
      </w:r>
      <w:r w:rsidR="00595FAD" w:rsidRPr="002A677E">
        <w:t>.</w:t>
      </w:r>
    </w:p>
    <w:p w14:paraId="1ABA71A1" w14:textId="328EE81C"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122</w:t>
      </w:r>
      <w:r>
        <w:fldChar w:fldCharType="end"/>
      </w:r>
      <w:r w:rsidR="00595FAD" w:rsidRPr="002A677E">
        <w:t>. The templates exclude the own funds requirements for CVA risk (Article 92(</w:t>
      </w:r>
      <w:r w:rsidR="00F46738">
        <w:t>4</w:t>
      </w:r>
      <w:r w:rsidR="00595FAD" w:rsidRPr="002A677E">
        <w:t>)</w:t>
      </w:r>
      <w:r w:rsidR="00B83DDE">
        <w:t>, p</w:t>
      </w:r>
      <w:r w:rsidR="00945ED3" w:rsidRPr="002A677E">
        <w:t>oint (d)</w:t>
      </w:r>
      <w:r w:rsidR="00402284">
        <w:t xml:space="preserve"> </w:t>
      </w:r>
      <w:r w:rsidR="00595FAD" w:rsidRPr="002A677E">
        <w:t>and Part Three</w:t>
      </w:r>
      <w:r w:rsidR="00945ED3" w:rsidRPr="002A677E">
        <w:t>,</w:t>
      </w:r>
      <w:r w:rsidR="00595FAD" w:rsidRPr="002A677E">
        <w:t xml:space="preserve"> </w:t>
      </w:r>
      <w:r w:rsidR="00945ED3" w:rsidRPr="002A677E">
        <w:t xml:space="preserve">Title VI </w:t>
      </w:r>
      <w:r w:rsidR="00215CD7" w:rsidRPr="001235ED">
        <w:rPr>
          <w:lang w:val="en-US"/>
        </w:rPr>
        <w:t>of Regulation (EU) No 575/2013</w:t>
      </w:r>
      <w:r w:rsidR="00595FAD" w:rsidRPr="002A677E">
        <w:t xml:space="preserve">), which are reported in the CVA risk template. </w:t>
      </w:r>
    </w:p>
    <w:p w14:paraId="7DA5FF3B" w14:textId="2F6B5A88"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123</w:t>
      </w:r>
      <w:r>
        <w:fldChar w:fldCharType="end"/>
      </w:r>
      <w:r w:rsidR="00595FAD" w:rsidRPr="002A677E">
        <w:t>. Counterparty credit risk exposures to central counterparties (</w:t>
      </w:r>
      <w:r w:rsidR="00CD7623" w:rsidRPr="002A677E">
        <w:t xml:space="preserve">Part Three, Title II, </w:t>
      </w:r>
      <w:r w:rsidR="00595FAD" w:rsidRPr="002A677E">
        <w:t>Chapter 4 and Chapter 6</w:t>
      </w:r>
      <w:r w:rsidR="00CD7623" w:rsidRPr="002A677E">
        <w:t>, Section 9 of</w:t>
      </w:r>
      <w:r w:rsidR="00595FAD" w:rsidRPr="002A677E">
        <w:t xml:space="preserve"> </w:t>
      </w:r>
      <w:r w:rsidR="00215CD7" w:rsidRPr="001235ED">
        <w:rPr>
          <w:lang w:val="en-US"/>
        </w:rPr>
        <w:t>of Regulation (EU) No 575/2013</w:t>
      </w:r>
      <w:r w:rsidR="00595FAD" w:rsidRPr="002A677E">
        <w:t xml:space="preserve">) should be included in the CCR figures, unless otherwise stated. However, default fund contributions calculated in accordance with Articles 307 to 310 </w:t>
      </w:r>
      <w:r w:rsidR="00CE797B">
        <w:rPr>
          <w:lang w:val="en-US"/>
        </w:rPr>
        <w:t>of Regulation (EU) No 575/2013</w:t>
      </w:r>
      <w:r w:rsidR="00595FAD" w:rsidRPr="002A677E">
        <w:t xml:space="preserve"> shall not be reported in the counterparty credit risk templates, with the exception of template C</w:t>
      </w:r>
      <w:r w:rsidR="00DC0A81" w:rsidRPr="002A677E">
        <w:t xml:space="preserve"> </w:t>
      </w:r>
      <w:r w:rsidR="00595FAD" w:rsidRPr="002A677E">
        <w:t xml:space="preserve">34.10, in particular the corresponding rows. Generally, the risk </w:t>
      </w:r>
      <w:r w:rsidR="00595FAD" w:rsidRPr="002A677E">
        <w:lastRenderedPageBreak/>
        <w:t>weighted exposure amounts of default fund contributions are directly reported in template C</w:t>
      </w:r>
      <w:r w:rsidR="00DC0A81" w:rsidRPr="002A677E">
        <w:t xml:space="preserve"> </w:t>
      </w:r>
      <w:r w:rsidR="00595FAD" w:rsidRPr="002A677E">
        <w:t>02.00 row 0460.</w:t>
      </w:r>
    </w:p>
    <w:p w14:paraId="643D8127" w14:textId="334DB79C" w:rsidR="00595FAD" w:rsidRPr="002A677E" w:rsidRDefault="00595FAD" w:rsidP="000059B8">
      <w:pPr>
        <w:pStyle w:val="Instructionsberschrift2"/>
        <w:numPr>
          <w:ilvl w:val="2"/>
          <w:numId w:val="48"/>
        </w:numPr>
        <w:rPr>
          <w:rFonts w:ascii="Times New Roman" w:hAnsi="Times New Roman" w:cs="Times New Roman"/>
          <w:sz w:val="24"/>
          <w:lang w:val="en-GB"/>
        </w:rPr>
      </w:pPr>
      <w:bookmarkStart w:id="445" w:name="_Toc19715803"/>
      <w:bookmarkStart w:id="446" w:name="_Toc151714443"/>
      <w:bookmarkStart w:id="447" w:name="_Toc516210659"/>
      <w:r w:rsidRPr="002A677E">
        <w:rPr>
          <w:rFonts w:ascii="Times New Roman" w:hAnsi="Times New Roman" w:cs="Times New Roman"/>
          <w:sz w:val="24"/>
          <w:lang w:val="en-GB"/>
        </w:rPr>
        <w:t>C 34.01 - Size of the derivative business</w:t>
      </w:r>
      <w:bookmarkEnd w:id="445"/>
      <w:bookmarkEnd w:id="446"/>
    </w:p>
    <w:p w14:paraId="2690A5C9" w14:textId="3A6C00C3" w:rsidR="00595FAD" w:rsidRPr="002A677E" w:rsidRDefault="00595FAD" w:rsidP="000059B8">
      <w:pPr>
        <w:pStyle w:val="Instructionsberschrift2"/>
        <w:numPr>
          <w:ilvl w:val="3"/>
          <w:numId w:val="48"/>
        </w:numPr>
        <w:rPr>
          <w:rFonts w:ascii="Times New Roman" w:hAnsi="Times New Roman" w:cs="Times New Roman"/>
          <w:sz w:val="24"/>
          <w:lang w:val="en-GB"/>
        </w:rPr>
      </w:pPr>
      <w:bookmarkStart w:id="448" w:name="_Toc19715804"/>
      <w:bookmarkStart w:id="449" w:name="_Toc151714444"/>
      <w:r w:rsidRPr="002A677E">
        <w:rPr>
          <w:rFonts w:ascii="Times New Roman" w:hAnsi="Times New Roman" w:cs="Times New Roman"/>
          <w:sz w:val="24"/>
          <w:lang w:val="en-GB"/>
        </w:rPr>
        <w:t>General remarks</w:t>
      </w:r>
      <w:bookmarkEnd w:id="447"/>
      <w:bookmarkEnd w:id="448"/>
      <w:bookmarkEnd w:id="449"/>
    </w:p>
    <w:p w14:paraId="1634EA16" w14:textId="447CDD83"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124</w:t>
      </w:r>
      <w:r>
        <w:fldChar w:fldCharType="end"/>
      </w:r>
      <w:r w:rsidR="00595FAD" w:rsidRPr="002A677E">
        <w:t xml:space="preserve">. In accordance with Article 273a </w:t>
      </w:r>
      <w:r w:rsidR="00215CD7" w:rsidRPr="001235ED">
        <w:rPr>
          <w:lang w:val="en-US"/>
        </w:rPr>
        <w:t>of Regulation (EU) No 575/2013</w:t>
      </w:r>
      <w:r w:rsidR="00595FAD" w:rsidRPr="002A677E">
        <w:t xml:space="preserve"> an institution may calculate the exposure value of its derivative positions in accordance with the method set out in Part Three </w:t>
      </w:r>
      <w:r w:rsidR="00215CD7" w:rsidRPr="002A677E">
        <w:t xml:space="preserve">Title II, Chapter 6, Section 4 or 5 </w:t>
      </w:r>
      <w:r w:rsidR="00215CD7" w:rsidRPr="001235ED">
        <w:rPr>
          <w:lang w:val="en-US"/>
        </w:rPr>
        <w:t>of Regulation (EU) No 575/2013</w:t>
      </w:r>
      <w:r w:rsidR="00B83DDE">
        <w:t>, p</w:t>
      </w:r>
      <w:r w:rsidR="00595FAD" w:rsidRPr="002A677E">
        <w:t>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07050E36" w14:textId="054AB6B9"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125</w:t>
      </w:r>
      <w:r>
        <w:fldChar w:fldCharType="end"/>
      </w:r>
      <w:r w:rsidR="00595FAD" w:rsidRPr="002A677E">
        <w:t>. Month 1, Month 2 and Month 3 refer to the first, second and last month, respectively, of the quarter that is being reported. Information shall be reported only for month-ends after the 28 June 2021.</w:t>
      </w:r>
    </w:p>
    <w:p w14:paraId="67FED447" w14:textId="7715AAAC" w:rsidR="00595FAD" w:rsidRPr="002A677E" w:rsidRDefault="00595FAD" w:rsidP="001F3223">
      <w:pPr>
        <w:pStyle w:val="Instructionsberschrift2"/>
        <w:numPr>
          <w:ilvl w:val="3"/>
          <w:numId w:val="48"/>
        </w:numPr>
        <w:rPr>
          <w:rFonts w:ascii="Times New Roman" w:hAnsi="Times New Roman" w:cs="Times New Roman"/>
          <w:sz w:val="24"/>
          <w:lang w:val="en-GB"/>
        </w:rPr>
      </w:pPr>
      <w:bookmarkStart w:id="450" w:name="_Toc516210660"/>
      <w:bookmarkStart w:id="451" w:name="_Toc19715805"/>
      <w:bookmarkStart w:id="452" w:name="_Toc151714445"/>
      <w:r w:rsidRPr="002A677E">
        <w:rPr>
          <w:rFonts w:ascii="Times New Roman" w:hAnsi="Times New Roman" w:cs="Times New Roman"/>
          <w:sz w:val="24"/>
          <w:lang w:val="en-GB"/>
        </w:rPr>
        <w:t>Instructions concerning specific positions</w:t>
      </w:r>
      <w:bookmarkEnd w:id="450"/>
      <w:bookmarkEnd w:id="451"/>
      <w:bookmarkEnd w:id="452"/>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r w:rsidR="00215CD7" w:rsidRPr="002A677E">
              <w:rPr>
                <w:rStyle w:val="InstructionsTabelleberschrift"/>
                <w:rFonts w:ascii="Times New Roman" w:hAnsi="Times New Roman"/>
                <w:sz w:val="24"/>
              </w:rPr>
              <w:t>of Regulation (EU) No 575/2013</w:t>
            </w:r>
          </w:p>
          <w:p w14:paraId="4536292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SHORT DERIVATIVE POSITIONS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r w:rsidR="00215CD7" w:rsidRPr="002A677E">
              <w:rPr>
                <w:rStyle w:val="InstructionsTabelleberschrift"/>
                <w:rFonts w:ascii="Times New Roman" w:hAnsi="Times New Roman"/>
                <w:sz w:val="24"/>
              </w:rPr>
              <w:t>of Regulation (EU) No 575/2013</w:t>
            </w:r>
          </w:p>
          <w:p w14:paraId="5A979FC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6C6185D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Rows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1B0B6D13" w14:textId="75509C69" w:rsidR="00595FAD" w:rsidRPr="002A677E" w:rsidRDefault="00595FAD" w:rsidP="00FF15C6">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00215CD7" w:rsidRPr="001235ED">
              <w:rPr>
                <w:rFonts w:ascii="Times New Roman" w:hAnsi="Times New Roman"/>
                <w:sz w:val="24"/>
                <w:lang w:val="en-US"/>
              </w:rPr>
              <w:t>of Regulation (EU) No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All on- and off-balance sheet derivatives shall be included, except credit derivatives that are recognised as internal hedges against non-trading book credit risk exposures.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(a) and (b) </w:t>
            </w:r>
            <w:r w:rsidR="00215CD7" w:rsidRPr="001235ED">
              <w:rPr>
                <w:rFonts w:ascii="Times New Roman" w:hAnsi="Times New Roman"/>
                <w:sz w:val="24"/>
                <w:lang w:val="en-US"/>
              </w:rPr>
              <w:t>of Regulation (EU) No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(c)</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34F42F5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For consolidated reporting the institution shall report the total assets following the prudential scope of consolidation in accordance with Part One</w:t>
            </w:r>
            <w:r w:rsidR="00215CD7"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00215CD7" w:rsidRPr="002A677E">
              <w:rPr>
                <w:rStyle w:val="InstructionsTabelleberschrift"/>
                <w:rFonts w:ascii="Times New Roman" w:hAnsi="Times New Roman"/>
                <w:b w:val="0"/>
                <w:sz w:val="24"/>
                <w:u w:val="none"/>
              </w:rPr>
              <w:t xml:space="preserve">Title II, Chapter ,2 Section 2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2461BDFB" w14:textId="77777777"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 xml:space="preserve">DEROGATION IN ACCORDANCE WITH ARTICLE 273a (4) </w:t>
            </w:r>
            <w:r w:rsidR="009F3BF5" w:rsidRPr="002A677E">
              <w:rPr>
                <w:rFonts w:ascii="Times New Roman" w:hAnsi="Times New Roman"/>
                <w:b/>
                <w:sz w:val="24"/>
                <w:u w:val="single"/>
              </w:rPr>
              <w:t>OF REGULATION</w:t>
            </w:r>
            <w:r w:rsidR="00B12E10">
              <w:rPr>
                <w:rFonts w:ascii="Times New Roman" w:hAnsi="Times New Roman"/>
                <w:b/>
                <w:sz w:val="24"/>
                <w:u w:val="single"/>
              </w:rPr>
              <w:t xml:space="preserve"> </w:t>
            </w:r>
            <w:r w:rsidR="009F3BF5" w:rsidRPr="002A677E">
              <w:rPr>
                <w:rFonts w:ascii="Times New Roman" w:hAnsi="Times New Roman"/>
                <w:b/>
                <w:sz w:val="24"/>
                <w:u w:val="single"/>
              </w:rPr>
              <w:t>(EU) NO</w:t>
            </w:r>
            <w:r w:rsidR="00B12E10">
              <w:rPr>
                <w:rFonts w:ascii="Times New Roman" w:hAnsi="Times New Roman"/>
                <w:b/>
                <w:sz w:val="24"/>
                <w:u w:val="single"/>
              </w:rPr>
              <w:t xml:space="preserve"> </w:t>
            </w:r>
            <w:r w:rsidR="00215CD7" w:rsidRPr="002A677E">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sidR="00402284">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1EA6D1CA" w14:textId="38FB20EC"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 xml:space="preserve">Article 273a(4) </w:t>
            </w:r>
            <w:r w:rsidR="00215CD7" w:rsidRPr="001235ED">
              <w:rPr>
                <w:rFonts w:ascii="Times New Roman" w:hAnsi="Times New Roman"/>
                <w:sz w:val="24"/>
                <w:lang w:val="en-US"/>
              </w:rPr>
              <w:t>of Regulation (EU) No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09C704BF" w14:textId="264F9D55"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32E63A35"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53" w:name="_Toc19715806"/>
      <w:bookmarkStart w:id="454" w:name="_Toc151714446"/>
      <w:r w:rsidRPr="002A677E">
        <w:rPr>
          <w:rFonts w:ascii="Times New Roman" w:hAnsi="Times New Roman" w:cs="Times New Roman"/>
          <w:sz w:val="24"/>
          <w:lang w:val="en-GB"/>
        </w:rPr>
        <w:lastRenderedPageBreak/>
        <w:t>C 34.02 - CCR exposures by approach</w:t>
      </w:r>
      <w:bookmarkEnd w:id="453"/>
      <w:bookmarkEnd w:id="454"/>
      <w:r w:rsidRPr="002A677E">
        <w:rPr>
          <w:rFonts w:ascii="Times New Roman" w:hAnsi="Times New Roman" w:cs="Times New Roman"/>
          <w:sz w:val="24"/>
          <w:lang w:val="en-GB"/>
        </w:rPr>
        <w:t xml:space="preserve"> </w:t>
      </w:r>
    </w:p>
    <w:p w14:paraId="4553D83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55" w:name="_Toc19715807"/>
      <w:bookmarkStart w:id="456" w:name="_Toc151714447"/>
      <w:r w:rsidRPr="002A677E">
        <w:rPr>
          <w:rFonts w:ascii="Times New Roman" w:hAnsi="Times New Roman" w:cs="Times New Roman"/>
          <w:sz w:val="24"/>
          <w:lang w:val="en-GB"/>
        </w:rPr>
        <w:t>General remarks</w:t>
      </w:r>
      <w:bookmarkEnd w:id="455"/>
      <w:bookmarkEnd w:id="456"/>
    </w:p>
    <w:p w14:paraId="3C9ADBCC" w14:textId="1E50794D"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126</w:t>
      </w:r>
      <w:r>
        <w:fldChar w:fldCharType="end"/>
      </w:r>
      <w:r w:rsidR="00595FAD" w:rsidRPr="002A677E">
        <w:t>. Institutions shall report the template separately for all CCR exposures and for all CCR exposures excluding exposures to central counterparties (CCPs) as defined for the purpose of template C</w:t>
      </w:r>
      <w:r w:rsidR="00DC0A81" w:rsidRPr="002A677E">
        <w:t xml:space="preserve"> </w:t>
      </w:r>
      <w:r w:rsidR="00595FAD" w:rsidRPr="002A677E">
        <w:t>34.10.</w:t>
      </w:r>
    </w:p>
    <w:p w14:paraId="1BEEF9D4" w14:textId="62460C3E"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57" w:name="_Toc19715808"/>
      <w:bookmarkStart w:id="458" w:name="_Toc151714448"/>
      <w:r w:rsidRPr="002A677E">
        <w:rPr>
          <w:rFonts w:ascii="Times New Roman" w:hAnsi="Times New Roman" w:cs="Times New Roman"/>
          <w:sz w:val="24"/>
          <w:lang w:val="en-GB"/>
        </w:rPr>
        <w:t>Instructions concerning specific positions</w:t>
      </w:r>
      <w:bookmarkEnd w:id="457"/>
      <w:bookmarkEnd w:id="45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rsidRPr="002A677E">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rsidRPr="002A677E">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sidRPr="002A677E">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rsidRPr="002A677E">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B46A207" w14:textId="57538B0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00215CD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rsidRPr="002A677E">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79360CA5" w14:textId="3B09CB3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29900CC8" w14:textId="01C5A286"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rsidRPr="002A677E">
              <w:lastRenderedPageBreak/>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10EBD30" w14:textId="15F8A23C"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rsidRPr="002A677E">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015D10EA" w14:textId="106E6EF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6A5EA232" w14:textId="77A37D0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computed in accordance with Article 276</w:t>
            </w:r>
            <w:r w:rsidR="004134E6" w:rsidRPr="002A677E">
              <w:rPr>
                <w:rFonts w:ascii="Times New Roman" w:hAnsi="Times New Roman"/>
                <w:sz w:val="24"/>
                <w:lang w:eastAsia="en-CA"/>
              </w:rPr>
              <w:t xml:space="preserve">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rsidRPr="002A677E">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OSTED</w:t>
            </w:r>
          </w:p>
          <w:p w14:paraId="3F504C92" w14:textId="56004F1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rsidRPr="002A677E">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165A1C24" w14:textId="01B5732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19F63CEA" w14:textId="290E8198"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rsidRPr="002A677E">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 xml:space="preserve">OSTED </w:t>
            </w:r>
          </w:p>
          <w:p w14:paraId="6CA198FD" w14:textId="71954D7A"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0E770C03" w14:textId="07CA2368"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rsidRPr="002A677E">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4518A585" w14:textId="70BCF76A"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007172B2" w:rsidRPr="001235ED">
              <w:rPr>
                <w:rFonts w:ascii="Times New Roman" w:hAnsi="Times New Roman"/>
                <w:sz w:val="24"/>
                <w:lang w:val="en-US"/>
              </w:rPr>
              <w:t>of Regulation (EU) No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61547F83" w14:textId="1C6C84E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282(3)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01ACA879" w14:textId="0A33AB9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57C7E24D" w14:textId="7B4AD4F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275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419498"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rsidRPr="002A677E">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6EEEA3EF" w14:textId="00D8CD0B"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007172B2" w:rsidRPr="001235ED">
              <w:rPr>
                <w:rFonts w:ascii="Times New Roman" w:hAnsi="Times New Roman"/>
                <w:sz w:val="24"/>
                <w:lang w:val="en-US"/>
              </w:rPr>
              <w:t>of Regulation (EU) No 575/2013</w:t>
            </w:r>
          </w:p>
          <w:p w14:paraId="5413E88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1ACD7C9C" w14:textId="183ED339"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 Article 282(4)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58322B29" w14:textId="3D39FC5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17AEB078" w14:textId="74925148"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278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3B4A6A4"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potential future exposures of the netting sets in the respective row.</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rsidRPr="002A677E">
              <w:lastRenderedPageBreak/>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2B7F62AA" w14:textId="2C453E2E"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Article 272(17) </w:t>
            </w:r>
            <w:r w:rsidR="007172B2" w:rsidRPr="001235ED">
              <w:rPr>
                <w:rFonts w:ascii="Times New Roman" w:hAnsi="Times New Roman"/>
                <w:sz w:val="24"/>
                <w:lang w:val="en-US"/>
              </w:rPr>
              <w:t>of Regulation (EU) No 575/2013</w:t>
            </w:r>
            <w:r w:rsidRPr="002A677E">
              <w:rPr>
                <w:rFonts w:ascii="Times New Roman" w:hAnsi="Times New Roman"/>
                <w:sz w:val="24"/>
              </w:rPr>
              <w:t xml:space="preserve"> </w:t>
            </w:r>
          </w:p>
          <w:p w14:paraId="50F8D638" w14:textId="776F2A79" w:rsidR="00595FAD" w:rsidRPr="002A677E" w:rsidRDefault="00595FAD" w:rsidP="00FF15C6">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p w14:paraId="753F009A"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rsidRPr="002A677E">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2AEF26BB" w14:textId="7EBD53E5"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007172B2" w:rsidRPr="001235ED">
              <w:rPr>
                <w:rFonts w:ascii="Times New Roman" w:hAnsi="Times New Roman"/>
                <w:sz w:val="24"/>
                <w:lang w:val="en-US"/>
              </w:rPr>
              <w:t>of Regulation (EU) No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28B3F952" w14:textId="50CAF00D" w:rsidR="00595FAD" w:rsidRPr="002A677E" w:rsidRDefault="00595FAD" w:rsidP="00BC3A29">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007172B2"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rsidRPr="002A677E">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32F3C046" w14:textId="14680E66" w:rsidR="00595FAD" w:rsidRPr="002A677E" w:rsidRDefault="00595FAD" w:rsidP="00FF15C6">
            <w:pPr>
              <w:spacing w:before="60"/>
              <w:rPr>
                <w:rFonts w:ascii="Times New Roman" w:hAnsi="Times New Roman"/>
                <w:i/>
                <w:sz w:val="24"/>
              </w:rPr>
            </w:pPr>
            <w:r w:rsidRPr="002A677E">
              <w:rPr>
                <w:rFonts w:ascii="Times New Roman" w:hAnsi="Times New Roman"/>
                <w:sz w:val="24"/>
              </w:rPr>
              <w:t xml:space="preserve">Articles 274(2), 282(2), 281(1), 284(4) and (9) </w:t>
            </w:r>
            <w:r w:rsidR="007172B2" w:rsidRPr="001235ED">
              <w:rPr>
                <w:rFonts w:ascii="Times New Roman" w:hAnsi="Times New Roman"/>
                <w:sz w:val="24"/>
                <w:lang w:val="en-US"/>
              </w:rPr>
              <w:t>of Regulation (EU) No 575/2013</w:t>
            </w:r>
          </w:p>
          <w:p w14:paraId="4C241D56" w14:textId="390C1EFD" w:rsidR="00595FAD" w:rsidRPr="002A677E" w:rsidRDefault="00595FAD" w:rsidP="007172B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007172B2" w:rsidRPr="001235ED">
              <w:rPr>
                <w:rFonts w:ascii="Times New Roman" w:hAnsi="Times New Roman"/>
                <w:sz w:val="24"/>
                <w:lang w:val="en-US"/>
              </w:rPr>
              <w:t>of Regulation (EU) No 575/2013</w:t>
            </w:r>
            <w:r w:rsidRPr="002A677E">
              <w:rPr>
                <w:rFonts w:ascii="Times New Roman" w:hAnsi="Times New Roman"/>
                <w:sz w:val="24"/>
              </w:rPr>
              <w:t>.</w:t>
            </w:r>
            <w:r w:rsidR="00402284">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with Article 284(4) </w:t>
            </w:r>
            <w:r w:rsidR="007172B2"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007172B2" w:rsidRPr="001235ED">
              <w:rPr>
                <w:rFonts w:ascii="Times New Roman" w:hAnsi="Times New Roman"/>
                <w:sz w:val="24"/>
                <w:lang w:val="en-US"/>
              </w:rPr>
              <w:t>of that Regulation</w:t>
            </w:r>
            <w:r w:rsidRPr="002A677E">
              <w:rPr>
                <w:rFonts w:ascii="Times New Roman" w:eastAsia="PMingLiU" w:hAnsi="Times New Roman"/>
                <w:sz w:val="24"/>
              </w:rPr>
              <w: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rsidRPr="002A677E">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pre-CRM for CCR netting sets shall be calculated in accordance with the methods laid down in 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7172B2"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w:t>
            </w:r>
            <w:r w:rsidRPr="002A677E">
              <w:rPr>
                <w:rFonts w:ascii="Times New Roman" w:hAnsi="Times New Roman"/>
                <w:sz w:val="24"/>
                <w:szCs w:val="24"/>
              </w:rPr>
              <w:lastRenderedPageBreak/>
              <w:t xml:space="preserve">be considered in the determination of the exposure value pre-CRM in the regular way when collateral is posted.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sidR="00402284">
              <w:rPr>
                <w:rFonts w:ascii="Times New Roman" w:hAnsi="Times New Roman"/>
                <w:sz w:val="24"/>
                <w:szCs w:val="24"/>
              </w:rPr>
              <w:t xml:space="preserve"> </w:t>
            </w:r>
          </w:p>
          <w:p w14:paraId="2B8CF7B6" w14:textId="2128C412"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5A07BE7B" w14:textId="33F6A22F"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6236BD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rsidRPr="002A677E">
              <w:lastRenderedPageBreak/>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sidR="00402284">
              <w:rPr>
                <w:rFonts w:ascii="Times New Roman" w:hAnsi="Times New Roman"/>
                <w:sz w:val="24"/>
                <w:szCs w:val="24"/>
              </w:rPr>
              <w:t xml:space="preserve"> </w:t>
            </w:r>
            <w:r w:rsidRPr="002A677E">
              <w:rPr>
                <w:rFonts w:ascii="Times New Roman" w:hAnsi="Times New Roman"/>
                <w:sz w:val="24"/>
                <w:szCs w:val="24"/>
              </w:rPr>
              <w:t>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26468FAF" w14:textId="1805F783"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C02E73D" w14:textId="37F5237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166E17FB"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rsidRPr="002A677E">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considering the deduction of the incurred CVA loss in accordance with Article 273(6)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15F03715" w14:textId="435BB0E2" w:rsidR="00595FAD" w:rsidRPr="002A677E" w:rsidRDefault="00595FAD" w:rsidP="00FF15C6">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3B7DEFE7"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9695180" w14:textId="77777777" w:rsidR="00595FAD" w:rsidRPr="002A677E" w:rsidRDefault="00595FAD" w:rsidP="00FF15C6">
            <w:r w:rsidRPr="002A677E">
              <w:rPr>
                <w:rFonts w:ascii="Times New Roman" w:hAnsi="Times New Roman"/>
                <w:sz w:val="24"/>
              </w:rPr>
              <w:t>The institution shall report the sum of all exposure values in the respective row.</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rsidRPr="002A677E">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4A2A1C4A" w14:textId="502C241B" w:rsidR="00595FAD" w:rsidRPr="002A677E" w:rsidRDefault="00595FAD" w:rsidP="00F02E37">
            <w:pPr>
              <w:spacing w:before="60"/>
              <w:rPr>
                <w:rFonts w:ascii="Times New Roman" w:hAnsi="Times New Roman"/>
                <w:i/>
                <w:sz w:val="24"/>
              </w:rPr>
            </w:pPr>
            <w:r w:rsidRPr="002A677E">
              <w:rPr>
                <w:rFonts w:ascii="Times New Roman" w:hAnsi="Times New Roman"/>
                <w:sz w:val="24"/>
              </w:rPr>
              <w:t>Exposure value for CCR of positions that are treated with the standardised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rsidRPr="002A677E">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C71423D" w14:textId="5B125DFB" w:rsidR="00595FAD" w:rsidRPr="002A677E" w:rsidRDefault="00595FAD" w:rsidP="00F02E37">
            <w:pPr>
              <w:rPr>
                <w:rFonts w:ascii="Times New Roman" w:hAnsi="Times New Roman"/>
                <w:sz w:val="24"/>
              </w:rPr>
            </w:pPr>
            <w:r w:rsidRPr="002A677E">
              <w:rPr>
                <w:rFonts w:ascii="Times New Roman" w:hAnsi="Times New Roman"/>
                <w:sz w:val="24"/>
              </w:rPr>
              <w:t>Exposure value for CCR of positions that are treated with the IRB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3 </w:t>
            </w:r>
            <w:r w:rsidR="00F02E37" w:rsidRPr="001235ED">
              <w:rPr>
                <w:rFonts w:ascii="Times New Roman" w:hAnsi="Times New Roman"/>
                <w:sz w:val="24"/>
                <w:lang w:val="en-US"/>
              </w:rPr>
              <w:t>of Regulation (EU) No 575/2013</w:t>
            </w:r>
            <w:r w:rsidRPr="002A677E">
              <w:rPr>
                <w:rFonts w:ascii="Times New Roman" w:hAnsi="Times New Roman"/>
                <w:sz w:val="24"/>
              </w:rPr>
              <w:t>.</w:t>
            </w:r>
            <w:r w:rsidR="00F02E37" w:rsidRPr="002A677E">
              <w:rPr>
                <w:rFonts w:ascii="Times New Roman" w:hAnsi="Times New Roman"/>
                <w:sz w:val="24"/>
              </w:rPr>
              <w:t xml:space="preserve">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rsidRPr="002A677E">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3829F8D1" w14:textId="104A4B41" w:rsidR="00595FAD" w:rsidRPr="002A677E" w:rsidRDefault="00595FAD" w:rsidP="00FF15C6">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w:t>
            </w:r>
            <w:r w:rsidR="007079CE" w:rsidRPr="002A677E">
              <w:rPr>
                <w:rFonts w:ascii="Times New Roman" w:hAnsi="Times New Roman"/>
                <w:sz w:val="24"/>
                <w:szCs w:val="24"/>
                <w:lang w:val="en-US"/>
              </w:rPr>
              <w:t>,</w:t>
            </w:r>
            <w:r w:rsidRPr="002A677E">
              <w:rPr>
                <w:rFonts w:ascii="Times New Roman" w:hAnsi="Times New Roman"/>
                <w:sz w:val="24"/>
                <w:szCs w:val="24"/>
                <w:lang w:val="en-US"/>
              </w:rPr>
              <w:t xml:space="preserve"> </w:t>
            </w:r>
            <w:r w:rsidR="007079CE"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3D3B43D7" w14:textId="6DBD9931" w:rsidR="00595FAD" w:rsidRPr="002A677E" w:rsidRDefault="00595FAD"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laid down in</w:t>
            </w:r>
            <w:r w:rsidRPr="002A677E">
              <w:rPr>
                <w:rFonts w:ascii="Times New Roman" w:hAnsi="Times New Roman"/>
                <w:sz w:val="24"/>
              </w:rPr>
              <w:t xml:space="preserve"> Article 501 and </w:t>
            </w:r>
            <w:r w:rsidR="00927B49" w:rsidRPr="002A677E">
              <w:rPr>
                <w:rFonts w:ascii="Times New Roman" w:hAnsi="Times New Roman"/>
                <w:sz w:val="24"/>
              </w:rPr>
              <w:t>in</w:t>
            </w:r>
            <w:r w:rsidRPr="002A677E">
              <w:rPr>
                <w:rFonts w:ascii="Times New Roman" w:hAnsi="Times New Roman"/>
                <w:sz w:val="24"/>
              </w:rPr>
              <w:t xml:space="preserve"> Article 501a </w:t>
            </w:r>
            <w:r w:rsidR="00F02E37"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371B5529" w14:textId="3DBB3A7F"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that are treated with the standardised approach for credit risk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2E9EC43C"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0220 of template C</w:t>
            </w:r>
            <w:r w:rsidR="00837612" w:rsidRPr="002A677E">
              <w:rPr>
                <w:rFonts w:ascii="Times New Roman" w:hAnsi="Times New Roman"/>
                <w:sz w:val="24"/>
              </w:rPr>
              <w:t xml:space="preserve"> </w:t>
            </w:r>
            <w:r w:rsidRPr="002A677E">
              <w:rPr>
                <w:rFonts w:ascii="Times New Roman" w:hAnsi="Times New Roman"/>
                <w:sz w:val="24"/>
              </w:rPr>
              <w:t>07.00 for CCR positions.</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0F8DAC4" w14:textId="2661CDA1"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5ED3B64"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0260 of template C</w:t>
            </w:r>
            <w:r w:rsidR="00837612" w:rsidRPr="002A677E">
              <w:rPr>
                <w:rFonts w:ascii="Times New Roman" w:hAnsi="Times New Roman"/>
                <w:sz w:val="24"/>
              </w:rPr>
              <w:t xml:space="preserve"> </w:t>
            </w:r>
            <w:r w:rsidRPr="002A677E">
              <w:rPr>
                <w:rFonts w:ascii="Times New Roman" w:hAnsi="Times New Roman"/>
                <w:sz w:val="24"/>
              </w:rPr>
              <w:t>08.01 for CCR positions.</w:t>
            </w:r>
          </w:p>
        </w:tc>
      </w:tr>
      <w:tr w:rsidR="00C437E0" w:rsidRPr="002A677E" w14:paraId="7AFF9266"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EB993A" w14:textId="4BA1B3A4" w:rsidR="00C437E0" w:rsidRPr="002A677E" w:rsidRDefault="00C437E0" w:rsidP="00C437E0">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57583B5" w14:textId="77777777" w:rsidR="00C437E0" w:rsidRDefault="00C437E0" w:rsidP="00C437E0">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OUTPUT FLOOR</w:t>
            </w:r>
          </w:p>
          <w:p w14:paraId="7062024F" w14:textId="0D35ACA5"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bidi="ne-NP"/>
              </w:rPr>
              <w:t xml:space="preserve">For institutions subject the output floor as per Article 92(3) </w:t>
            </w:r>
            <w:r>
              <w:rPr>
                <w:rFonts w:ascii="Times New Roman" w:hAnsi="Times New Roman"/>
                <w:sz w:val="24"/>
                <w:lang w:val="en-US" w:bidi="ne-NP"/>
              </w:rPr>
              <w:t>of Regulation (EU) No 575/2013.</w:t>
            </w:r>
          </w:p>
        </w:tc>
      </w:tr>
      <w:tr w:rsidR="00C437E0" w:rsidRPr="002A677E" w14:paraId="2ACF5499"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D5450A" w14:textId="38F15595" w:rsidR="00C437E0" w:rsidRPr="002A677E" w:rsidRDefault="00C437E0" w:rsidP="00C437E0">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6D030F" w14:textId="77777777" w:rsidR="00C437E0" w:rsidRDefault="00C437E0" w:rsidP="00C437E0">
            <w:pPr>
              <w:rPr>
                <w:rStyle w:val="InstructionsTabelleberschrift"/>
                <w:rFonts w:ascii="Times New Roman" w:eastAsiaTheme="minorEastAsia" w:hAnsi="Times New Roman"/>
                <w:sz w:val="24"/>
                <w:lang w:val="en-US"/>
              </w:rPr>
            </w:pPr>
            <w:r w:rsidRPr="004C624E">
              <w:rPr>
                <w:rStyle w:val="InstructionsTabelleberschrift"/>
                <w:rFonts w:ascii="Times New Roman" w:eastAsiaTheme="minorEastAsia" w:hAnsi="Times New Roman"/>
                <w:sz w:val="24"/>
                <w:lang w:val="en-US"/>
              </w:rPr>
              <w:t>EXPOSURE VALUE FOR CALCULATING S-TREA</w:t>
            </w:r>
          </w:p>
          <w:p w14:paraId="05C67DA8" w14:textId="087B9F81"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r w:rsidRPr="00206811">
              <w:rPr>
                <w:rStyle w:val="InstructionsTabelleberschrift"/>
                <w:rFonts w:ascii="Times New Roman" w:eastAsiaTheme="minorEastAsia" w:hAnsi="Times New Roman"/>
                <w:sz w:val="24"/>
                <w:lang w:val="en-US"/>
              </w:rPr>
              <w:t>Exposure value</w:t>
            </w:r>
            <w:r>
              <w:rPr>
                <w:rFonts w:ascii="Times New Roman" w:hAnsi="Times New Roman"/>
                <w:sz w:val="24"/>
                <w:lang w:bidi="ne-NP"/>
              </w:rPr>
              <w:t xml:space="preserve"> of CCR exposures included in the calculation of the </w:t>
            </w:r>
            <w:r>
              <w:rPr>
                <w:rFonts w:ascii="Times New Roman" w:hAnsi="Times New Roman"/>
                <w:sz w:val="24"/>
                <w:lang w:val="en-US" w:bidi="ne-NP"/>
              </w:rPr>
              <w:t>Standardised total risk exposure amount (S-TREA) calculated in accordance with Article 92(5)</w:t>
            </w:r>
            <w:r>
              <w:rPr>
                <w:rStyle w:val="InstructionsTabelleberschrift"/>
                <w:rFonts w:ascii="Times New Roman" w:eastAsiaTheme="minorEastAsia" w:hAnsi="Times New Roman"/>
                <w:sz w:val="24"/>
                <w:lang w:val="en-US"/>
              </w:rPr>
              <w:t xml:space="preserve"> </w:t>
            </w:r>
            <w:r>
              <w:rPr>
                <w:rFonts w:ascii="Times New Roman" w:hAnsi="Times New Roman"/>
                <w:sz w:val="24"/>
                <w:lang w:val="en-US" w:bidi="ne-NP"/>
              </w:rPr>
              <w:t>of Regulation (EU) No 575/2013.</w:t>
            </w:r>
          </w:p>
        </w:tc>
      </w:tr>
      <w:tr w:rsidR="00C437E0" w:rsidRPr="002A677E" w14:paraId="2CE8A901"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E5D12C" w14:textId="79CEA0F9" w:rsidR="00C437E0" w:rsidRPr="002A677E" w:rsidRDefault="00C437E0" w:rsidP="00C437E0">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02765C" w14:textId="77777777" w:rsidR="00C437E0" w:rsidRDefault="00C437E0" w:rsidP="00C437E0">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S-TREA</w:t>
            </w:r>
          </w:p>
          <w:p w14:paraId="2896668B" w14:textId="475C6363"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t>Standardised total risk exposure amount (S-TREA) of CCR exposures calculated in accordance with Article 92(5) of Regulation (EU) No 575/2013.</w:t>
            </w:r>
          </w:p>
        </w:tc>
      </w:tr>
      <w:tr w:rsidR="00C437E0" w:rsidRPr="002A677E" w14:paraId="718770DE"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05CE70" w14:textId="3BED1620" w:rsidR="00C437E0" w:rsidRPr="002A677E" w:rsidRDefault="00C437E0" w:rsidP="00C437E0">
            <w:pPr>
              <w:pStyle w:val="Applicationdirecte"/>
              <w:spacing w:before="0"/>
              <w:jc w:val="left"/>
            </w:pPr>
            <w:r>
              <w:lastRenderedPageBreak/>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76B034" w14:textId="6B9EA8E8" w:rsidR="00C437E0" w:rsidRDefault="00C437E0" w:rsidP="00C437E0">
            <w:pPr>
              <w:pStyle w:val="TableMainHeading"/>
              <w:jc w:val="both"/>
              <w:rPr>
                <w:rStyle w:val="InstructionsTabelleberschrift"/>
                <w:rFonts w:ascii="Times New Roman" w:eastAsiaTheme="minorEastAsia" w:hAnsi="Times New Roman"/>
                <w:sz w:val="24"/>
                <w:szCs w:val="24"/>
                <w:lang w:val="en-US"/>
              </w:rPr>
            </w:pPr>
            <w:r w:rsidRPr="00C079DA">
              <w:rPr>
                <w:rStyle w:val="InstructionsTabelleberschrift"/>
                <w:rFonts w:ascii="Times New Roman" w:eastAsiaTheme="minorEastAsia" w:hAnsi="Times New Roman"/>
                <w:sz w:val="24"/>
                <w:szCs w:val="24"/>
                <w:lang w:val="en-US"/>
              </w:rPr>
              <w:t>MEMORANDUM ITEMS:</w:t>
            </w:r>
            <w:r w:rsidR="00234C86">
              <w:rPr>
                <w:rStyle w:val="InstructionsTabelleberschrift"/>
                <w:rFonts w:ascii="Times New Roman" w:eastAsiaTheme="minorEastAsia" w:hAnsi="Times New Roman"/>
                <w:sz w:val="24"/>
                <w:szCs w:val="24"/>
                <w:lang w:val="en-US"/>
              </w:rPr>
              <w:t xml:space="preserve"> </w:t>
            </w:r>
            <w:r w:rsidRPr="00C079DA">
              <w:rPr>
                <w:rStyle w:val="InstructionsTabelleberschrift"/>
                <w:rFonts w:ascii="Times New Roman" w:eastAsiaTheme="minorEastAsia" w:hAnsi="Times New Roman"/>
                <w:sz w:val="24"/>
                <w:szCs w:val="24"/>
                <w:lang w:val="en-US"/>
              </w:rPr>
              <w:t>RWEA RELATED TO THE</w:t>
            </w:r>
            <w:r w:rsidR="00205699">
              <w:rPr>
                <w:rStyle w:val="InstructionsTabelleberschrift"/>
                <w:rFonts w:ascii="Times New Roman" w:eastAsiaTheme="minorEastAsia" w:hAnsi="Times New Roman"/>
                <w:sz w:val="24"/>
                <w:szCs w:val="24"/>
                <w:lang w:val="en-US"/>
              </w:rPr>
              <w:t xml:space="preserve"> IMPACT</w:t>
            </w:r>
            <w:r w:rsidR="0030603A">
              <w:rPr>
                <w:rStyle w:val="InstructionsTabelleberschrift"/>
                <w:rFonts w:ascii="Times New Roman" w:eastAsiaTheme="minorEastAsia" w:hAnsi="Times New Roman"/>
                <w:sz w:val="24"/>
                <w:szCs w:val="24"/>
                <w:lang w:val="en-US"/>
              </w:rPr>
              <w:t xml:space="preserve"> OF</w:t>
            </w:r>
            <w:r w:rsidRPr="00C079DA">
              <w:rPr>
                <w:rStyle w:val="InstructionsTabelleberschrift"/>
                <w:rFonts w:ascii="Times New Roman" w:eastAsiaTheme="minorEastAsia" w:hAnsi="Times New Roman"/>
                <w:sz w:val="24"/>
                <w:szCs w:val="24"/>
                <w:lang w:val="en-US"/>
              </w:rPr>
              <w:t xml:space="preserve"> APPLICATION </w:t>
            </w:r>
            <w:r w:rsidR="00DB1B54">
              <w:rPr>
                <w:rStyle w:val="InstructionsTabelleberschrift"/>
                <w:rFonts w:ascii="Times New Roman" w:eastAsiaTheme="minorEastAsia" w:hAnsi="Times New Roman"/>
                <w:sz w:val="24"/>
                <w:szCs w:val="24"/>
                <w:lang w:val="en-US"/>
              </w:rPr>
              <w:t>OF ARTICLE</w:t>
            </w:r>
            <w:r w:rsidRPr="00C079DA">
              <w:rPr>
                <w:rStyle w:val="InstructionsTabelleberschrift"/>
                <w:rFonts w:ascii="Times New Roman" w:eastAsiaTheme="minorEastAsia" w:hAnsi="Times New Roman"/>
                <w:sz w:val="24"/>
                <w:szCs w:val="24"/>
                <w:lang w:val="en-US"/>
              </w:rPr>
              <w:t xml:space="preserve"> 465(4) of </w:t>
            </w:r>
            <w:r w:rsidR="00DB1B54">
              <w:rPr>
                <w:rStyle w:val="InstructionsTabelleberschrift"/>
                <w:rFonts w:ascii="Times New Roman" w:eastAsiaTheme="minorEastAsia" w:hAnsi="Times New Roman"/>
                <w:sz w:val="24"/>
                <w:szCs w:val="24"/>
                <w:lang w:val="en-US"/>
              </w:rPr>
              <w:t>REGULATION (EU) NO 575/2013</w:t>
            </w:r>
          </w:p>
          <w:p w14:paraId="71CD717B" w14:textId="3E5DA5D5"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t>Article 465(4) of Regulation (EU) No 575/2013.</w:t>
            </w:r>
            <w:r w:rsidR="00A86E60">
              <w:rPr>
                <w:rFonts w:ascii="Times New Roman" w:hAnsi="Times New Roman"/>
                <w:sz w:val="24"/>
                <w:lang w:val="en-US" w:bidi="ne-NP"/>
              </w:rPr>
              <w:t xml:space="preserve"> </w:t>
            </w:r>
            <w:r w:rsidR="00B41265" w:rsidRPr="00363C38">
              <w:rPr>
                <w:rFonts w:ascii="Times New Roman" w:hAnsi="Times New Roman"/>
                <w:sz w:val="24"/>
                <w:szCs w:val="24"/>
                <w:lang w:val="en-US"/>
              </w:rPr>
              <w:t>The difference between the amount of RWEA without application of the transitional provisions and the amount of RWEA with application of the transitional provisions shall be reported.</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rsidRPr="002A677E">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3300C734" w14:textId="4E100ED3" w:rsidR="00595FAD" w:rsidRPr="002A677E" w:rsidRDefault="00595FAD" w:rsidP="00F26CE4">
            <w:pPr>
              <w:pStyle w:val="TableMainHeading"/>
              <w:spacing w:before="60"/>
              <w:rPr>
                <w:rFonts w:ascii="Times New Roman" w:hAnsi="Times New Roman"/>
                <w:i/>
                <w:sz w:val="24"/>
                <w:szCs w:val="24"/>
              </w:rPr>
            </w:pPr>
            <w:r w:rsidRPr="002A677E">
              <w:rPr>
                <w:rFonts w:ascii="Times New Roman" w:hAnsi="Times New Roman"/>
                <w:sz w:val="24"/>
                <w:szCs w:val="24"/>
              </w:rPr>
              <w:t>Derivatives and long settlement transactions for which the institution calculates the exposure value in accordance with Part Three</w:t>
            </w:r>
            <w:r w:rsidR="00F26CE4" w:rsidRPr="002A677E">
              <w:rPr>
                <w:rFonts w:ascii="Times New Roman" w:hAnsi="Times New Roman"/>
                <w:sz w:val="24"/>
                <w:szCs w:val="24"/>
              </w:rPr>
              <w:t>,</w:t>
            </w:r>
            <w:r w:rsidRPr="002A677E">
              <w:rPr>
                <w:rFonts w:ascii="Times New Roman" w:hAnsi="Times New Roman"/>
                <w:sz w:val="24"/>
                <w:szCs w:val="24"/>
              </w:rPr>
              <w:t xml:space="preserve"> </w:t>
            </w:r>
            <w:r w:rsidR="00F26CE4" w:rsidRPr="002A677E">
              <w:rPr>
                <w:rFonts w:ascii="Times New Roman" w:hAnsi="Times New Roman"/>
                <w:sz w:val="24"/>
                <w:szCs w:val="24"/>
              </w:rPr>
              <w:t xml:space="preserve">Title II, Chapter 6, Section 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t>
            </w:r>
            <w:r w:rsidR="00F26CE4" w:rsidRPr="002A677E">
              <w:rPr>
                <w:rFonts w:ascii="Times New Roman" w:hAnsi="Times New Roman"/>
                <w:sz w:val="24"/>
                <w:szCs w:val="24"/>
              </w:rPr>
              <w:t xml:space="preserve">Part Three, Title II, Chapter 6, Section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598AFC1F" w14:textId="5F953A7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w:t>
            </w:r>
            <w:r w:rsidR="00F26CE4" w:rsidRPr="002A677E">
              <w:rPr>
                <w:rFonts w:ascii="Times New Roman" w:hAnsi="Times New Roman"/>
                <w:sz w:val="24"/>
                <w:szCs w:val="24"/>
              </w:rPr>
              <w:t>Part Three, Title II, Chapter 6, Section 3</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2D47B35" w14:textId="0097769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long settlement transactions and SFTs for which the institution has been permitted to calculate the exposure value using the Internal Model Method (IMM) in accordance with </w:t>
            </w:r>
            <w:r w:rsidR="00F26CE4" w:rsidRPr="002A677E">
              <w:rPr>
                <w:rFonts w:ascii="Times New Roman" w:hAnsi="Times New Roman"/>
                <w:sz w:val="24"/>
                <w:szCs w:val="24"/>
              </w:rPr>
              <w:t>Part Three, Title II, Chapter 6, Section 6</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lastRenderedPageBreak/>
              <w:t>SFTs that are included in a contractual cross product netting set and therefore reported in row 0070</w:t>
            </w:r>
            <w:r w:rsidR="00DD791B" w:rsidRPr="002A677E">
              <w:rPr>
                <w:rFonts w:ascii="Times New Roman" w:hAnsi="Times New Roman"/>
                <w:sz w:val="24"/>
                <w:szCs w:val="24"/>
              </w:rPr>
              <w:t>,</w:t>
            </w:r>
            <w:r w:rsidRPr="002A677E">
              <w:rPr>
                <w:rFonts w:ascii="Times New Roman" w:hAnsi="Times New Roman"/>
                <w:sz w:val="24"/>
                <w:szCs w:val="24"/>
              </w:rPr>
              <w:t xml:space="preserve"> shall not be reported in this row.</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rsidRPr="002A677E">
              <w:lastRenderedPageBreak/>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3081A4FE" w14:textId="758D5ED3" w:rsidR="00595FAD" w:rsidRPr="002A677E" w:rsidRDefault="00595FAD" w:rsidP="00FF15C6">
            <w:pPr>
              <w:rPr>
                <w:rFonts w:ascii="Times New Roman" w:hAnsi="Times New Roman"/>
                <w:sz w:val="24"/>
              </w:rPr>
            </w:pPr>
            <w:r w:rsidRPr="002A677E">
              <w:rPr>
                <w:rFonts w:ascii="Times New Roman" w:hAnsi="Times New Roman"/>
                <w:sz w:val="24"/>
              </w:rPr>
              <w:t xml:space="preserve">Article 272(11) and (25) </w:t>
            </w:r>
            <w:r w:rsidR="00F02E37" w:rsidRPr="001235ED">
              <w:rPr>
                <w:rFonts w:ascii="Times New Roman" w:hAnsi="Times New Roman"/>
                <w:sz w:val="24"/>
                <w:lang w:val="en-US"/>
              </w:rPr>
              <w:t>of Regulation (EU) No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0173687C" w14:textId="03012BAC" w:rsidR="00595FAD" w:rsidRPr="002A677E" w:rsidRDefault="00595FAD" w:rsidP="00FF15C6">
            <w:pPr>
              <w:rPr>
                <w:rFonts w:ascii="Times New Roman" w:hAnsi="Times New Roman"/>
                <w:sz w:val="24"/>
              </w:rPr>
            </w:pPr>
            <w:r w:rsidRPr="002A677E">
              <w:rPr>
                <w:rFonts w:ascii="Times New Roman" w:hAnsi="Times New Roman"/>
                <w:sz w:val="24"/>
              </w:rPr>
              <w:t xml:space="preserve">Article 222 </w:t>
            </w:r>
            <w:r w:rsidR="00F02E37" w:rsidRPr="001235ED">
              <w:rPr>
                <w:rFonts w:ascii="Times New Roman" w:hAnsi="Times New Roman"/>
                <w:sz w:val="24"/>
                <w:lang w:val="en-US"/>
              </w:rPr>
              <w:t>of Regulation (EU) No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sidR="00402284">
              <w:rPr>
                <w:rFonts w:ascii="Times New Roman" w:hAnsi="Times New Roman"/>
                <w:sz w:val="24"/>
                <w:szCs w:val="24"/>
              </w:rPr>
              <w:t xml:space="preserve"> </w:t>
            </w:r>
            <w:r w:rsidRPr="002A677E">
              <w:rPr>
                <w:rFonts w:ascii="Times New Roman" w:hAnsi="Times New Roman"/>
                <w:sz w:val="24"/>
                <w:szCs w:val="24"/>
              </w:rPr>
              <w:t>Part Three</w:t>
            </w:r>
            <w:r w:rsidR="007079CE" w:rsidRPr="001235ED">
              <w:rPr>
                <w:rFonts w:ascii="Times New Roman" w:hAnsi="Times New Roman"/>
                <w:sz w:val="24"/>
                <w:szCs w:val="24"/>
                <w:lang w:val="en-US"/>
              </w:rPr>
              <w:t xml:space="preserve">, </w:t>
            </w:r>
            <w:r w:rsidR="007079CE" w:rsidRPr="002A677E">
              <w:rPr>
                <w:rFonts w:ascii="Times New Roman" w:hAnsi="Times New Roman"/>
                <w:sz w:val="24"/>
                <w:szCs w:val="24"/>
              </w:rPr>
              <w:t xml:space="preserve">Title II, Chapter 6 of </w:t>
            </w:r>
            <w:r w:rsidR="00F02E37" w:rsidRPr="001235ED">
              <w:rPr>
                <w:rFonts w:ascii="Times New Roman" w:hAnsi="Times New Roman"/>
                <w:sz w:val="24"/>
                <w:szCs w:val="24"/>
                <w:lang w:val="en-US"/>
              </w:rPr>
              <w:t>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33716D0C" w14:textId="019BF318" w:rsidR="00595FAD" w:rsidRPr="002A677E" w:rsidRDefault="00595FAD" w:rsidP="00FF15C6">
            <w:pPr>
              <w:rPr>
                <w:rFonts w:ascii="Times New Roman" w:hAnsi="Times New Roman"/>
                <w:sz w:val="24"/>
              </w:rPr>
            </w:pPr>
            <w:r w:rsidRPr="002A677E">
              <w:rPr>
                <w:rFonts w:ascii="Times New Roman" w:hAnsi="Times New Roman"/>
                <w:sz w:val="24"/>
              </w:rPr>
              <w:t xml:space="preserve">Article 220 and 223 </w:t>
            </w:r>
            <w:r w:rsidR="00F02E37" w:rsidRPr="001235ED">
              <w:rPr>
                <w:rFonts w:ascii="Times New Roman" w:hAnsi="Times New Roman"/>
                <w:sz w:val="24"/>
                <w:lang w:val="en-US"/>
              </w:rPr>
              <w:t>of Regulation (EU) No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as opposed to Part Three</w:t>
            </w:r>
            <w:r w:rsidR="00070518" w:rsidRPr="002A677E">
              <w:rPr>
                <w:rFonts w:ascii="Times New Roman" w:hAnsi="Times New Roman"/>
                <w:sz w:val="24"/>
                <w:szCs w:val="24"/>
              </w:rPr>
              <w:t>,</w:t>
            </w:r>
            <w:r w:rsidRPr="002A677E">
              <w:rPr>
                <w:rFonts w:ascii="Times New Roman" w:hAnsi="Times New Roman"/>
                <w:sz w:val="24"/>
                <w:szCs w:val="24"/>
              </w:rPr>
              <w:t xml:space="preserve"> </w:t>
            </w:r>
            <w:r w:rsidR="00070518" w:rsidRPr="002A677E">
              <w:rPr>
                <w:rFonts w:ascii="Times New Roman" w:hAnsi="Times New Roman"/>
                <w:sz w:val="24"/>
                <w:szCs w:val="24"/>
              </w:rPr>
              <w:t xml:space="preserve">Title II, Chapter 6 </w:t>
            </w:r>
            <w:r w:rsidR="00F02E37" w:rsidRPr="001235ED">
              <w:rPr>
                <w:rFonts w:ascii="Times New Roman" w:hAnsi="Times New Roman"/>
                <w:sz w:val="24"/>
                <w:szCs w:val="24"/>
                <w:lang w:val="en-US"/>
              </w:rPr>
              <w:t>of 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55681F10" w14:textId="11865EA2" w:rsidR="00595FAD" w:rsidRPr="002A677E" w:rsidRDefault="00595FAD" w:rsidP="00FF15C6">
            <w:pPr>
              <w:rPr>
                <w:rFonts w:ascii="Times New Roman" w:hAnsi="Times New Roman"/>
                <w:sz w:val="24"/>
              </w:rPr>
            </w:pPr>
            <w:r w:rsidRPr="002A677E">
              <w:rPr>
                <w:rFonts w:ascii="Times New Roman" w:hAnsi="Times New Roman"/>
                <w:sz w:val="24"/>
              </w:rPr>
              <w:t xml:space="preserve">Article 221 </w:t>
            </w:r>
            <w:r w:rsidR="00F02E37" w:rsidRPr="001235ED">
              <w:rPr>
                <w:rFonts w:ascii="Times New Roman" w:hAnsi="Times New Roman"/>
                <w:sz w:val="24"/>
                <w:lang w:val="en-US"/>
              </w:rPr>
              <w:t>of Regulation (EU) No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w:t>
            </w:r>
            <w:r w:rsidRPr="002A677E">
              <w:rPr>
                <w:rFonts w:ascii="Times New Roman" w:hAnsi="Times New Roman"/>
                <w:sz w:val="24"/>
                <w:szCs w:val="24"/>
              </w:rPr>
              <w:lastRenderedPageBreak/>
              <w:t xml:space="preserve">positions subject to the master netting agreement, as well as the liquidity of the instruments concerned.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rsidRPr="002A677E">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rsidRPr="001235ED">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00F02E37" w:rsidRPr="001235ED">
              <w:rPr>
                <w:rFonts w:ascii="Times New Roman" w:hAnsi="Times New Roman"/>
                <w:sz w:val="24"/>
                <w:lang w:val="en-US"/>
              </w:rPr>
              <w:t>of Regulation (EU) No 575/2013</w:t>
            </w:r>
          </w:p>
          <w:p w14:paraId="46E07203" w14:textId="1AC1603C" w:rsidR="00595FAD" w:rsidRPr="002A677E" w:rsidDel="003E0C6A" w:rsidRDefault="00595FAD" w:rsidP="00FF15C6">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rsidRPr="002A677E">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00F02E37" w:rsidRPr="001235ED">
              <w:rPr>
                <w:rFonts w:ascii="Times New Roman" w:hAnsi="Times New Roman"/>
                <w:sz w:val="24"/>
                <w:lang w:val="en-US"/>
              </w:rPr>
              <w:t>of Regulation (EU) No 575/2013</w:t>
            </w:r>
          </w:p>
          <w:p w14:paraId="6CB57CF2" w14:textId="0F21258C" w:rsidR="00595FAD" w:rsidRPr="002A677E" w:rsidDel="003E0C6A" w:rsidRDefault="00595FAD" w:rsidP="00FF15C6">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rsidRPr="002A677E">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6423C333" w14:textId="77777777" w:rsidR="00595FAD" w:rsidRPr="002A677E" w:rsidDel="003E0C6A" w:rsidRDefault="00595FAD" w:rsidP="00FF15C6">
            <w:pPr>
              <w:rPr>
                <w:rFonts w:ascii="Times New Roman" w:hAnsi="Times New Roman"/>
                <w:sz w:val="24"/>
              </w:rPr>
            </w:pPr>
            <w:r w:rsidRPr="002A677E">
              <w:rPr>
                <w:rFonts w:ascii="Times New Roman" w:hAnsi="Times New Roman"/>
                <w:sz w:val="24"/>
              </w:rPr>
              <w:t>CCR exposures not covered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59" w:name="_Toc19715809"/>
      <w:bookmarkStart w:id="460" w:name="_Toc151714449"/>
      <w:r w:rsidRPr="002A677E">
        <w:rPr>
          <w:rFonts w:ascii="Times New Roman" w:hAnsi="Times New Roman" w:cs="Times New Roman"/>
          <w:sz w:val="24"/>
          <w:lang w:val="en-GB"/>
        </w:rPr>
        <w:t>C 34.03 - CCR exposures treated with standardised approaches: SA-CCR and Simplified SA-CCR</w:t>
      </w:r>
      <w:bookmarkEnd w:id="459"/>
      <w:bookmarkEnd w:id="460"/>
    </w:p>
    <w:p w14:paraId="509BE37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61" w:name="_Toc19715810"/>
      <w:bookmarkStart w:id="462" w:name="_Toc151714450"/>
      <w:r w:rsidRPr="002A677E">
        <w:rPr>
          <w:rFonts w:ascii="Times New Roman" w:hAnsi="Times New Roman" w:cs="Times New Roman"/>
          <w:sz w:val="24"/>
          <w:lang w:val="en-GB"/>
        </w:rPr>
        <w:t>General remarks</w:t>
      </w:r>
      <w:bookmarkEnd w:id="461"/>
      <w:bookmarkEnd w:id="462"/>
    </w:p>
    <w:p w14:paraId="0771AD5D" w14:textId="29AFA031"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127</w:t>
      </w:r>
      <w:r>
        <w:fldChar w:fldCharType="end"/>
      </w:r>
      <w:r w:rsidR="00595FAD" w:rsidRPr="002A677E">
        <w:t>. The template shall be used separately for reporting the CCR exposures calculated with the SA-CCR or the Simplified SA-CCR, as applicable.</w:t>
      </w:r>
    </w:p>
    <w:p w14:paraId="2F14828E" w14:textId="3A752E64"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63" w:name="_Toc19715811"/>
      <w:bookmarkStart w:id="464" w:name="_Toc151714451"/>
      <w:r w:rsidRPr="002A677E">
        <w:rPr>
          <w:rFonts w:ascii="Times New Roman" w:hAnsi="Times New Roman" w:cs="Times New Roman"/>
          <w:sz w:val="24"/>
          <w:lang w:val="en-GB"/>
        </w:rPr>
        <w:t>Instructions concerning specific positions</w:t>
      </w:r>
      <w:bookmarkEnd w:id="463"/>
      <w:bookmarkEnd w:id="46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rsidRPr="002A677E">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38AC272C"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3F67A7EA"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06A18930" w14:textId="32D3E1B8"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3"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rsidRPr="002A677E">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2CFBC680"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the other leg of the transaction (with respect to the one </w:t>
            </w:r>
            <w:r w:rsidRPr="002A677E">
              <w:rPr>
                <w:rFonts w:ascii="Times New Roman" w:hAnsi="Times New Roman"/>
                <w:sz w:val="24"/>
                <w:lang w:eastAsia="en-GB"/>
              </w:rPr>
              <w:lastRenderedPageBreak/>
              <w:t>considered in column 0010) shall be reported. Institutions shall insert the currencies in the currency pair in alphabetical order, e.g. for US Dollar/Euro please fill this column with USD and column 0010 with EUR.</w:t>
            </w:r>
          </w:p>
          <w:p w14:paraId="51FADFB6" w14:textId="2D84EE2E"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4"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53F65B4A" w14:textId="77777777" w:rsidR="00595FAD" w:rsidRPr="002A677E" w:rsidRDefault="00595FAD" w:rsidP="00FF15C6">
            <w:pPr>
              <w:keepNext/>
              <w:spacing w:before="60"/>
              <w:rPr>
                <w:rFonts w:ascii="Times New Roman" w:hAnsi="Times New Roman"/>
                <w:i/>
                <w:sz w:val="24"/>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rsidRPr="002A677E">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2C61023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rsidRPr="002A677E">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790E1A9"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2C2DC5BF"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rsidRPr="002A677E">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49AB8BA"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0EAD6AE6"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rsidRPr="002A677E">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5C38D8C1" w14:textId="05AA18D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00F02E37" w:rsidRPr="001235ED">
              <w:rPr>
                <w:rFonts w:ascii="Times New Roman" w:hAnsi="Times New Roman"/>
                <w:sz w:val="24"/>
                <w:lang w:val="en-US"/>
              </w:rPr>
              <w:t>of Regulation (EU) No 575/2013</w:t>
            </w:r>
          </w:p>
          <w:p w14:paraId="0BE0594E"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38CEBC1C" w14:textId="41DBF085" w:rsidR="00595FAD" w:rsidRPr="002A677E" w:rsidRDefault="00595FAD" w:rsidP="00F02E37">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sidR="00B83DDE">
              <w:rPr>
                <w:rFonts w:ascii="Times New Roman" w:hAnsi="Times New Roman"/>
                <w:sz w:val="24"/>
                <w:lang w:eastAsia="en-CA"/>
              </w:rPr>
              <w:t>, p</w:t>
            </w:r>
            <w:r w:rsidR="00070518" w:rsidRPr="002A677E">
              <w:rPr>
                <w:rFonts w:ascii="Times New Roman" w:hAnsi="Times New Roman"/>
                <w:sz w:val="24"/>
                <w:lang w:eastAsia="en-CA"/>
              </w:rPr>
              <w:t>oint (f)</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00F02E37"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sidRPr="002A677E">
              <w:rPr>
                <w:b/>
              </w:rPr>
              <w:t xml:space="preserve">Rows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rsidRPr="002A677E">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034B189F" w14:textId="166DC87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00F02E37" w:rsidRPr="001235ED">
              <w:rPr>
                <w:rFonts w:ascii="Times New Roman" w:hAnsi="Times New Roman"/>
                <w:sz w:val="24"/>
                <w:lang w:val="en-US"/>
              </w:rPr>
              <w:t>of Regulation (EU) No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155215E" w14:textId="68DA47BA"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00F02E37" w:rsidRPr="001235ED">
              <w:rPr>
                <w:rFonts w:ascii="Times New Roman" w:hAnsi="Times New Roman"/>
                <w:sz w:val="24"/>
                <w:szCs w:val="24"/>
                <w:lang w:val="en-US"/>
              </w:rPr>
              <w:t>of Regulation (EU) No 575/2013</w:t>
            </w:r>
            <w:r w:rsidRPr="002A677E">
              <w:rPr>
                <w:rFonts w:ascii="Times New Roman" w:hAnsi="Times New Roman"/>
                <w:sz w:val="24"/>
              </w:rPr>
              <w:t>.</w:t>
            </w:r>
          </w:p>
          <w:p w14:paraId="49EE0710" w14:textId="18FEA71B"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lastRenderedPageBreak/>
              <w:t xml:space="preserve">For the Simplified SA-CCR the provisions set out in Article 281(2)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rsidRPr="002A677E">
              <w:lastRenderedPageBreak/>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0EB158AA" w14:textId="7C5D65EF" w:rsidR="00595FAD" w:rsidRPr="002A677E" w:rsidRDefault="00595FAD" w:rsidP="00FF15C6">
            <w:pPr>
              <w:keepNext/>
              <w:spacing w:before="60"/>
              <w:rPr>
                <w:rFonts w:ascii="Times New Roman" w:hAnsi="Times New Roman"/>
                <w:sz w:val="24"/>
              </w:rPr>
            </w:pPr>
            <w:r w:rsidRPr="002A677E">
              <w:rPr>
                <w:rFonts w:ascii="Times New Roman" w:hAnsi="Times New Roman"/>
                <w:sz w:val="24"/>
                <w:lang w:eastAsia="en-CA"/>
              </w:rPr>
              <w:t xml:space="preserve">Article 277(3) </w:t>
            </w:r>
            <w:r w:rsidR="00F02E37" w:rsidRPr="001235ED">
              <w:rPr>
                <w:rFonts w:ascii="Times New Roman" w:hAnsi="Times New Roman"/>
                <w:sz w:val="24"/>
                <w:lang w:val="en-US"/>
              </w:rPr>
              <w:t>of Regulation (EU) No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sidR="00402284">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rsidRPr="002A677E">
              <w:t>0070-0110 and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0C6A39A8" w14:textId="77777777" w:rsidR="00595FAD" w:rsidRPr="002A677E" w:rsidRDefault="00595FAD" w:rsidP="00FF15C6">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6232A3BE" w14:textId="77777777" w:rsidR="00595FAD" w:rsidRPr="002A677E" w:rsidRDefault="00595FAD" w:rsidP="00FF15C6">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rsidRPr="002A677E">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326783F1" w14:textId="05EA2B4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0095353C" w:rsidRPr="001235ED">
              <w:rPr>
                <w:rFonts w:ascii="Times New Roman" w:hAnsi="Times New Roman"/>
                <w:sz w:val="24"/>
                <w:lang w:val="en-US"/>
              </w:rPr>
              <w:t>of Regulation (EU) No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rsidRPr="002A677E">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rsidRPr="002A677E">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1607136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rsidRPr="002A677E">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D5DB3DA" w14:textId="2E169311" w:rsidR="00595FAD" w:rsidRPr="002A677E" w:rsidRDefault="00595FAD" w:rsidP="00070518">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sidR="00B83DDE">
              <w:rPr>
                <w:rFonts w:ascii="Times New Roman" w:hAnsi="Times New Roman"/>
                <w:sz w:val="24"/>
                <w:lang w:eastAsia="en-CA"/>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65" w:name="_Toc19715812"/>
      <w:bookmarkStart w:id="466" w:name="_Toc151714452"/>
      <w:r w:rsidRPr="002A677E">
        <w:rPr>
          <w:rFonts w:ascii="Times New Roman" w:hAnsi="Times New Roman" w:cs="Times New Roman"/>
          <w:sz w:val="24"/>
          <w:lang w:val="en-GB"/>
        </w:rPr>
        <w:t>C 34.04 - CCR exposures treated with the Original Exposure Method (OEM)</w:t>
      </w:r>
      <w:bookmarkEnd w:id="465"/>
      <w:bookmarkEnd w:id="466"/>
    </w:p>
    <w:p w14:paraId="1C6D309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67" w:name="_Toc19715813"/>
      <w:bookmarkStart w:id="468" w:name="_Toc151714453"/>
      <w:r w:rsidRPr="002A677E">
        <w:rPr>
          <w:rFonts w:ascii="Times New Roman" w:hAnsi="Times New Roman" w:cs="Times New Roman"/>
          <w:sz w:val="24"/>
          <w:lang w:val="en-GB"/>
        </w:rPr>
        <w:t>Instructions concerning specific positions</w:t>
      </w:r>
      <w:bookmarkEnd w:id="467"/>
      <w:bookmarkEnd w:id="46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rsidRPr="002A677E">
              <w:lastRenderedPageBreak/>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w:t>
            </w:r>
            <w:r w:rsidR="00DC0A81" w:rsidRPr="002A677E">
              <w:rPr>
                <w:rFonts w:ascii="Times New Roman" w:hAnsi="Times New Roman"/>
                <w:sz w:val="24"/>
                <w:lang w:eastAsia="en-CA"/>
              </w:rPr>
              <w:t xml:space="preserve"> </w:t>
            </w:r>
            <w:r w:rsidRPr="002A677E">
              <w:rPr>
                <w:rFonts w:ascii="Times New Roman" w:hAnsi="Times New Roman"/>
                <w:sz w:val="24"/>
                <w:lang w:eastAsia="en-CA"/>
              </w:rPr>
              <w:t>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rsidRPr="002A677E">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53D4881"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rsidRPr="002A677E">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rsidRPr="002A677E">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Rows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rsidRPr="002A677E">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FE53BE2" w14:textId="005554D3" w:rsidR="00595FAD" w:rsidRPr="002A677E" w:rsidRDefault="00595FAD" w:rsidP="00070518">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sidR="00402284">
              <w:rPr>
                <w:rFonts w:ascii="Times New Roman" w:hAnsi="Times New Roman"/>
                <w:sz w:val="24"/>
                <w:lang w:eastAsia="en-CA"/>
              </w:rPr>
              <w:t xml:space="preserve"> </w:t>
            </w:r>
            <w:r w:rsidRPr="002A677E">
              <w:rPr>
                <w:rFonts w:ascii="Times New Roman" w:hAnsi="Times New Roman"/>
                <w:sz w:val="24"/>
                <w:lang w:eastAsia="en-CA"/>
              </w:rPr>
              <w:t>Article 282(4)</w:t>
            </w:r>
            <w:r w:rsidR="00B83DDE">
              <w:rPr>
                <w:rFonts w:ascii="Times New Roman" w:hAnsi="Times New Roman"/>
                <w:sz w:val="24"/>
                <w:lang w:eastAsia="en-CA"/>
              </w:rPr>
              <w:t>, p</w:t>
            </w:r>
            <w:r w:rsidR="00070518" w:rsidRPr="002A677E">
              <w:rPr>
                <w:rFonts w:ascii="Times New Roman" w:hAnsi="Times New Roman"/>
                <w:sz w:val="24"/>
                <w:lang w:eastAsia="en-CA"/>
              </w:rPr>
              <w:t>oint (b)</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69" w:name="_Toc19715814"/>
      <w:bookmarkStart w:id="470" w:name="_Toc151714454"/>
      <w:r w:rsidRPr="002A677E">
        <w:rPr>
          <w:rFonts w:ascii="Times New Roman" w:hAnsi="Times New Roman" w:cs="Times New Roman"/>
          <w:sz w:val="24"/>
          <w:lang w:val="en-GB"/>
        </w:rPr>
        <w:t>C 34.05 – CCR exposures treated with the Internal Model Method (IMM)</w:t>
      </w:r>
      <w:bookmarkEnd w:id="469"/>
      <w:bookmarkEnd w:id="470"/>
    </w:p>
    <w:p w14:paraId="6483167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71" w:name="_Toc19715815"/>
      <w:bookmarkStart w:id="472" w:name="_Toc151714455"/>
      <w:r w:rsidRPr="002A677E">
        <w:rPr>
          <w:rFonts w:ascii="Times New Roman" w:hAnsi="Times New Roman" w:cs="Times New Roman"/>
          <w:sz w:val="24"/>
          <w:lang w:val="en-GB"/>
        </w:rPr>
        <w:t>Instructions concerning specific positions</w:t>
      </w:r>
      <w:bookmarkEnd w:id="471"/>
      <w:bookmarkEnd w:id="47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rsidRPr="002A677E">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1965ABB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rsidRPr="002A677E">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6A51A31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0140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rsidRPr="002A677E">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4D81CC6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rsidRPr="002A677E">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1B21D84B" w14:textId="77777777" w:rsidR="00595FAD" w:rsidRPr="002A677E" w:rsidRDefault="00595FAD" w:rsidP="00FF15C6">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rsidRPr="002A677E">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64212EE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rsidRPr="002A677E">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BA591B" w14:textId="77777777" w:rsidR="00595FAD" w:rsidRPr="002A677E" w:rsidRDefault="00595FAD" w:rsidP="00FF15C6">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rsidRPr="002A677E">
              <w:lastRenderedPageBreak/>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3EF8F43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rsidRPr="002A677E">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w:t>
            </w:r>
            <w:r w:rsidR="00DC0A81" w:rsidRPr="002A677E">
              <w:rPr>
                <w:rFonts w:ascii="Times New Roman" w:hAnsi="Times New Roman" w:cs="Times New Roman"/>
                <w:color w:val="auto"/>
              </w:rPr>
              <w:t xml:space="preserve"> </w:t>
            </w:r>
            <w:r w:rsidRPr="002A677E">
              <w:rPr>
                <w:rFonts w:ascii="Times New Roman" w:hAnsi="Times New Roman" w:cs="Times New Roman"/>
                <w:color w:val="auto"/>
              </w:rPr>
              <w:t>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rsidRPr="002A677E">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76285FE0" w14:textId="6C1FC16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0095353C" w:rsidRPr="001235ED">
              <w:rPr>
                <w:rFonts w:ascii="Times New Roman" w:hAnsi="Times New Roman"/>
                <w:sz w:val="24"/>
                <w:lang w:val="en-US"/>
              </w:rPr>
              <w:t>of Regulation (EU) No 575/2013</w:t>
            </w:r>
          </w:p>
          <w:p w14:paraId="05F2F928" w14:textId="7E7ECE33"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rsidRPr="002A677E">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0EE80EAE"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rsidRPr="002A677E">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sidRPr="002A677E">
              <w:rPr>
                <w:rFonts w:ascii="Times New Roman" w:hAnsi="Times New Roman"/>
                <w:sz w:val="24"/>
                <w:lang w:eastAsia="en-CA"/>
              </w:rPr>
              <w:t xml:space="preserve">Article 283 </w:t>
            </w:r>
            <w:r w:rsidR="0095353C" w:rsidRPr="001235ED">
              <w:rPr>
                <w:rFonts w:ascii="Times New Roman" w:hAnsi="Times New Roman"/>
                <w:sz w:val="24"/>
                <w:lang w:val="en-US"/>
              </w:rPr>
              <w:t>of Regulation (EU) No 575/2013</w:t>
            </w:r>
          </w:p>
          <w:p w14:paraId="028F40CB" w14:textId="2044F0AF" w:rsidR="00595FAD" w:rsidRPr="002A677E" w:rsidRDefault="00595FAD" w:rsidP="00FF15C6">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rsidRPr="002A677E">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B266C36"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0120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rsidRPr="002A677E">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rsidRPr="002A677E">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rsidRPr="002A677E">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977FBD8"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rsidRPr="002A677E">
              <w:lastRenderedPageBreak/>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55913A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rsidRPr="002A677E">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36B18F3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rsidRPr="002A677E">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0239B755"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0070 in C</w:t>
            </w:r>
            <w:r w:rsidR="00DC0A81" w:rsidRPr="002A677E">
              <w:rPr>
                <w:rFonts w:ascii="Times New Roman" w:hAnsi="Times New Roman"/>
                <w:sz w:val="24"/>
              </w:rPr>
              <w:t xml:space="preserve"> </w:t>
            </w:r>
            <w:r w:rsidRPr="002A677E">
              <w:rPr>
                <w:rFonts w:ascii="Times New Roman" w:hAnsi="Times New Roman"/>
                <w:sz w:val="24"/>
              </w:rPr>
              <w:t>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73" w:name="_Toc19715816"/>
      <w:bookmarkStart w:id="474" w:name="_Toc151714456"/>
      <w:r w:rsidRPr="002A677E">
        <w:rPr>
          <w:rFonts w:ascii="Times New Roman" w:hAnsi="Times New Roman" w:cs="Times New Roman"/>
          <w:sz w:val="24"/>
          <w:lang w:val="en-GB"/>
        </w:rPr>
        <w:t>C 34.06 – Top twenty counterparties</w:t>
      </w:r>
      <w:bookmarkEnd w:id="473"/>
      <w:bookmarkEnd w:id="474"/>
    </w:p>
    <w:p w14:paraId="6085EDC2"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75" w:name="_Toc19715817"/>
      <w:bookmarkStart w:id="476" w:name="_Toc151714457"/>
      <w:r w:rsidRPr="002A677E">
        <w:rPr>
          <w:rFonts w:ascii="Times New Roman" w:hAnsi="Times New Roman" w:cs="Times New Roman"/>
          <w:sz w:val="24"/>
          <w:lang w:val="en-GB"/>
        </w:rPr>
        <w:t>General remarks</w:t>
      </w:r>
      <w:bookmarkEnd w:id="475"/>
      <w:bookmarkEnd w:id="476"/>
    </w:p>
    <w:p w14:paraId="0CFF0B63" w14:textId="51A13A09" w:rsidR="00595FAD" w:rsidRPr="002A677E" w:rsidRDefault="008F3052" w:rsidP="00F87C59">
      <w:pPr>
        <w:pStyle w:val="InstructionsText2"/>
        <w:numPr>
          <w:ilvl w:val="0"/>
          <w:numId w:val="0"/>
        </w:numPr>
        <w:ind w:left="993"/>
      </w:pPr>
      <w:r>
        <w:fldChar w:fldCharType="begin"/>
      </w:r>
      <w:r>
        <w:instrText>seq paragraphs</w:instrText>
      </w:r>
      <w:r>
        <w:fldChar w:fldCharType="separate"/>
      </w:r>
      <w:r w:rsidR="005E3D5A">
        <w:rPr>
          <w:noProof/>
        </w:rPr>
        <w:t>128</w:t>
      </w:r>
      <w:r>
        <w:fldChar w:fldCharType="end"/>
      </w:r>
      <w:r w:rsidR="00595FAD"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0095353C" w:rsidRPr="001235ED">
        <w:rPr>
          <w:lang w:val="en-US"/>
        </w:rPr>
        <w:t>of Regulation (EU) No 575/2013 of Regulation (EU) No 575/2013</w:t>
      </w:r>
      <w:r w:rsidR="00595FAD" w:rsidRPr="002A677E">
        <w:t>, shall still be considered when determining the list of top 20 counterparties.</w:t>
      </w:r>
    </w:p>
    <w:p w14:paraId="2F649BA0" w14:textId="313C5AFD" w:rsidR="00595FAD" w:rsidRPr="002A677E" w:rsidRDefault="008F3052" w:rsidP="00F87C59">
      <w:pPr>
        <w:pStyle w:val="InstructionsText2"/>
        <w:numPr>
          <w:ilvl w:val="0"/>
          <w:numId w:val="0"/>
        </w:numPr>
        <w:ind w:left="993"/>
      </w:pPr>
      <w:r>
        <w:fldChar w:fldCharType="begin"/>
      </w:r>
      <w:r>
        <w:instrText>seq paragraphs</w:instrText>
      </w:r>
      <w:r>
        <w:fldChar w:fldCharType="separate"/>
      </w:r>
      <w:r w:rsidR="005E3D5A">
        <w:rPr>
          <w:noProof/>
        </w:rPr>
        <w:t>129</w:t>
      </w:r>
      <w:r>
        <w:fldChar w:fldCharType="end"/>
      </w:r>
      <w:r w:rsidR="00595FAD" w:rsidRPr="002A677E">
        <w:t>. Institutions applying the standardised approach (SA-CCR) or the Internal Model Method (IMM) for the calculation of CCR exposures following Part Three</w:t>
      </w:r>
      <w:r w:rsidR="00F26CE4" w:rsidRPr="002A677E">
        <w:t>,</w:t>
      </w:r>
      <w:r w:rsidR="00595FAD" w:rsidRPr="002A677E">
        <w:t xml:space="preserve"> </w:t>
      </w:r>
      <w:r w:rsidR="00F26CE4" w:rsidRPr="002A677E">
        <w:t xml:space="preserve">Title II, Chapter 6, Sections 3 and 6 </w:t>
      </w:r>
      <w:r w:rsidR="0095353C" w:rsidRPr="001235ED">
        <w:rPr>
          <w:lang w:val="en-US"/>
        </w:rPr>
        <w:t>of Regulation (EU) No 575/2013</w:t>
      </w:r>
      <w:r w:rsidR="00595FAD" w:rsidRPr="002A677E">
        <w:t xml:space="preserve"> shall report this template on a quarterly basis. Institutions applying the simplified standardised approach or the original exposure method (OEM) for the calculation of CCR exposures following Part Three</w:t>
      </w:r>
      <w:r w:rsidR="00F26CE4" w:rsidRPr="002A677E">
        <w:t>,</w:t>
      </w:r>
      <w:r w:rsidR="00595FAD" w:rsidRPr="002A677E">
        <w:t xml:space="preserve"> </w:t>
      </w:r>
      <w:r w:rsidR="00F26CE4" w:rsidRPr="002A677E">
        <w:t xml:space="preserve">Title II, Chapter 6, Sections 4 and 5 </w:t>
      </w:r>
      <w:r w:rsidR="0095353C" w:rsidRPr="001235ED">
        <w:rPr>
          <w:lang w:val="en-US"/>
        </w:rPr>
        <w:t>of Regulation (EU) No 575/2013</w:t>
      </w:r>
      <w:r w:rsidR="00595FAD" w:rsidRPr="002A677E">
        <w:t xml:space="preserve"> shall report this template on a semi-annual basis. </w:t>
      </w:r>
      <w:bookmarkStart w:id="477" w:name="_Toc19715818"/>
      <w:r w:rsidR="00595FAD" w:rsidRPr="002A677E">
        <w:t>Instructions concerning specific positions</w:t>
      </w:r>
      <w:bookmarkEnd w:id="477"/>
      <w:r w:rsidR="00595FAD" w:rsidRPr="002A677E">
        <w:t>.</w:t>
      </w:r>
    </w:p>
    <w:p w14:paraId="41B3079E" w14:textId="451490C6"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78" w:name="_Toc151714458"/>
      <w:r w:rsidRPr="002A677E">
        <w:rPr>
          <w:rFonts w:ascii="Times New Roman" w:hAnsi="Times New Roman" w:cs="Times New Roman"/>
          <w:sz w:val="24"/>
          <w:lang w:val="en-GB"/>
        </w:rPr>
        <w:t>Instructions concerning specific positions</w:t>
      </w:r>
      <w:bookmarkEnd w:id="47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rsidRPr="002A677E">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sidRPr="002A677E">
              <w:rPr>
                <w:rFonts w:ascii="Times New Roman" w:hAnsi="Times New Roman"/>
                <w:sz w:val="24"/>
                <w:szCs w:val="22"/>
              </w:rPr>
              <w:t>Name of the counterparty</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rsidRPr="002A677E">
              <w:lastRenderedPageBreak/>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sidRPr="002A677E">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sidRPr="002A677E">
              <w:rPr>
                <w:rFonts w:ascii="Times New Roman" w:hAnsi="Times New Roman"/>
                <w:iCs/>
                <w:sz w:val="24"/>
              </w:rPr>
              <w:t>non-LEI</w:t>
            </w:r>
            <w:r w:rsidRPr="002A677E">
              <w:rPr>
                <w:rFonts w:ascii="Times New Roman" w:hAnsi="Times New Roman"/>
                <w:iCs/>
                <w:sz w:val="24"/>
              </w:rPr>
              <w:t xml:space="preserve"> code. The code shall be unique and used consistently across the templates and across time. The code shall always have a value</w:t>
            </w:r>
            <w:r w:rsidRPr="002A677E">
              <w:rPr>
                <w:i/>
                <w:iCs/>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rsidRPr="002A677E">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TYPE OF CODE</w:t>
            </w:r>
          </w:p>
          <w:p w14:paraId="3137A1E3" w14:textId="77777777" w:rsidR="00595FAD" w:rsidRPr="002A677E" w:rsidRDefault="00595FAD" w:rsidP="00FF15C6">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3E4A5DC7" w14:textId="77777777" w:rsidR="00595FAD" w:rsidRPr="002A677E" w:rsidRDefault="00595FAD" w:rsidP="00FF15C6">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rsidRPr="002A677E">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NATIONAL CODE</w:t>
            </w:r>
          </w:p>
          <w:p w14:paraId="2140FEA2" w14:textId="77777777" w:rsidR="00595FAD" w:rsidRPr="002A677E" w:rsidRDefault="00595FAD" w:rsidP="00FF15C6">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rsidRPr="002A677E">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35DCC761"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One sector shall be chosen for every counterparty on the basis of the following FINREP economic sector classes (see Part 3 Annex V </w:t>
            </w:r>
            <w:r w:rsidR="005E7FAD" w:rsidRPr="002A677E">
              <w:rPr>
                <w:rFonts w:ascii="Times New Roman" w:hAnsi="Times New Roman"/>
                <w:sz w:val="24"/>
              </w:rPr>
              <w:t>to this</w:t>
            </w:r>
            <w:r w:rsidRPr="002A677E">
              <w:rPr>
                <w:rFonts w:ascii="Times New Roman" w:hAnsi="Times New Roman"/>
                <w:sz w:val="24"/>
              </w:rPr>
              <w:t xml:space="preserve"> Implementing Regulation):</w:t>
            </w:r>
          </w:p>
          <w:p w14:paraId="71D9AFB9" w14:textId="433C4913" w:rsidR="00595FAD" w:rsidRPr="002A677E" w:rsidRDefault="00595FAD" w:rsidP="00FF15C6">
            <w:pPr>
              <w:keepNext/>
              <w:spacing w:before="60"/>
              <w:rPr>
                <w:rFonts w:ascii="Times New Roman" w:hAnsi="Times New Roman"/>
                <w:sz w:val="24"/>
              </w:rPr>
            </w:pPr>
            <w:r w:rsidRPr="002A677E">
              <w:rPr>
                <w:rFonts w:ascii="Times New Roman" w:hAnsi="Times New Roman"/>
                <w:sz w:val="24"/>
              </w:rPr>
              <w:t>(i)</w:t>
            </w:r>
            <w:r w:rsidR="00402284" w:rsidRPr="002A677E">
              <w:rPr>
                <w:rFonts w:ascii="Times New Roman" w:hAnsi="Times New Roman"/>
                <w:sz w:val="24"/>
              </w:rPr>
              <w:t xml:space="preserve"> </w:t>
            </w:r>
            <w:r w:rsidR="00402284" w:rsidRPr="002A677E">
              <w:rPr>
                <w:rFonts w:ascii="Times New Roman" w:hAnsi="Times New Roman"/>
                <w:sz w:val="24"/>
              </w:rPr>
              <w:tab/>
            </w:r>
            <w:r w:rsidRPr="002A677E">
              <w:rPr>
                <w:rFonts w:ascii="Times New Roman" w:hAnsi="Times New Roman"/>
                <w:sz w:val="24"/>
              </w:rPr>
              <w:t>Central Banks;</w:t>
            </w:r>
          </w:p>
          <w:p w14:paraId="4737441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2E3C182C"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2782673" w14:textId="3D3DF6D6" w:rsidR="00595FAD" w:rsidRPr="002A677E" w:rsidRDefault="00595FAD" w:rsidP="00FF15C6">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sidR="00B83DDE">
              <w:rPr>
                <w:rFonts w:ascii="Times New Roman" w:hAnsi="Times New Roman"/>
                <w:sz w:val="24"/>
              </w:rPr>
              <w:t>, p</w:t>
            </w:r>
            <w:r w:rsidR="00070518" w:rsidRPr="002A677E">
              <w:rPr>
                <w:rFonts w:ascii="Times New Roman" w:hAnsi="Times New Roman"/>
                <w:sz w:val="24"/>
              </w:rPr>
              <w:t>oint (2)</w:t>
            </w:r>
            <w:r w:rsidR="00FF161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w:t>
            </w:r>
          </w:p>
          <w:p w14:paraId="6667FB24"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3E1A8D76"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rsidRPr="002A677E">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1783C6E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3572532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QCCP: when the counterparty is a qualified CCP;</w:t>
            </w:r>
          </w:p>
          <w:p w14:paraId="7DEDB53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234E1750"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rsidRPr="002A677E">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13A8C21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rsidRPr="002A677E">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49A7A0C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rsidRPr="002A677E">
              <w:lastRenderedPageBreak/>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NOTIONAL AMOUNTS</w:t>
            </w:r>
          </w:p>
          <w:p w14:paraId="00FEB76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rsidRPr="002A677E">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w:t>
            </w:r>
            <w:r w:rsidR="00B83DDE">
              <w:rPr>
                <w:rFonts w:ascii="Times New Roman" w:hAnsi="Times New Roman"/>
                <w:b/>
                <w:sz w:val="24"/>
                <w:u w:val="single"/>
              </w:rPr>
              <w:t>, p</w:t>
            </w:r>
            <w:r w:rsidRPr="002A677E">
              <w:rPr>
                <w:rFonts w:ascii="Times New Roman" w:hAnsi="Times New Roman"/>
                <w:b/>
                <w:sz w:val="24"/>
                <w:u w:val="single"/>
              </w:rPr>
              <w:t>ositive</w:t>
            </w:r>
          </w:p>
          <w:p w14:paraId="0ACDC2CE"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12B7193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rsidRPr="002A677E">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33CA3F7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70F225F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rsidRPr="002A677E">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CE7FC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0160 in template C</w:t>
            </w:r>
            <w:r w:rsidR="00DC0A81" w:rsidRPr="002A677E">
              <w:rPr>
                <w:rFonts w:ascii="Times New Roman" w:hAnsi="Times New Roman"/>
                <w:sz w:val="24"/>
              </w:rPr>
              <w:t xml:space="preserve"> </w:t>
            </w:r>
            <w:r w:rsidRPr="002A677E">
              <w:rPr>
                <w:rFonts w:ascii="Times New Roman" w:hAnsi="Times New Roman"/>
                <w:sz w:val="24"/>
              </w:rPr>
              <w:t xml:space="preserve">34.02. </w:t>
            </w:r>
          </w:p>
          <w:p w14:paraId="7309510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rsidRPr="002A677E">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w:t>
            </w:r>
          </w:p>
          <w:p w14:paraId="208EE14C"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rsidRPr="002A677E">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5B683E6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0200 in template C</w:t>
            </w:r>
            <w:r w:rsidR="00DC0A81" w:rsidRPr="002A677E">
              <w:rPr>
                <w:rFonts w:ascii="Times New Roman" w:hAnsi="Times New Roman"/>
                <w:sz w:val="24"/>
              </w:rPr>
              <w:t xml:space="preserve"> </w:t>
            </w:r>
            <w:r w:rsidRPr="002A677E">
              <w:rPr>
                <w:rFonts w:ascii="Times New Roman" w:hAnsi="Times New Roman"/>
                <w:sz w:val="24"/>
              </w:rPr>
              <w:t>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79" w:name="_Toc19715819"/>
      <w:bookmarkStart w:id="480" w:name="_Toc151714459"/>
      <w:r w:rsidRPr="002A677E">
        <w:rPr>
          <w:rFonts w:ascii="Times New Roman" w:hAnsi="Times New Roman" w:cs="Times New Roman"/>
          <w:sz w:val="24"/>
          <w:lang w:val="en-GB"/>
        </w:rPr>
        <w:t>C 34.07 - IRB approach – CCR exposures by exposure class and PD scale</w:t>
      </w:r>
      <w:bookmarkEnd w:id="479"/>
      <w:bookmarkEnd w:id="480"/>
      <w:r w:rsidRPr="002A677E">
        <w:rPr>
          <w:rFonts w:ascii="Times New Roman" w:hAnsi="Times New Roman" w:cs="Times New Roman"/>
          <w:sz w:val="24"/>
          <w:lang w:val="en-GB"/>
        </w:rPr>
        <w:t xml:space="preserve"> </w:t>
      </w:r>
    </w:p>
    <w:p w14:paraId="146B01B2"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81" w:name="_Toc19715820"/>
      <w:bookmarkStart w:id="482" w:name="_Toc151714460"/>
      <w:r w:rsidRPr="002A677E">
        <w:rPr>
          <w:rFonts w:ascii="Times New Roman" w:hAnsi="Times New Roman" w:cs="Times New Roman"/>
          <w:sz w:val="24"/>
          <w:lang w:val="en-GB"/>
        </w:rPr>
        <w:t>General remarks</w:t>
      </w:r>
      <w:bookmarkEnd w:id="481"/>
      <w:bookmarkEnd w:id="482"/>
    </w:p>
    <w:p w14:paraId="682CD351" w14:textId="737B6F14"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130</w:t>
      </w:r>
      <w:r>
        <w:fldChar w:fldCharType="end"/>
      </w:r>
      <w:r w:rsidR="00595FAD" w:rsidRPr="002A677E">
        <w:t xml:space="preserve">. This template shall be reported by institutions using either the advanced or the foundation IRB approach to compute risk weighted exposure amounts for all or part of their CCR exposures in accordance with Article 107 </w:t>
      </w:r>
      <w:r w:rsidR="0095353C" w:rsidRPr="001235ED">
        <w:rPr>
          <w:lang w:val="en-US"/>
        </w:rPr>
        <w:t>of Regulation (EU) No 575/2013</w:t>
      </w:r>
      <w:r w:rsidR="00595FAD" w:rsidRPr="002A677E">
        <w:t>, irrespective of the CCR approach used to determine exposure values in accordance with Part Three</w:t>
      </w:r>
      <w:r w:rsidR="007079CE" w:rsidRPr="002A677E">
        <w:t>,</w:t>
      </w:r>
      <w:r w:rsidR="00595FAD" w:rsidRPr="002A677E">
        <w:t xml:space="preserve"> </w:t>
      </w:r>
      <w:r w:rsidR="007079CE" w:rsidRPr="002A677E">
        <w:t xml:space="preserve">Title II, Chapters 4 and 6 </w:t>
      </w:r>
      <w:r w:rsidR="0095353C" w:rsidRPr="001235ED">
        <w:rPr>
          <w:lang w:val="en-US"/>
        </w:rPr>
        <w:t>of Regulation (EU) No 575/2013</w:t>
      </w:r>
      <w:r w:rsidR="00595FAD" w:rsidRPr="002A677E">
        <w:t xml:space="preserve">. </w:t>
      </w:r>
    </w:p>
    <w:p w14:paraId="1AB3B979" w14:textId="616143EE"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131</w:t>
      </w:r>
      <w:r>
        <w:fldChar w:fldCharType="end"/>
      </w:r>
      <w:r w:rsidR="00595FAD" w:rsidRPr="002A677E">
        <w:t xml:space="preserve">. The template shall be reported separately for the total of all exposure classes as well as separately for each of the exposure classes listed in Article 147 </w:t>
      </w:r>
      <w:r w:rsidR="0095353C" w:rsidRPr="001235ED">
        <w:rPr>
          <w:lang w:val="en-US"/>
        </w:rPr>
        <w:t>of Regulation (EU) No 575/2013</w:t>
      </w:r>
      <w:r w:rsidR="00595FAD" w:rsidRPr="002A677E">
        <w:t xml:space="preserve">. This template excludes exposures cleared through a CCP. </w:t>
      </w:r>
    </w:p>
    <w:p w14:paraId="7BDF11C6" w14:textId="6B77F06D"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132</w:t>
      </w:r>
      <w:r>
        <w:fldChar w:fldCharType="end"/>
      </w:r>
      <w:r w:rsidR="00595FAD" w:rsidRPr="002A677E">
        <w:t>. In order to clarify whether the institution uses its own estimates for LGD and/or credit conversion factors the following information shall be provided for each reported exposure class:</w:t>
      </w:r>
    </w:p>
    <w:p w14:paraId="37B9C953" w14:textId="77777777" w:rsidR="00595FAD" w:rsidRPr="002A677E" w:rsidRDefault="00595FAD" w:rsidP="006B56FF">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6D6D3A4F" w14:textId="77777777" w:rsidR="00595FAD" w:rsidRPr="002A677E" w:rsidRDefault="00595FAD" w:rsidP="006B56FF">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lastRenderedPageBreak/>
        <w:t xml:space="preserve">"YES" = in case own estimates of LGD and credit conversion factors are used (Advanced IRB) </w:t>
      </w:r>
    </w:p>
    <w:p w14:paraId="1262DBA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83" w:name="_Toc19715821"/>
      <w:bookmarkStart w:id="484" w:name="_Toc151714461"/>
      <w:r w:rsidRPr="002A677E">
        <w:rPr>
          <w:rFonts w:ascii="Times New Roman" w:hAnsi="Times New Roman" w:cs="Times New Roman"/>
          <w:sz w:val="24"/>
          <w:lang w:val="en-GB"/>
        </w:rPr>
        <w:t>Instructions concerning specific positions</w:t>
      </w:r>
      <w:bookmarkEnd w:id="483"/>
      <w:bookmarkEnd w:id="48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551376F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Exposure value (see instructions to column 0170 in template C</w:t>
            </w:r>
            <w:r w:rsidR="00837612" w:rsidRPr="002A677E">
              <w:rPr>
                <w:rFonts w:ascii="Times New Roman" w:hAnsi="Times New Roman"/>
                <w:sz w:val="24"/>
              </w:rPr>
              <w:t xml:space="preserve"> </w:t>
            </w:r>
            <w:r w:rsidRPr="002A677E">
              <w:rPr>
                <w:rFonts w:ascii="Times New Roman" w:hAnsi="Times New Roman"/>
                <w:sz w:val="24"/>
              </w:rPr>
              <w:t>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5CCB216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4A437284" w14:textId="77777777" w:rsidR="00595FAD" w:rsidRPr="002A677E" w:rsidRDefault="00595FAD" w:rsidP="00FF15C6">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188D1310" w14:textId="3314C154" w:rsidR="00595FAD" w:rsidRPr="002A677E" w:rsidRDefault="00595FAD" w:rsidP="00070518">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sidR="00B83DDE">
              <w:rPr>
                <w:rFonts w:ascii="Times New Roman" w:hAnsi="Times New Roman"/>
                <w:sz w:val="24"/>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5510F6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06DF21CC" w14:textId="001B4CB2" w:rsidR="00595FAD" w:rsidRPr="002A677E" w:rsidRDefault="00595FAD" w:rsidP="00FF15C6">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exposure amounts obtained after considering any CRM effects and downturn conditions as specified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3 and 4 </w:t>
            </w:r>
            <w:r w:rsidR="0095353C" w:rsidRPr="001235ED">
              <w:rPr>
                <w:rFonts w:ascii="Times New Roman" w:hAnsi="Times New Roman"/>
                <w:sz w:val="24"/>
              </w:rPr>
              <w:t>of Regulation (EU) No 575/2013</w:t>
            </w:r>
            <w:r w:rsidRPr="002A677E">
              <w:rPr>
                <w:rFonts w:ascii="Times New Roman" w:hAnsi="Times New Roman"/>
                <w:sz w:val="24"/>
              </w:rPr>
              <w:t xml:space="preserve">,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w:t>
            </w:r>
            <w:r w:rsidR="0095353C"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w:t>
            </w:r>
          </w:p>
          <w:p w14:paraId="39204E33" w14:textId="3259F8C5" w:rsidR="00595FAD" w:rsidRPr="002A677E" w:rsidRDefault="00595FAD" w:rsidP="00FF15C6">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0095353C" w:rsidRPr="001235ED">
              <w:rPr>
                <w:rFonts w:ascii="Times New Roman" w:hAnsi="Times New Roman"/>
                <w:sz w:val="24"/>
              </w:rPr>
              <w:t>of Regulation (EU) No 575/2013</w:t>
            </w:r>
            <w:r w:rsidRPr="002A677E">
              <w:rPr>
                <w:rFonts w:ascii="Times New Roman" w:hAnsi="Times New Roman"/>
                <w:sz w:val="24"/>
              </w:rPr>
              <w:t>.</w:t>
            </w:r>
          </w:p>
          <w:p w14:paraId="2764D21F" w14:textId="319CCDD0" w:rsidR="00595FAD" w:rsidRPr="002A677E" w:rsidRDefault="00595FAD" w:rsidP="00070518">
            <w:pPr>
              <w:spacing w:before="60" w:after="240"/>
              <w:rPr>
                <w:rFonts w:ascii="Times New Roman" w:hAnsi="Times New Roman"/>
                <w:strike/>
                <w:sz w:val="24"/>
              </w:rPr>
            </w:pPr>
            <w:r w:rsidRPr="002A677E">
              <w:rPr>
                <w:rFonts w:ascii="Times New Roman" w:hAnsi="Times New Roman"/>
                <w:sz w:val="24"/>
              </w:rPr>
              <w:t>For defaulted exposures under A-IRB Approach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070518" w:rsidRPr="002A677E">
              <w:rPr>
                <w:rFonts w:ascii="Times New Roman" w:hAnsi="Times New Roman"/>
                <w:sz w:val="24"/>
              </w:rPr>
              <w:t>oint (h)</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1EFE445F"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1B91C0EA" w14:textId="3114A0BA" w:rsidR="00595FAD" w:rsidRPr="002A677E" w:rsidRDefault="00595FAD" w:rsidP="00837612">
            <w:pPr>
              <w:rPr>
                <w:rFonts w:ascii="Times New Roman" w:hAnsi="Times New Roman"/>
                <w:sz w:val="24"/>
              </w:rPr>
            </w:pPr>
            <w:r w:rsidRPr="002A677E">
              <w:rPr>
                <w:rFonts w:ascii="Times New Roman" w:hAnsi="Times New Roman"/>
                <w:sz w:val="24"/>
              </w:rPr>
              <w:t xml:space="preserve">The maturity </w:t>
            </w:r>
            <w:r w:rsidR="00CE51FF" w:rsidRPr="002A677E">
              <w:rPr>
                <w:rFonts w:ascii="Times New Roman" w:hAnsi="Times New Roman"/>
                <w:sz w:val="24"/>
              </w:rPr>
              <w:t xml:space="preserve">shall be determined in accordance with </w:t>
            </w:r>
            <w:r w:rsidRPr="002A677E">
              <w:rPr>
                <w:rFonts w:ascii="Times New Roman" w:hAnsi="Times New Roman"/>
                <w:sz w:val="24"/>
              </w:rPr>
              <w:t xml:space="preserve">Article 162 </w:t>
            </w:r>
            <w:r w:rsidR="0095353C" w:rsidRPr="001235ED">
              <w:rPr>
                <w:rFonts w:ascii="Times New Roman" w:hAnsi="Times New Roman"/>
                <w:sz w:val="24"/>
              </w:rPr>
              <w:t>of Regulation (EU) No 575/2013</w:t>
            </w:r>
            <w:r w:rsidRPr="002A677E">
              <w:rPr>
                <w:rFonts w:ascii="Times New Roman" w:hAnsi="Times New Roman"/>
                <w:sz w:val="24"/>
              </w:rPr>
              <w:t xml:space="preserve">.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sidRPr="002A677E">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6FDAB7AE" w14:textId="734F862C"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amounts, as defined in Article 92(3) </w:t>
            </w:r>
            <w:r w:rsidR="0095353C" w:rsidRPr="001235ED">
              <w:rPr>
                <w:rFonts w:ascii="Times New Roman" w:hAnsi="Times New Roman"/>
                <w:sz w:val="24"/>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95353C"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4 and 6 </w:t>
            </w:r>
            <w:r w:rsidR="0095353C" w:rsidRPr="001235ED">
              <w:rPr>
                <w:rFonts w:ascii="Times New Roman" w:hAnsi="Times New Roman"/>
                <w:sz w:val="24"/>
              </w:rPr>
              <w:t xml:space="preserve">of that Regulation </w:t>
            </w:r>
          </w:p>
          <w:p w14:paraId="34C5741D" w14:textId="6DCC033E" w:rsidR="00595FAD" w:rsidRPr="002A677E" w:rsidRDefault="00595FAD" w:rsidP="003F19BA">
            <w:pPr>
              <w:spacing w:before="60" w:after="24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sidRPr="002A677E">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0DA2EEB9" w14:textId="77777777" w:rsidR="00595FAD" w:rsidRPr="002A677E" w:rsidDel="00291448" w:rsidRDefault="00595FAD" w:rsidP="00FF15C6">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rsidRPr="002A677E">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5E9D684F" w14:textId="4CDB3A7F" w:rsidR="00595FAD" w:rsidRPr="002A677E" w:rsidRDefault="00595FAD" w:rsidP="00FF15C6">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365B6380"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85" w:name="_Toc19715822"/>
      <w:bookmarkStart w:id="486" w:name="_Toc151714462"/>
      <w:r w:rsidRPr="002A677E">
        <w:rPr>
          <w:rFonts w:ascii="Times New Roman" w:hAnsi="Times New Roman" w:cs="Times New Roman"/>
          <w:sz w:val="24"/>
          <w:lang w:val="en-GB"/>
        </w:rPr>
        <w:t>C 34.08 - Composition of collateral for CCR exposures</w:t>
      </w:r>
      <w:bookmarkEnd w:id="485"/>
      <w:bookmarkEnd w:id="486"/>
    </w:p>
    <w:p w14:paraId="6B05040F"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87" w:name="_Toc19715823"/>
      <w:bookmarkStart w:id="488" w:name="_Toc151714463"/>
      <w:r w:rsidRPr="002A677E">
        <w:rPr>
          <w:rFonts w:ascii="Times New Roman" w:hAnsi="Times New Roman" w:cs="Times New Roman"/>
          <w:sz w:val="24"/>
          <w:lang w:val="en-GB"/>
        </w:rPr>
        <w:t>General remarks</w:t>
      </w:r>
      <w:bookmarkEnd w:id="487"/>
      <w:bookmarkEnd w:id="488"/>
    </w:p>
    <w:p w14:paraId="3A799621" w14:textId="1160055D"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133</w:t>
      </w:r>
      <w:r>
        <w:fldChar w:fldCharType="end"/>
      </w:r>
      <w:r w:rsidR="00595FAD"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6581525E" w14:textId="3F732CD4"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89" w:name="_Toc19715824"/>
      <w:bookmarkStart w:id="490" w:name="_Toc151714464"/>
      <w:r w:rsidRPr="002A677E">
        <w:rPr>
          <w:rFonts w:ascii="Times New Roman" w:hAnsi="Times New Roman" w:cs="Times New Roman"/>
          <w:sz w:val="24"/>
          <w:lang w:val="en-GB"/>
        </w:rPr>
        <w:t>Instructions concerning specific positions</w:t>
      </w:r>
      <w:bookmarkEnd w:id="489"/>
      <w:bookmarkEnd w:id="49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rsidRPr="002A677E">
              <w:lastRenderedPageBreak/>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0095353C"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w:t>
            </w:r>
            <w:r w:rsidR="00096876" w:rsidRPr="002A677E">
              <w:rPr>
                <w:rFonts w:ascii="Times New Roman" w:hAnsi="Times New Roman" w:cs="Times New Roman"/>
                <w:sz w:val="24"/>
              </w:rPr>
              <w:t>defined in Article 272</w:t>
            </w:r>
            <w:r w:rsidR="00B83DDE">
              <w:rPr>
                <w:rFonts w:ascii="Times New Roman" w:hAnsi="Times New Roman" w:cs="Times New Roman"/>
                <w:sz w:val="24"/>
              </w:rPr>
              <w:t>, p</w:t>
            </w:r>
            <w:r w:rsidR="00070518" w:rsidRPr="002A677E">
              <w:rPr>
                <w:rFonts w:ascii="Times New Roman" w:hAnsi="Times New Roman" w:cs="Times New Roman"/>
                <w:sz w:val="24"/>
              </w:rPr>
              <w:t xml:space="preserve">oint (2) </w:t>
            </w:r>
            <w:r w:rsidRPr="002A677E">
              <w:rPr>
                <w:rFonts w:ascii="Times New Roman" w:hAnsi="Times New Roman" w:cs="Times New Roman"/>
                <w:sz w:val="24"/>
              </w:rPr>
              <w:t xml:space="preserve">of the same regulation not qualifying as an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rsidRPr="002A677E">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rsidRPr="002A677E">
              <w:t>0010, 0020, 0050, 0060, 0090, 0100,</w:t>
            </w:r>
            <w:r w:rsidR="00402284">
              <w:t xml:space="preserve"> </w:t>
            </w:r>
            <w:r w:rsidRPr="002A677E">
              <w:t>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6A03815D" w14:textId="60B80FFC"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2386BF34" w14:textId="104A2093" w:rsidR="00595FAD" w:rsidRPr="002A677E" w:rsidRDefault="00CF4C30" w:rsidP="00FF15C6">
            <w:pPr>
              <w:spacing w:before="60"/>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collateral appearing in the form of initial or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rsidRPr="002A677E">
              <w:t>0030, 0040, 0070, 0080, 0110, 0120, 0130, 0160, 0170, 0180</w:t>
            </w:r>
            <w:r w:rsidRPr="002A677E" w:rsidDel="00081E3C">
              <w:t xml:space="preserve">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060A85A" w14:textId="06D05BB5"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47277071" w14:textId="025AD9FE" w:rsidR="00595FAD" w:rsidRPr="002A677E" w:rsidRDefault="00CF4C30" w:rsidP="00CF4C30">
            <w:pPr>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not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initial margin, variation margin and the SFT security.</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2E34D38" w14:textId="0D33440A" w:rsidR="00595FAD" w:rsidRPr="002A677E" w:rsidRDefault="004134E6" w:rsidP="00FF15C6">
            <w:pPr>
              <w:spacing w:before="60"/>
              <w:rPr>
                <w:rFonts w:ascii="Times New Roman" w:hAnsi="Times New Roman"/>
                <w:sz w:val="24"/>
                <w:lang w:eastAsia="en-CA"/>
              </w:rPr>
            </w:pPr>
            <w:r w:rsidRPr="002A677E">
              <w:rPr>
                <w:rFonts w:ascii="Times New Roman" w:hAnsi="Times New Roman"/>
                <w:sz w:val="24"/>
                <w:lang w:eastAsia="en-CA"/>
              </w:rPr>
              <w:t>Article 4(1</w:t>
            </w:r>
            <w:r w:rsidR="00595FAD" w:rsidRPr="002A677E">
              <w:rPr>
                <w:rFonts w:ascii="Times New Roman" w:hAnsi="Times New Roman"/>
                <w:sz w:val="24"/>
                <w:lang w:eastAsia="en-CA"/>
              </w:rPr>
              <w:t>)</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55161B15" w14:textId="02C5F460" w:rsidR="00595FAD" w:rsidRPr="002A677E" w:rsidRDefault="00595FAD" w:rsidP="00070518">
            <w:pPr>
              <w:spacing w:before="60"/>
              <w:rPr>
                <w:rFonts w:ascii="Times New Roman" w:hAnsi="Times New Roman"/>
                <w:sz w:val="24"/>
                <w:lang w:eastAsia="en-CA"/>
              </w:rPr>
            </w:pPr>
            <w:r w:rsidRPr="002A677E">
              <w:rPr>
                <w:rFonts w:ascii="Times New Roman" w:hAnsi="Times New Roman"/>
                <w:sz w:val="24"/>
                <w:lang w:eastAsia="en-CA"/>
              </w:rPr>
              <w:t xml:space="preserve">Institutions shall report the fair values of collateral received or posted as initial margin (defined in </w:t>
            </w:r>
            <w:r w:rsidR="004134E6"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rsidRPr="002A677E">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rsidRPr="002A677E">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5FD582CC" w14:textId="77777777" w:rsidR="00595FAD" w:rsidRPr="002A677E" w:rsidRDefault="00595FAD" w:rsidP="00FF15C6">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764191C9"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91" w:name="_Toc19715825"/>
      <w:bookmarkStart w:id="492" w:name="_Toc151714465"/>
      <w:r w:rsidRPr="002A677E">
        <w:rPr>
          <w:rFonts w:ascii="Times New Roman" w:hAnsi="Times New Roman" w:cs="Times New Roman"/>
          <w:sz w:val="24"/>
          <w:lang w:val="en-GB"/>
        </w:rPr>
        <w:lastRenderedPageBreak/>
        <w:t>C 34.09 - Credit derivatives exposures</w:t>
      </w:r>
      <w:bookmarkEnd w:id="491"/>
      <w:bookmarkEnd w:id="492"/>
    </w:p>
    <w:p w14:paraId="61ABD17F"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93" w:name="_Toc19715826"/>
      <w:bookmarkStart w:id="494" w:name="_Toc151714466"/>
      <w:r w:rsidRPr="002A677E">
        <w:rPr>
          <w:rFonts w:ascii="Times New Roman" w:hAnsi="Times New Roman" w:cs="Times New Roman"/>
          <w:sz w:val="24"/>
          <w:lang w:val="en-GB"/>
        </w:rPr>
        <w:t>Instructions concerning specific positions</w:t>
      </w:r>
      <w:bookmarkEnd w:id="493"/>
      <w:bookmarkEnd w:id="49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06928A27" w14:textId="77777777" w:rsidR="00595FAD" w:rsidRPr="002A677E" w:rsidRDefault="00595FAD" w:rsidP="00BE08DE">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54B6EECB"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1F50359D" w14:textId="77777777" w:rsidR="00595FAD" w:rsidRPr="002A677E" w:rsidRDefault="00595FAD" w:rsidP="00CF4C30">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95" w:name="_Toc19715827"/>
      <w:bookmarkStart w:id="496" w:name="_Toc151714467"/>
      <w:r w:rsidRPr="002A677E">
        <w:rPr>
          <w:rFonts w:ascii="Times New Roman" w:hAnsi="Times New Roman" w:cs="Times New Roman"/>
          <w:sz w:val="24"/>
          <w:lang w:val="en-GB"/>
        </w:rPr>
        <w:t>C 34.10 - Exposures to CCPs</w:t>
      </w:r>
      <w:bookmarkEnd w:id="495"/>
      <w:bookmarkEnd w:id="496"/>
    </w:p>
    <w:p w14:paraId="3E09F103"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97" w:name="_Toc19715828"/>
      <w:bookmarkStart w:id="498" w:name="_Toc151714468"/>
      <w:r w:rsidRPr="002A677E">
        <w:rPr>
          <w:rFonts w:ascii="Times New Roman" w:hAnsi="Times New Roman" w:cs="Times New Roman"/>
          <w:sz w:val="24"/>
          <w:lang w:val="en-GB"/>
        </w:rPr>
        <w:t>General remarks</w:t>
      </w:r>
      <w:bookmarkEnd w:id="497"/>
      <w:bookmarkEnd w:id="498"/>
    </w:p>
    <w:p w14:paraId="1E6FD5A9" w14:textId="2BBA717D"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134</w:t>
      </w:r>
      <w:r>
        <w:fldChar w:fldCharType="end"/>
      </w:r>
      <w:r w:rsidR="00595FAD" w:rsidRPr="002A677E">
        <w:t xml:space="preserve">. Institutions shall report the information on exposures to CCPs, i.e. to contracts and transactions listed in Article 301(1) </w:t>
      </w:r>
      <w:r w:rsidR="0095353C" w:rsidRPr="001235ED">
        <w:rPr>
          <w:lang w:val="en-US"/>
        </w:rPr>
        <w:t>of Regulation (EU) No 575/2013</w:t>
      </w:r>
      <w:r w:rsidR="00595FAD" w:rsidRPr="002A677E">
        <w:t xml:space="preserve"> for as long as they are outstanding with a CCP and exposures from CCP-related transactions, in accordance with Article 300(2) </w:t>
      </w:r>
      <w:r w:rsidR="0095353C" w:rsidRPr="001235ED">
        <w:rPr>
          <w:lang w:val="en-US"/>
        </w:rPr>
        <w:t>of that Regulation</w:t>
      </w:r>
      <w:r w:rsidR="00595FAD" w:rsidRPr="002A677E">
        <w:t>, for which the own funds requirements are calculated in accordance with Part Three</w:t>
      </w:r>
      <w:r w:rsidR="00F26CE4" w:rsidRPr="002A677E">
        <w:t>,</w:t>
      </w:r>
      <w:r w:rsidR="00595FAD" w:rsidRPr="002A677E">
        <w:t xml:space="preserve"> </w:t>
      </w:r>
      <w:r w:rsidR="00F26CE4" w:rsidRPr="002A677E">
        <w:t xml:space="preserve">Title II, Chapter 6, Section 9 </w:t>
      </w:r>
      <w:r w:rsidR="0095353C" w:rsidRPr="002A677E">
        <w:t>of that Regulation</w:t>
      </w:r>
      <w:r w:rsidR="00595FAD" w:rsidRPr="002A677E">
        <w:t xml:space="preserve">. </w:t>
      </w:r>
    </w:p>
    <w:p w14:paraId="43647881" w14:textId="0F72E20E"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99" w:name="_Toc19715829"/>
      <w:bookmarkStart w:id="500" w:name="_Toc151714469"/>
      <w:r w:rsidRPr="002A677E">
        <w:rPr>
          <w:rFonts w:ascii="Times New Roman" w:hAnsi="Times New Roman" w:cs="Times New Roman"/>
          <w:sz w:val="24"/>
          <w:lang w:val="en-GB"/>
        </w:rPr>
        <w:t>Instructions concerning specific positions</w:t>
      </w:r>
      <w:bookmarkEnd w:id="499"/>
      <w:bookmarkEnd w:id="50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rsidRPr="002A677E">
              <w:lastRenderedPageBreak/>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08FB3E7" w14:textId="1CE7BEF9"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 xml:space="preserve">for transactions in the scope of </w:t>
            </w:r>
            <w:r w:rsidR="00F26CE4" w:rsidRPr="002A677E">
              <w:rPr>
                <w:rFonts w:ascii="Times New Roman" w:hAnsi="Times New Roman"/>
                <w:sz w:val="24"/>
                <w:lang w:eastAsia="en-GB"/>
              </w:rPr>
              <w:t>Part Three, Title II, Chapter 6, Section 9</w:t>
            </w:r>
            <w:r w:rsidR="00402284">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calculated </w:t>
            </w:r>
            <w:r w:rsidR="00CF4C30" w:rsidRPr="002A677E">
              <w:rPr>
                <w:rFonts w:ascii="Times New Roman" w:hAnsi="Times New Roman"/>
                <w:sz w:val="24"/>
              </w:rPr>
              <w:t>in accordance with</w:t>
            </w:r>
            <w:r w:rsidRPr="002A677E">
              <w:rPr>
                <w:rFonts w:ascii="Times New Roman" w:hAnsi="Times New Roman"/>
                <w:sz w:val="24"/>
              </w:rPr>
              <w:t xml:space="preserve"> the relevant methods laid down in that Chapter and in particular in its s</w:t>
            </w:r>
            <w:r w:rsidRPr="002A677E">
              <w:rPr>
                <w:rFonts w:ascii="Times New Roman" w:hAnsi="Times New Roman"/>
                <w:sz w:val="24"/>
                <w:lang w:eastAsia="en-GB"/>
              </w:rPr>
              <w:t>ection 9</w:t>
            </w:r>
          </w:p>
          <w:p w14:paraId="23F54896" w14:textId="084CFB02"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The exposure value reported </w:t>
            </w:r>
            <w:r w:rsidR="00CF4C30" w:rsidRPr="002A677E">
              <w:rPr>
                <w:rFonts w:ascii="Times New Roman" w:hAnsi="Times New Roman"/>
                <w:sz w:val="24"/>
                <w:lang w:eastAsia="en-GB"/>
              </w:rPr>
              <w:t xml:space="preserve">shall be </w:t>
            </w:r>
            <w:r w:rsidRPr="002A677E">
              <w:rPr>
                <w:rFonts w:ascii="Times New Roman" w:hAnsi="Times New Roman"/>
                <w:sz w:val="24"/>
                <w:lang w:eastAsia="en-GB"/>
              </w:rPr>
              <w:t>the amount relevant for the own funds requirements calculation in accordance with</w:t>
            </w:r>
            <w:r w:rsidRPr="002A677E">
              <w:rPr>
                <w:rFonts w:ascii="Times New Roman" w:hAnsi="Times New Roman"/>
                <w:sz w:val="24"/>
              </w:rPr>
              <w:t xml:space="preserve"> </w:t>
            </w:r>
            <w:r w:rsidR="00F26CE4" w:rsidRPr="002A677E">
              <w:rPr>
                <w:rFonts w:ascii="Times New Roman" w:hAnsi="Times New Roman"/>
                <w:sz w:val="24"/>
              </w:rPr>
              <w:t>Part Three, Title II, Chapter 6, Section 9</w:t>
            </w:r>
            <w:r w:rsidR="00402284">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 xml:space="preserve">egulation during the transitional period provided for </w:t>
            </w:r>
            <w:r w:rsidR="00CF4C30" w:rsidRPr="002A677E">
              <w:rPr>
                <w:rFonts w:ascii="Times New Roman" w:hAnsi="Times New Roman"/>
                <w:sz w:val="24"/>
                <w:lang w:eastAsia="en-GB"/>
              </w:rPr>
              <w:t xml:space="preserve">in </w:t>
            </w:r>
            <w:r w:rsidRPr="002A677E">
              <w:rPr>
                <w:rFonts w:ascii="Times New Roman" w:hAnsi="Times New Roman"/>
                <w:sz w:val="24"/>
                <w:lang w:eastAsia="en-GB"/>
              </w:rPr>
              <w:t>that article.</w:t>
            </w:r>
          </w:p>
          <w:p w14:paraId="13EE67A8" w14:textId="7F3CB7F3" w:rsidR="00595FAD" w:rsidRPr="002A677E" w:rsidRDefault="00595FAD" w:rsidP="00070518">
            <w:pPr>
              <w:keepNext/>
              <w:spacing w:before="60"/>
              <w:rPr>
                <w:rFonts w:ascii="Times New Roman" w:hAnsi="Times New Roman"/>
                <w:sz w:val="24"/>
                <w:lang w:eastAsia="en-GB"/>
              </w:rPr>
            </w:pPr>
            <w:r w:rsidRPr="002A677E">
              <w:rPr>
                <w:rFonts w:ascii="Times New Roman" w:hAnsi="Times New Roman"/>
                <w:sz w:val="24"/>
                <w:lang w:eastAsia="en-GB"/>
              </w:rPr>
              <w:t xml:space="preserve">An exposure can be a trade exposure, as defined in </w:t>
            </w:r>
            <w:r w:rsidR="00F45413" w:rsidRPr="002A677E">
              <w:rPr>
                <w:rFonts w:ascii="Times New Roman" w:hAnsi="Times New Roman"/>
                <w:sz w:val="24"/>
                <w:lang w:eastAsia="en-GB"/>
              </w:rPr>
              <w:t>Article 4(</w:t>
            </w:r>
            <w:r w:rsidRPr="002A677E">
              <w:rPr>
                <w:rFonts w:ascii="Times New Roman" w:hAnsi="Times New Roman"/>
                <w:sz w:val="24"/>
                <w:lang w:eastAsia="en-GB"/>
              </w:rPr>
              <w:t>1)</w:t>
            </w:r>
            <w:r w:rsidR="00B83DDE">
              <w:rPr>
                <w:rFonts w:ascii="Times New Roman" w:hAnsi="Times New Roman"/>
                <w:sz w:val="24"/>
                <w:lang w:eastAsia="en-GB"/>
              </w:rPr>
              <w:t>, p</w:t>
            </w:r>
            <w:r w:rsidR="00070518" w:rsidRPr="002A677E">
              <w:rPr>
                <w:rFonts w:ascii="Times New Roman" w:hAnsi="Times New Roman"/>
                <w:sz w:val="24"/>
                <w:lang w:eastAsia="en-GB"/>
              </w:rPr>
              <w:t>oint (91)</w:t>
            </w:r>
            <w:r w:rsidR="00FF1617">
              <w:rPr>
                <w:rFonts w:ascii="Times New Roman" w:hAnsi="Times New Roman"/>
                <w:sz w:val="24"/>
                <w:lang w:eastAsia="en-GB"/>
              </w:rPr>
              <w:t>,</w:t>
            </w:r>
            <w:r w:rsidR="00070518" w:rsidRPr="002A677E">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rsidRPr="002A677E">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1C095850" w14:textId="3E65500D" w:rsidR="00595FAD" w:rsidRPr="002A677E" w:rsidRDefault="00595FAD" w:rsidP="00070518">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sidR="00402284">
              <w:rPr>
                <w:rFonts w:ascii="Times New Roman" w:hAnsi="Times New Roman"/>
                <w:sz w:val="24"/>
              </w:rPr>
              <w:t xml:space="preserve"> </w:t>
            </w:r>
            <w:r w:rsidRPr="002A677E">
              <w:rPr>
                <w:rFonts w:ascii="Times New Roman" w:hAnsi="Times New Roman"/>
                <w:sz w:val="24"/>
                <w:lang w:eastAsia="en-GB"/>
              </w:rPr>
              <w:t>Part Three</w:t>
            </w:r>
            <w:r w:rsidR="00070518" w:rsidRPr="002A677E">
              <w:rPr>
                <w:rFonts w:ascii="Times New Roman" w:hAnsi="Times New Roman"/>
                <w:sz w:val="24"/>
                <w:lang w:eastAsia="en-GB"/>
              </w:rPr>
              <w:t>,</w:t>
            </w:r>
            <w:r w:rsidRPr="002A677E">
              <w:rPr>
                <w:rFonts w:ascii="Times New Roman" w:hAnsi="Times New Roman"/>
                <w:sz w:val="24"/>
                <w:lang w:eastAsia="en-GB"/>
              </w:rPr>
              <w:t xml:space="preserve"> </w:t>
            </w:r>
            <w:r w:rsidR="00070518" w:rsidRPr="002A677E">
              <w:rPr>
                <w:rFonts w:ascii="Times New Roman" w:hAnsi="Times New Roman"/>
                <w:sz w:val="24"/>
              </w:rPr>
              <w:t xml:space="preserve">Title II, Chapter 6, Section 9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egulation during the transitional period provided for by that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rsidRPr="002A677E">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6C197069" w14:textId="5769E482" w:rsidR="00595FAD" w:rsidRPr="002A677E" w:rsidRDefault="006418A0" w:rsidP="00070518">
            <w:pPr>
              <w:spacing w:beforeLines="60" w:before="144" w:afterLines="60" w:after="144"/>
              <w:rPr>
                <w:rFonts w:ascii="Times New Roman" w:hAnsi="Times New Roman"/>
                <w:sz w:val="24"/>
                <w:lang w:eastAsia="en-CA"/>
              </w:rPr>
            </w:pPr>
            <w:r w:rsidRPr="002A677E">
              <w:rPr>
                <w:rFonts w:ascii="Times New Roman" w:hAnsi="Times New Roman"/>
                <w:sz w:val="24"/>
                <w:lang w:eastAsia="en-CA"/>
              </w:rPr>
              <w:t>A</w:t>
            </w:r>
            <w:r w:rsidR="00595FAD" w:rsidRPr="002A677E">
              <w:rPr>
                <w:rFonts w:ascii="Times New Roman" w:hAnsi="Times New Roman"/>
                <w:sz w:val="24"/>
                <w:lang w:eastAsia="en-CA"/>
              </w:rPr>
              <w:t xml:space="preserve"> qualifying central counterparty or “QCCP”</w:t>
            </w:r>
            <w:r w:rsidR="00C85EAB" w:rsidRPr="002A677E">
              <w:rPr>
                <w:rFonts w:ascii="Times New Roman" w:hAnsi="Times New Roman"/>
                <w:sz w:val="24"/>
                <w:lang w:eastAsia="en-CA"/>
              </w:rPr>
              <w:t xml:space="preserve"> </w:t>
            </w:r>
            <w:r w:rsidRPr="002A677E">
              <w:rPr>
                <w:rFonts w:ascii="Times New Roman" w:hAnsi="Times New Roman"/>
                <w:sz w:val="24"/>
                <w:lang w:eastAsia="en-CA"/>
              </w:rPr>
              <w:t>as</w:t>
            </w:r>
            <w:r w:rsidR="00C85EAB" w:rsidRPr="002A677E">
              <w:rPr>
                <w:rFonts w:ascii="Times New Roman" w:hAnsi="Times New Roman"/>
                <w:sz w:val="24"/>
                <w:lang w:eastAsia="en-CA"/>
              </w:rPr>
              <w:t xml:space="preserve"> defined in </w:t>
            </w:r>
            <w:r w:rsidR="00595FAD" w:rsidRPr="002A677E">
              <w:rPr>
                <w:rFonts w:ascii="Times New Roman" w:hAnsi="Times New Roman"/>
                <w:sz w:val="24"/>
                <w:lang w:eastAsia="en-CA"/>
              </w:rPr>
              <w:t>Article 4</w:t>
            </w:r>
            <w:r w:rsidR="00381685" w:rsidRPr="002A677E">
              <w:rPr>
                <w:rFonts w:ascii="Times New Roman" w:hAnsi="Times New Roman"/>
                <w:sz w:val="24"/>
                <w:lang w:eastAsia="en-CA"/>
              </w:rPr>
              <w:t>(1)</w:t>
            </w:r>
            <w:r w:rsidR="00B83DDE">
              <w:rPr>
                <w:rFonts w:ascii="Times New Roman" w:hAnsi="Times New Roman"/>
                <w:sz w:val="24"/>
                <w:lang w:eastAsia="en-CA"/>
              </w:rPr>
              <w:t>, p</w:t>
            </w:r>
            <w:r w:rsidR="00070518" w:rsidRPr="002A677E">
              <w:rPr>
                <w:rFonts w:ascii="Times New Roman" w:hAnsi="Times New Roman"/>
                <w:sz w:val="24"/>
                <w:lang w:eastAsia="en-CA"/>
              </w:rPr>
              <w:t>oint (88)</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595FAD" w:rsidRPr="002A677E">
              <w:rPr>
                <w:rFonts w:ascii="Times New Roman" w:hAnsi="Times New Roman"/>
                <w:sz w:val="24"/>
                <w:lang w:eastAsia="en-CA"/>
              </w:rPr>
              <w:t xml:space="preserv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rsidRPr="002A677E">
              <w:t>0070, 0080</w:t>
            </w:r>
          </w:p>
          <w:p w14:paraId="5AB01574" w14:textId="77777777" w:rsidR="00595FAD" w:rsidRPr="002A677E" w:rsidRDefault="00595FAD" w:rsidP="00FF15C6">
            <w:pPr>
              <w:pStyle w:val="Fait"/>
            </w:pPr>
            <w:r w:rsidRPr="002A677E">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p w14:paraId="44AC0924" w14:textId="77777777" w:rsidR="00595FAD" w:rsidRPr="002A677E" w:rsidRDefault="00595FAD" w:rsidP="00C76804">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be treated as a default fund exposure).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rsidRPr="002A677E">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43979D70" w14:textId="14702A1E" w:rsidR="00595FAD" w:rsidRPr="002A677E" w:rsidRDefault="00C85EAB"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Articles </w:t>
            </w:r>
            <w:r w:rsidR="006418A0" w:rsidRPr="002A677E">
              <w:rPr>
                <w:rFonts w:ascii="Times New Roman" w:hAnsi="Times New Roman"/>
                <w:sz w:val="24"/>
                <w:lang w:eastAsia="en-CA"/>
              </w:rPr>
              <w:t xml:space="preserve">308 and 309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 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t</w:t>
            </w:r>
            <w:r w:rsidR="00595FAD" w:rsidRPr="002A677E">
              <w:rPr>
                <w:rFonts w:ascii="Times New Roman" w:hAnsi="Times New Roman"/>
                <w:sz w:val="24"/>
                <w:lang w:eastAsia="en-CA"/>
              </w:rPr>
              <w:t>he contribution to the default fund of a CCP that is paid in by the institution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rsidRPr="002A677E">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t xml:space="preserve">Articles </w:t>
            </w:r>
            <w:r w:rsidR="00595FAD" w:rsidRPr="002A677E">
              <w:rPr>
                <w:rFonts w:ascii="Times New Roman" w:hAnsi="Times New Roman"/>
                <w:sz w:val="24"/>
                <w:lang w:eastAsia="en-CA"/>
              </w:rPr>
              <w:t xml:space="preserve">309 and 310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w:t>
            </w:r>
            <w:r w:rsidR="00402284">
              <w:rPr>
                <w:rFonts w:ascii="Times New Roman" w:hAnsi="Times New Roman"/>
                <w:sz w:val="24"/>
                <w:lang w:eastAsia="en-CA"/>
              </w:rPr>
              <w:t xml:space="preserve"> </w:t>
            </w:r>
            <w:r w:rsidR="006418A0"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68900E5B" w14:textId="77777777" w:rsidR="00595FAD" w:rsidRPr="002A677E" w:rsidRDefault="0014210E" w:rsidP="006418A0">
            <w:pPr>
              <w:keepNext/>
              <w:spacing w:before="60"/>
              <w:rPr>
                <w:rFonts w:ascii="Times New Roman" w:hAnsi="Times New Roman"/>
                <w:sz w:val="24"/>
                <w:lang w:eastAsia="en-CA"/>
              </w:rPr>
            </w:pPr>
            <w:r w:rsidRPr="002A677E">
              <w:rPr>
                <w:rFonts w:ascii="Times New Roman" w:hAnsi="Times New Roman"/>
                <w:sz w:val="24"/>
                <w:lang w:eastAsia="en-CA"/>
              </w:rPr>
              <w:t>Institutions shall report c</w:t>
            </w:r>
            <w:r w:rsidR="00595FAD" w:rsidRPr="002A677E">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sidRPr="002A677E">
              <w:rPr>
                <w:rFonts w:ascii="Times New Roman" w:hAnsi="Times New Roman"/>
                <w:sz w:val="24"/>
                <w:lang w:eastAsia="en-CA"/>
              </w:rPr>
              <w:t>r more of its clearing members.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rsidRPr="002A677E">
              <w:lastRenderedPageBreak/>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0033E389"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rsidRPr="002A677E">
              <w:t>0080,</w:t>
            </w:r>
            <w:r w:rsidR="00403B9F">
              <w:t xml:space="preserve"> </w:t>
            </w:r>
            <w:r w:rsidRPr="002A677E">
              <w:t>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1B2BD796"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bl>
    <w:p w14:paraId="5046304B"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501" w:name="_Toc19715830"/>
      <w:bookmarkStart w:id="502" w:name="_Toc151714470"/>
      <w:r w:rsidRPr="002A677E">
        <w:rPr>
          <w:rFonts w:ascii="Times New Roman" w:hAnsi="Times New Roman" w:cs="Times New Roman"/>
          <w:sz w:val="24"/>
          <w:lang w:val="en-GB"/>
        </w:rPr>
        <w:t xml:space="preserve">C 34.11 - Risk weighted exposure amounts </w:t>
      </w:r>
      <w:r w:rsidR="00BF3C23" w:rsidRPr="002A677E">
        <w:rPr>
          <w:rFonts w:ascii="Times New Roman" w:hAnsi="Times New Roman" w:cs="Times New Roman"/>
          <w:sz w:val="24"/>
          <w:lang w:val="en-GB"/>
        </w:rPr>
        <w:t xml:space="preserve">(RWEA) </w:t>
      </w:r>
      <w:r w:rsidRPr="002A677E">
        <w:rPr>
          <w:rFonts w:ascii="Times New Roman" w:hAnsi="Times New Roman" w:cs="Times New Roman"/>
          <w:sz w:val="24"/>
          <w:lang w:val="en-GB"/>
        </w:rPr>
        <w:t>flow statements of CCR exposures under the IMM</w:t>
      </w:r>
      <w:bookmarkEnd w:id="501"/>
      <w:bookmarkEnd w:id="502"/>
    </w:p>
    <w:p w14:paraId="2FB7901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503" w:name="_Toc19715831"/>
      <w:bookmarkStart w:id="504" w:name="_Toc151714471"/>
      <w:r w:rsidRPr="002A677E">
        <w:rPr>
          <w:rFonts w:ascii="Times New Roman" w:hAnsi="Times New Roman" w:cs="Times New Roman"/>
          <w:sz w:val="24"/>
          <w:lang w:val="en-GB"/>
        </w:rPr>
        <w:t>General remarks</w:t>
      </w:r>
      <w:bookmarkEnd w:id="503"/>
      <w:bookmarkEnd w:id="504"/>
    </w:p>
    <w:p w14:paraId="301F1925" w14:textId="2AA0A4CC"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135</w:t>
      </w:r>
      <w:r>
        <w:fldChar w:fldCharType="end"/>
      </w:r>
      <w:r w:rsidR="00595FAD" w:rsidRPr="002A677E">
        <w:t>. Institutions using the IMM to compute risk weighted exposure amounts for all or part of their CCR exposures in accordance with Part Three</w:t>
      </w:r>
      <w:r w:rsidR="007079CE" w:rsidRPr="002A677E">
        <w:t>,</w:t>
      </w:r>
      <w:r w:rsidR="00595FAD" w:rsidRPr="002A677E">
        <w:t xml:space="preserve"> </w:t>
      </w:r>
      <w:r w:rsidR="007079CE" w:rsidRPr="002A677E">
        <w:t xml:space="preserve">Title II, Chapter 6 </w:t>
      </w:r>
      <w:r w:rsidR="0095353C" w:rsidRPr="001235ED">
        <w:rPr>
          <w:lang w:val="en-US"/>
        </w:rPr>
        <w:t>of Regulation (EU) No 575/2013</w:t>
      </w:r>
      <w:r w:rsidR="00595FAD"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4147E07" w14:textId="6FDEFE86"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136</w:t>
      </w:r>
      <w:r>
        <w:fldChar w:fldCharType="end"/>
      </w:r>
      <w:r w:rsidR="00595FAD" w:rsidRPr="002A677E">
        <w:t xml:space="preserve">. Institutions that shall report this template with quarterly frequency shall fill in only column 0010. Institutions that shall report this template with annually frequency shall fill in only column 0020. </w:t>
      </w:r>
    </w:p>
    <w:p w14:paraId="1133A75D" w14:textId="58D74168" w:rsidR="00595FAD"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137</w:t>
      </w:r>
      <w:r>
        <w:fldChar w:fldCharType="end"/>
      </w:r>
      <w:r w:rsidR="00595FAD" w:rsidRPr="002A677E">
        <w:t>. This template excludes risk weighted exposure amounts for exposures to a central counterparty (</w:t>
      </w:r>
      <w:r w:rsidR="00F26CE4" w:rsidRPr="002A677E">
        <w:t xml:space="preserve">Part Three, Title II, Chapter 6, Section 9 </w:t>
      </w:r>
      <w:r w:rsidR="0095353C" w:rsidRPr="001235ED">
        <w:rPr>
          <w:lang w:val="en-US"/>
        </w:rPr>
        <w:t>of Regulation (EU) No 575/2013</w:t>
      </w:r>
      <w:r w:rsidR="00595FAD" w:rsidRPr="002A677E">
        <w:t>).</w:t>
      </w:r>
    </w:p>
    <w:p w14:paraId="05A865F1" w14:textId="06A50D15"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505" w:name="_Toc19715832"/>
      <w:bookmarkStart w:id="506" w:name="_Toc151714472"/>
      <w:r w:rsidRPr="002A677E">
        <w:rPr>
          <w:rFonts w:ascii="Times New Roman" w:hAnsi="Times New Roman" w:cs="Times New Roman"/>
          <w:sz w:val="24"/>
          <w:lang w:val="en-GB"/>
        </w:rPr>
        <w:t>Instructions concerning specific positions</w:t>
      </w:r>
      <w:bookmarkEnd w:id="505"/>
      <w:bookmarkEnd w:id="50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sidRPr="002A677E">
              <w:rPr>
                <w:rFonts w:ascii="Times New Roman" w:hAnsi="Times New Roman"/>
                <w:b/>
                <w:sz w:val="24"/>
              </w:rPr>
              <w:t>Columns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466A3378" w14:textId="54F50DD1" w:rsidR="00595FAD" w:rsidRPr="002A677E" w:rsidRDefault="00595FAD" w:rsidP="00FF15C6">
            <w:pPr>
              <w:rPr>
                <w:rFonts w:ascii="Times New Roman" w:hAnsi="Times New Roman"/>
                <w:sz w:val="24"/>
              </w:rPr>
            </w:pPr>
            <w:r w:rsidRPr="002A677E">
              <w:rPr>
                <w:rFonts w:ascii="Times New Roman" w:hAnsi="Times New Roman"/>
                <w:sz w:val="24"/>
              </w:rPr>
              <w:t xml:space="preserve">Risk weighted exposure amounts, as defined in Article 92(3) </w:t>
            </w:r>
            <w:r w:rsidR="0095353C" w:rsidRPr="001235ED">
              <w:rPr>
                <w:rFonts w:ascii="Times New Roman" w:hAnsi="Times New Roman"/>
                <w:sz w:val="24"/>
                <w:lang w:val="en-US"/>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2 and 3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w:t>
            </w:r>
            <w:r w:rsidR="00F26CE4" w:rsidRPr="002A677E">
              <w:rPr>
                <w:rFonts w:ascii="Times New Roman" w:hAnsi="Times New Roman"/>
                <w:sz w:val="24"/>
              </w:rPr>
              <w:t xml:space="preserve">Part Three, Title II, Chapter 6, Section 6 </w:t>
            </w:r>
            <w:r w:rsidR="0095353C" w:rsidRPr="001235ED">
              <w:rPr>
                <w:rFonts w:ascii="Times New Roman" w:hAnsi="Times New Roman"/>
                <w:sz w:val="24"/>
                <w:lang w:val="en-US"/>
              </w:rPr>
              <w:t xml:space="preserve">of that Regulation </w:t>
            </w:r>
          </w:p>
          <w:p w14:paraId="73454D98" w14:textId="6C0C3DAA" w:rsidR="00595FAD" w:rsidRPr="002A677E" w:rsidRDefault="00595FAD" w:rsidP="003F19BA">
            <w:pPr>
              <w:spacing w:before="6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sidRPr="002A677E">
              <w:rPr>
                <w:rFonts w:ascii="Times New Roman" w:hAnsi="Times New Roman"/>
                <w:b/>
                <w:sz w:val="24"/>
              </w:rPr>
              <w:t>Rows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68744BD"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Risk weighted exposure amounts for CCR exposures under the IMM as at the end of the previous reporting 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rsidRPr="002A677E">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246617A7" w14:textId="77777777" w:rsidR="00595FAD" w:rsidRPr="002A677E" w:rsidRDefault="00595FAD" w:rsidP="00181AC7">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in book size and composition </w:t>
            </w:r>
            <w:r w:rsidR="00181AC7" w:rsidRPr="002A677E">
              <w:rPr>
                <w:rFonts w:ascii="Times New Roman" w:hAnsi="Times New Roman"/>
                <w:sz w:val="24"/>
              </w:rPr>
              <w:t xml:space="preserve">resulting from the usual business activity </w:t>
            </w:r>
            <w:r w:rsidRPr="002A677E">
              <w:rPr>
                <w:rFonts w:ascii="Times New Roman" w:hAnsi="Times New Roman"/>
                <w:sz w:val="24"/>
              </w:rPr>
              <w:t>(including the origination of new businesses and maturing exposures) but excluding changes in book size due to acquisitions and disposal of entities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5A7F77C1"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70021445" w14:textId="77777777" w:rsidR="0014210E"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1AD0A05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This row addresses only changes in the IMM 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3C415A53"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67F859F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659E5664"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256CE064" w14:textId="77777777" w:rsidR="00595FAD" w:rsidRPr="002A677E" w:rsidRDefault="00595FAD" w:rsidP="00C26C3A">
            <w:pPr>
              <w:spacing w:before="60"/>
              <w:rPr>
                <w:rFonts w:ascii="Times New Roman" w:hAnsi="Times New Roman"/>
                <w:sz w:val="24"/>
              </w:rPr>
            </w:pPr>
            <w:r w:rsidRPr="002A677E">
              <w:rPr>
                <w:rFonts w:ascii="Times New Roman" w:hAnsi="Times New Roman"/>
                <w:sz w:val="24"/>
              </w:rPr>
              <w:t xml:space="preserve">This category </w:t>
            </w:r>
            <w:r w:rsidR="00C26C3A" w:rsidRPr="002A677E">
              <w:rPr>
                <w:rFonts w:ascii="Times New Roman" w:hAnsi="Times New Roman"/>
                <w:sz w:val="24"/>
              </w:rPr>
              <w:t>shall be used</w:t>
            </w:r>
            <w:r w:rsidRPr="002A677E">
              <w:rPr>
                <w:rFonts w:ascii="Times New Roman" w:hAnsi="Times New Roman"/>
                <w:sz w:val="24"/>
              </w:rPr>
              <w:t xml:space="preserve"> to capture Risk weighted exposure amount changes (positive or negative) that cannot be attributed to the above categories.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0CB9446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07" w:name="_Toc260157222"/>
      <w:bookmarkStart w:id="508" w:name="_Toc262566416"/>
      <w:bookmarkStart w:id="509" w:name="_Toc295829987"/>
      <w:bookmarkStart w:id="510" w:name="_Toc310415049"/>
      <w:bookmarkStart w:id="511" w:name="_Toc360188384"/>
      <w:bookmarkStart w:id="512" w:name="_Toc473560935"/>
      <w:bookmarkStart w:id="513" w:name="_Toc151714473"/>
      <w:bookmarkStart w:id="514" w:name="_Toc260157223"/>
      <w:bookmarkStart w:id="515" w:name="_Toc262566417"/>
      <w:bookmarkStart w:id="516" w:name="_Toc264038462"/>
      <w:bookmarkStart w:id="517" w:name="_Toc295829988"/>
      <w:bookmarkStart w:id="518" w:name="_Toc310415050"/>
      <w:r w:rsidRPr="002A677E">
        <w:rPr>
          <w:rFonts w:ascii="Times New Roman" w:hAnsi="Times New Roman" w:cs="Times New Roman"/>
          <w:sz w:val="24"/>
          <w:lang w:val="en-GB"/>
        </w:rPr>
        <w:lastRenderedPageBreak/>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507"/>
      <w:bookmarkEnd w:id="508"/>
      <w:bookmarkEnd w:id="509"/>
      <w:bookmarkEnd w:id="510"/>
      <w:bookmarkEnd w:id="511"/>
      <w:bookmarkEnd w:id="512"/>
      <w:bookmarkEnd w:id="513"/>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19" w:name="_Toc360188385"/>
      <w:bookmarkStart w:id="520" w:name="_Toc473560936"/>
      <w:bookmarkStart w:id="521" w:name="_Toc151714474"/>
      <w:r w:rsidRPr="002A677E">
        <w:rPr>
          <w:rFonts w:ascii="Times New Roman" w:hAnsi="Times New Roman" w:cs="Times New Roman"/>
          <w:sz w:val="24"/>
          <w:lang w:val="en-GB"/>
        </w:rPr>
        <w:t>4.1</w:t>
      </w:r>
      <w:r w:rsidRPr="002A677E">
        <w:rPr>
          <w:rFonts w:ascii="Times New Roman" w:hAnsi="Times New Roman" w:cs="Times New Roman"/>
          <w:sz w:val="24"/>
          <w:lang w:val="en-GB"/>
        </w:rPr>
        <w:tab/>
      </w:r>
      <w:r w:rsidRPr="002A677E">
        <w:rPr>
          <w:rFonts w:ascii="Times New Roman" w:hAnsi="Times New Roman" w:cs="Times New Roman"/>
          <w:sz w:val="24"/>
          <w:lang w:val="en-GB"/>
        </w:rPr>
        <w:tab/>
      </w:r>
      <w:r w:rsidR="008B73EE" w:rsidRPr="002A677E">
        <w:rPr>
          <w:rFonts w:ascii="Times New Roman" w:hAnsi="Times New Roman" w:cs="Times New Roman"/>
          <w:sz w:val="24"/>
          <w:lang w:val="en-GB"/>
        </w:rPr>
        <w:t xml:space="preserve">C 16.00 </w:t>
      </w:r>
      <w:r w:rsidR="00AC6255" w:rsidRPr="002A677E">
        <w:rPr>
          <w:rFonts w:ascii="Times New Roman" w:hAnsi="Times New Roman" w:cs="Times New Roman"/>
          <w:sz w:val="24"/>
          <w:lang w:val="en-GB"/>
        </w:rPr>
        <w:t>– Operational Risk</w:t>
      </w:r>
      <w:bookmarkEnd w:id="514"/>
      <w:bookmarkEnd w:id="515"/>
      <w:bookmarkEnd w:id="516"/>
      <w:bookmarkEnd w:id="517"/>
      <w:bookmarkEnd w:id="518"/>
      <w:bookmarkEnd w:id="519"/>
      <w:r w:rsidR="008B73EE" w:rsidRPr="002A677E">
        <w:rPr>
          <w:rFonts w:ascii="Times New Roman" w:hAnsi="Times New Roman" w:cs="Times New Roman"/>
          <w:sz w:val="24"/>
          <w:lang w:val="en-GB"/>
        </w:rPr>
        <w:t xml:space="preserve"> (OPR)</w:t>
      </w:r>
      <w:bookmarkEnd w:id="520"/>
      <w:bookmarkEnd w:id="521"/>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2" w:name="_Toc260157224"/>
      <w:bookmarkStart w:id="523" w:name="_Toc262566418"/>
      <w:bookmarkStart w:id="524" w:name="_Toc264038463"/>
      <w:bookmarkStart w:id="525" w:name="_Toc295829989"/>
      <w:bookmarkStart w:id="526" w:name="_Toc310415051"/>
      <w:bookmarkStart w:id="527" w:name="_Toc360188386"/>
      <w:bookmarkStart w:id="528" w:name="_Toc473560937"/>
      <w:bookmarkStart w:id="529" w:name="_Toc151714475"/>
      <w:r w:rsidRPr="002A677E">
        <w:rPr>
          <w:rFonts w:ascii="Times New Roman" w:hAnsi="Times New Roman" w:cs="Times New Roman"/>
          <w:sz w:val="24"/>
          <w:u w:val="none"/>
          <w:lang w:val="en-GB"/>
        </w:rPr>
        <w:t>4.1.1</w:t>
      </w:r>
      <w:r w:rsidRPr="002A677E">
        <w:rPr>
          <w:rFonts w:ascii="Times New Roman" w:hAnsi="Times New Roman" w:cs="Times New Roman"/>
          <w:sz w:val="24"/>
          <w:u w:val="none"/>
          <w:lang w:val="en-GB"/>
        </w:rPr>
        <w:tab/>
      </w:r>
      <w:r w:rsidR="00AC6255" w:rsidRPr="002A677E">
        <w:rPr>
          <w:rFonts w:ascii="Times New Roman" w:hAnsi="Times New Roman" w:cs="Times New Roman"/>
          <w:sz w:val="24"/>
          <w:u w:val="none"/>
          <w:lang w:val="en-GB"/>
        </w:rPr>
        <w:t>General</w:t>
      </w:r>
      <w:bookmarkEnd w:id="522"/>
      <w:r w:rsidR="00AC6255" w:rsidRPr="002A677E">
        <w:rPr>
          <w:rFonts w:ascii="Times New Roman" w:hAnsi="Times New Roman" w:cs="Times New Roman"/>
          <w:sz w:val="24"/>
          <w:u w:val="none"/>
          <w:lang w:val="en-GB"/>
        </w:rPr>
        <w:t xml:space="preserve"> Remarks</w:t>
      </w:r>
      <w:bookmarkEnd w:id="523"/>
      <w:bookmarkEnd w:id="524"/>
      <w:bookmarkEnd w:id="525"/>
      <w:bookmarkEnd w:id="526"/>
      <w:bookmarkEnd w:id="527"/>
      <w:bookmarkEnd w:id="528"/>
      <w:bookmarkEnd w:id="529"/>
      <w:r w:rsidR="00AC6255" w:rsidRPr="002A677E">
        <w:rPr>
          <w:rFonts w:ascii="Times New Roman" w:hAnsi="Times New Roman" w:cs="Times New Roman"/>
          <w:sz w:val="24"/>
          <w:u w:val="none"/>
          <w:lang w:val="en-GB"/>
        </w:rPr>
        <w:t xml:space="preserve"> </w:t>
      </w:r>
    </w:p>
    <w:p w14:paraId="1DB1CCA4" w14:textId="581FFF5D"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138</w:t>
      </w:r>
      <w:r>
        <w:fldChar w:fldCharType="end"/>
      </w:r>
      <w:r w:rsidR="006660B9" w:rsidRPr="002A677E">
        <w:t>.</w:t>
      </w:r>
      <w:r w:rsidR="006660B9" w:rsidRPr="002A677E">
        <w:tab/>
      </w:r>
      <w:r w:rsidR="005C14B0" w:rsidRPr="002A677E">
        <w:t xml:space="preserve"> </w:t>
      </w:r>
      <w:r w:rsidR="00AC6255" w:rsidRPr="002A677E">
        <w:t xml:space="preserve">This template provides information on the calculation of own funds requirements </w:t>
      </w:r>
      <w:r w:rsidR="00BB22D4" w:rsidRPr="002A677E">
        <w:t>in accordance with</w:t>
      </w:r>
      <w:r w:rsidR="00AC6255" w:rsidRPr="002A677E">
        <w:t xml:space="preserve"> Articles </w:t>
      </w:r>
      <w:r w:rsidR="00474C49" w:rsidRPr="002A677E">
        <w:t>312 to 324</w:t>
      </w:r>
      <w:r w:rsidR="00AC6255" w:rsidRPr="002A677E">
        <w:t xml:space="preserve"> </w:t>
      </w:r>
      <w:r w:rsidR="0095353C" w:rsidRPr="001235ED">
        <w:rPr>
          <w:lang w:val="en-US"/>
        </w:rPr>
        <w:t>of Regulation (EU) No 575/2013</w:t>
      </w:r>
      <w:r w:rsidR="00AC6255" w:rsidRPr="002A677E">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2A677E">
        <w:t>.</w:t>
      </w:r>
    </w:p>
    <w:p w14:paraId="4904781C" w14:textId="5E9476F6"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139</w:t>
      </w:r>
      <w:r>
        <w:fldChar w:fldCharType="end"/>
      </w:r>
      <w:r w:rsidR="00125707" w:rsidRPr="002A677E">
        <w:t>.</w:t>
      </w:r>
      <w:r w:rsidR="005C14B0" w:rsidRPr="002A677E">
        <w:t xml:space="preserve"> </w:t>
      </w:r>
      <w:r w:rsidR="00AC6255" w:rsidRPr="002A677E">
        <w:t>Institutions using the BIA, TSA or ASA shall calculate their own funds requirement, based on the information at financial year</w:t>
      </w:r>
      <w:r w:rsidR="001C3443" w:rsidRPr="002A677E">
        <w:t>-</w:t>
      </w:r>
      <w:r w:rsidR="00AC6255" w:rsidRPr="002A677E">
        <w:t>end. Whe</w:t>
      </w:r>
      <w:r w:rsidR="001C3443" w:rsidRPr="002A677E">
        <w:t>re</w:t>
      </w:r>
      <w:r w:rsidR="00AC6255" w:rsidRPr="002A677E">
        <w:t xml:space="preserve"> audited figures are not available, institutions may use business estimates. </w:t>
      </w:r>
      <w:r w:rsidR="001C3443" w:rsidRPr="002A677E">
        <w:t>Where</w:t>
      </w:r>
      <w:r w:rsidR="00AC6255" w:rsidRPr="002A677E">
        <w:t xml:space="preserve"> audited figures are used, institutions </w:t>
      </w:r>
      <w:r w:rsidR="00974150" w:rsidRPr="002A677E">
        <w:t xml:space="preserve">shall </w:t>
      </w:r>
      <w:r w:rsidR="00AC6255" w:rsidRPr="002A677E">
        <w:t xml:space="preserve">report the audited figures </w:t>
      </w:r>
      <w:r w:rsidR="00974150" w:rsidRPr="002A677E">
        <w:t>which</w:t>
      </w:r>
      <w:r w:rsidR="009A1A9B" w:rsidRPr="002A677E">
        <w:t xml:space="preserve"> are expected to </w:t>
      </w:r>
      <w:r w:rsidR="00974150" w:rsidRPr="002A677E">
        <w:t>remain unchanged</w:t>
      </w:r>
      <w:r w:rsidR="00AC6255" w:rsidRPr="002A677E">
        <w:t>. Deviations from this "unchanged" principle are possible, for instance if during that period the exceptional circumstances, such as recent acquisitions or disposals of entities or activities, are met.</w:t>
      </w:r>
      <w:r w:rsidR="00730040" w:rsidRPr="002A677E">
        <w:t xml:space="preserve"> </w:t>
      </w:r>
    </w:p>
    <w:p w14:paraId="4B809D6B" w14:textId="00A4B5F4"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140</w:t>
      </w:r>
      <w:r>
        <w:fldChar w:fldCharType="end"/>
      </w:r>
      <w:r w:rsidR="00125707" w:rsidRPr="002A677E">
        <w:t>.</w:t>
      </w:r>
      <w:r w:rsidR="00125707" w:rsidRPr="002A677E">
        <w:tab/>
      </w:r>
      <w:r w:rsidR="005C14B0" w:rsidRPr="002A677E">
        <w:t xml:space="preserve"> </w:t>
      </w:r>
      <w:r w:rsidR="001C3443" w:rsidRPr="002A677E">
        <w:t>Where</w:t>
      </w:r>
      <w:r w:rsidR="00AC6255" w:rsidRPr="002A677E">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2A677E">
        <w:t>T</w:t>
      </w:r>
      <w:r w:rsidR="00AC6255" w:rsidRPr="002A677E">
        <w:t xml:space="preserve">he competent authority may </w:t>
      </w:r>
      <w:r w:rsidR="001C3443" w:rsidRPr="002A677E">
        <w:t xml:space="preserve">also </w:t>
      </w:r>
      <w:r w:rsidR="00AC6255" w:rsidRPr="002A677E">
        <w:t xml:space="preserve">on its own initiative require an institution to modify the calculation. </w:t>
      </w:r>
      <w:r w:rsidR="001C3443" w:rsidRPr="002A677E">
        <w:t>A</w:t>
      </w:r>
      <w:r w:rsidR="00AC6255" w:rsidRPr="002A677E">
        <w:t xml:space="preserve">n institution </w:t>
      </w:r>
      <w:r w:rsidR="001C3443" w:rsidRPr="002A677E">
        <w:t xml:space="preserve">that </w:t>
      </w:r>
      <w:r w:rsidR="00AC6255" w:rsidRPr="002A677E">
        <w:t>has been in operation for less than three years may use forward looking business estimates in calculating the relevant indicator</w:t>
      </w:r>
      <w:r w:rsidR="00B83DDE">
        <w:t>, p</w:t>
      </w:r>
      <w:r w:rsidR="00AC6255" w:rsidRPr="002A677E">
        <w:t>rovided that it starts using historical data as soon as th</w:t>
      </w:r>
      <w:r w:rsidR="001C3443" w:rsidRPr="002A677E">
        <w:t>ose data</w:t>
      </w:r>
      <w:r w:rsidR="00AC6255" w:rsidRPr="002A677E">
        <w:t xml:space="preserve"> are available.</w:t>
      </w:r>
    </w:p>
    <w:p w14:paraId="2023E425" w14:textId="49E50B69"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141</w:t>
      </w:r>
      <w:r>
        <w:fldChar w:fldCharType="end"/>
      </w:r>
      <w:r w:rsidR="00125707" w:rsidRPr="002A677E">
        <w:t>.</w:t>
      </w:r>
      <w:r w:rsidR="00125707" w:rsidRPr="002A677E">
        <w:tab/>
      </w:r>
      <w:r w:rsidR="005C14B0" w:rsidRPr="002A677E">
        <w:t xml:space="preserve"> </w:t>
      </w:r>
      <w:r w:rsidR="00AC6255" w:rsidRPr="002A677E">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2A677E">
        <w:t>Where</w:t>
      </w:r>
      <w:r w:rsidR="00AC6255" w:rsidRPr="002A677E">
        <w:t xml:space="preserve"> applicable, it must be detailed which part of th</w:t>
      </w:r>
      <w:r w:rsidR="001C3443" w:rsidRPr="002A677E">
        <w:t>at</w:t>
      </w:r>
      <w:r w:rsidR="00AC6255" w:rsidRPr="002A677E">
        <w:t xml:space="preserve"> amount is due to an allocation mechanism. Regarding AMA, memorandum items are added to present a detail of the effect of the expected loss, diversification and mitigation techniques on own funds requirement for operational risk.</w:t>
      </w:r>
    </w:p>
    <w:p w14:paraId="1BF423DA" w14:textId="72F396B5"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142</w:t>
      </w:r>
      <w:r>
        <w:fldChar w:fldCharType="end"/>
      </w:r>
      <w:r w:rsidR="00125707" w:rsidRPr="002A677E">
        <w:t>.</w:t>
      </w:r>
      <w:r w:rsidR="00125707" w:rsidRPr="002A677E">
        <w:tab/>
      </w:r>
      <w:r w:rsidR="005C14B0" w:rsidRPr="002A677E">
        <w:t xml:space="preserve"> </w:t>
      </w:r>
      <w:r w:rsidR="00AC6255" w:rsidRPr="002A677E">
        <w:t>By rows, information is presented by method of calculation of the operational risk own funds requirement detailing business lines for TSA and ASA.</w:t>
      </w:r>
    </w:p>
    <w:p w14:paraId="001035D2" w14:textId="05E981B6" w:rsidR="00AC6255"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143</w:t>
      </w:r>
      <w:r>
        <w:fldChar w:fldCharType="end"/>
      </w:r>
      <w:r w:rsidR="00125707" w:rsidRPr="002A677E">
        <w:t>.</w:t>
      </w:r>
      <w:r w:rsidR="00125707" w:rsidRPr="002A677E">
        <w:tab/>
      </w:r>
      <w:r w:rsidR="005C14B0" w:rsidRPr="002A677E">
        <w:t xml:space="preserve"> </w:t>
      </w:r>
      <w:r w:rsidR="00AC6255" w:rsidRPr="002A677E">
        <w:t>This template shall be submitted by all institutions subject to operational risk own funds requirement.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30" w:name="_Toc260157225"/>
      <w:bookmarkStart w:id="531" w:name="_Toc262566419"/>
      <w:bookmarkStart w:id="532" w:name="_Toc264038464"/>
      <w:bookmarkStart w:id="533" w:name="_Toc295829990"/>
      <w:bookmarkStart w:id="534" w:name="_Toc310415052"/>
      <w:bookmarkStart w:id="535" w:name="_Toc360188387"/>
      <w:bookmarkStart w:id="536" w:name="_Toc473560938"/>
      <w:bookmarkStart w:id="537" w:name="_Toc151714476"/>
      <w:r w:rsidRPr="002A677E">
        <w:rPr>
          <w:rFonts w:ascii="Times New Roman" w:hAnsi="Times New Roman" w:cs="Times New Roman"/>
          <w:sz w:val="24"/>
          <w:u w:val="none"/>
          <w:lang w:val="en-GB"/>
        </w:rPr>
        <w:t>4.1.2.</w:t>
      </w:r>
      <w:r w:rsidRPr="002A677E">
        <w:rPr>
          <w:rFonts w:ascii="Times New Roman" w:hAnsi="Times New Roman" w:cs="Times New Roman"/>
          <w:sz w:val="24"/>
          <w:u w:val="none"/>
          <w:lang w:val="en-GB"/>
        </w:rPr>
        <w:tab/>
      </w:r>
      <w:r w:rsidR="00AC6255" w:rsidRPr="002A677E">
        <w:rPr>
          <w:rFonts w:ascii="Times New Roman" w:hAnsi="Times New Roman" w:cs="Times New Roman"/>
          <w:sz w:val="24"/>
          <w:lang w:val="en-GB"/>
        </w:rPr>
        <w:t>Instructions concerning specific positions</w:t>
      </w:r>
      <w:bookmarkEnd w:id="530"/>
      <w:bookmarkEnd w:id="531"/>
      <w:bookmarkEnd w:id="532"/>
      <w:bookmarkEnd w:id="533"/>
      <w:bookmarkEnd w:id="534"/>
      <w:bookmarkEnd w:id="535"/>
      <w:bookmarkEnd w:id="536"/>
      <w:bookmarkEnd w:id="537"/>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lastRenderedPageBreak/>
              <w:t>Columns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010</w:t>
            </w:r>
            <w:r w:rsidR="000F70EC" w:rsidRPr="002A677E">
              <w:rPr>
                <w:rFonts w:ascii="Times New Roman" w:hAnsi="Times New Roman"/>
                <w:bCs/>
                <w:sz w:val="24"/>
                <w:lang w:eastAsia="nl-BE"/>
              </w:rPr>
              <w:t>-</w:t>
            </w:r>
            <w:r w:rsidRPr="002A677E">
              <w:rPr>
                <w:rFonts w:ascii="Times New Roman" w:hAnsi="Times New Roman"/>
                <w:bCs/>
                <w:sz w:val="24"/>
                <w:lang w:eastAsia="nl-BE"/>
              </w:rPr>
              <w:t>0</w:t>
            </w:r>
            <w:r w:rsidR="00AC6255" w:rsidRPr="002A677E">
              <w:rPr>
                <w:rFonts w:ascii="Times New Roman" w:hAnsi="Times New Roman"/>
                <w:bCs/>
                <w:sz w:val="24"/>
                <w:lang w:eastAsia="nl-BE"/>
              </w:rPr>
              <w:t>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RELEVANT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Institutions using the relevant indicator to calculate the own funds requirement for operational risk (BIA, TSA and ASA) </w:t>
            </w:r>
            <w:r w:rsidR="001C3443" w:rsidRPr="002A677E">
              <w:rPr>
                <w:rFonts w:ascii="Times New Roman" w:hAnsi="Times New Roman"/>
                <w:sz w:val="24"/>
                <w:lang w:eastAsia="de-DE"/>
              </w:rPr>
              <w:t xml:space="preserve">shall </w:t>
            </w:r>
            <w:r w:rsidRPr="002A677E">
              <w:rPr>
                <w:rFonts w:ascii="Times New Roman" w:hAnsi="Times New Roman"/>
                <w:sz w:val="24"/>
                <w:lang w:eastAsia="de-DE"/>
              </w:rPr>
              <w:t xml:space="preserve">report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for the respective years in columns </w:t>
            </w:r>
            <w:r w:rsidR="00F20C33" w:rsidRPr="002A677E">
              <w:rPr>
                <w:rFonts w:ascii="Times New Roman" w:hAnsi="Times New Roman"/>
                <w:sz w:val="24"/>
                <w:lang w:eastAsia="de-DE"/>
              </w:rPr>
              <w:t>0</w:t>
            </w:r>
            <w:r w:rsidRPr="002A677E">
              <w:rPr>
                <w:rFonts w:ascii="Times New Roman" w:hAnsi="Times New Roman"/>
                <w:sz w:val="24"/>
                <w:lang w:eastAsia="de-DE"/>
              </w:rPr>
              <w:t xml:space="preserve">010 to </w:t>
            </w:r>
            <w:r w:rsidR="00F20C33" w:rsidRPr="002A677E">
              <w:rPr>
                <w:rFonts w:ascii="Times New Roman" w:hAnsi="Times New Roman"/>
                <w:sz w:val="24"/>
                <w:lang w:eastAsia="de-DE"/>
              </w:rPr>
              <w:t>0</w:t>
            </w:r>
            <w:r w:rsidRPr="002A677E">
              <w:rPr>
                <w:rFonts w:ascii="Times New Roman" w:hAnsi="Times New Roman"/>
                <w:sz w:val="24"/>
                <w:lang w:eastAsia="de-DE"/>
              </w:rPr>
              <w:t xml:space="preserve">030. Moreover, in case of a combined use of different approaches as referred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institutions </w:t>
            </w:r>
            <w:r w:rsidR="001C3443" w:rsidRPr="002A677E">
              <w:rPr>
                <w:rFonts w:ascii="Times New Roman" w:hAnsi="Times New Roman"/>
                <w:sz w:val="24"/>
                <w:lang w:eastAsia="de-DE"/>
              </w:rPr>
              <w:t xml:space="preserve">shall also </w:t>
            </w:r>
            <w:r w:rsidRPr="002A677E">
              <w:rPr>
                <w:rFonts w:ascii="Times New Roman" w:hAnsi="Times New Roman"/>
                <w:sz w:val="24"/>
                <w:lang w:eastAsia="de-DE"/>
              </w:rPr>
              <w:t xml:space="preserve">report, for information purposes, relevant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indicator for the activities subject to AMA. </w:t>
            </w:r>
            <w:r w:rsidR="001C3443" w:rsidRPr="002A677E">
              <w:rPr>
                <w:rFonts w:ascii="Times New Roman" w:hAnsi="Times New Roman"/>
                <w:sz w:val="24"/>
                <w:lang w:eastAsia="de-DE"/>
              </w:rPr>
              <w:t xml:space="preserve">The same shall apply </w:t>
            </w:r>
            <w:r w:rsidRPr="002A677E">
              <w:rPr>
                <w:rFonts w:ascii="Times New Roman" w:hAnsi="Times New Roman"/>
                <w:sz w:val="24"/>
                <w:lang w:eastAsia="de-DE"/>
              </w:rPr>
              <w:t>for all other AMA banks.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lang w:eastAsia="de-DE"/>
              </w:rPr>
              <w:t xml:space="preserve">Hereafter, the term "relevant indicator" refers to "the sum of the elements" </w:t>
            </w:r>
            <w:r w:rsidRPr="002A677E">
              <w:rPr>
                <w:rFonts w:ascii="Times New Roman" w:hAnsi="Times New Roman"/>
                <w:sz w:val="24"/>
              </w:rPr>
              <w:t>at the end of the financial year</w:t>
            </w:r>
            <w:r w:rsidRPr="002A677E">
              <w:rPr>
                <w:rFonts w:ascii="Times New Roman" w:hAnsi="Times New Roman"/>
                <w:sz w:val="24"/>
                <w:lang w:eastAsia="de-DE"/>
              </w:rPr>
              <w:t xml:space="preserve"> as </w:t>
            </w:r>
            <w:r w:rsidR="001C3443" w:rsidRPr="002A677E">
              <w:rPr>
                <w:rFonts w:ascii="Times New Roman" w:hAnsi="Times New Roman"/>
                <w:sz w:val="24"/>
                <w:lang w:eastAsia="de-DE"/>
              </w:rPr>
              <w:t xml:space="preserve">referred to </w:t>
            </w:r>
            <w:r w:rsidRPr="002A677E">
              <w:rPr>
                <w:rFonts w:ascii="Times New Roman" w:hAnsi="Times New Roman"/>
                <w:sz w:val="24"/>
                <w:lang w:eastAsia="de-DE"/>
              </w:rPr>
              <w:t xml:space="preserve">in Article </w:t>
            </w:r>
            <w:r w:rsidR="00474C49" w:rsidRPr="002A677E">
              <w:rPr>
                <w:rFonts w:ascii="Times New Roman" w:hAnsi="Times New Roman"/>
                <w:sz w:val="24"/>
                <w:lang w:eastAsia="de-DE"/>
              </w:rPr>
              <w:t>316</w:t>
            </w:r>
            <w:r w:rsidR="00FD7CAF" w:rsidRPr="002A677E">
              <w:rPr>
                <w:rFonts w:ascii="Times New Roman" w:hAnsi="Times New Roman"/>
                <w:sz w:val="24"/>
                <w:lang w:eastAsia="de-DE"/>
              </w:rPr>
              <w:t>,</w:t>
            </w:r>
            <w:r w:rsidR="00474C49" w:rsidRPr="002A677E">
              <w:rPr>
                <w:rFonts w:ascii="Times New Roman" w:hAnsi="Times New Roman"/>
                <w:sz w:val="24"/>
                <w:lang w:eastAsia="de-DE"/>
              </w:rPr>
              <w:t xml:space="preserve"> </w:t>
            </w:r>
            <w:r w:rsidR="00FD7CAF" w:rsidRPr="002A677E">
              <w:rPr>
                <w:rFonts w:ascii="Times New Roman" w:hAnsi="Times New Roman"/>
                <w:sz w:val="24"/>
                <w:lang w:eastAsia="de-DE"/>
              </w:rPr>
              <w:t>Table 1</w:t>
            </w:r>
            <w:r w:rsidR="00B83DDE">
              <w:rPr>
                <w:rFonts w:ascii="Times New Roman" w:hAnsi="Times New Roman"/>
                <w:sz w:val="24"/>
                <w:lang w:eastAsia="de-DE"/>
              </w:rPr>
              <w:t>, p</w:t>
            </w:r>
            <w:r w:rsidR="00FD7CAF" w:rsidRPr="002A677E">
              <w:rPr>
                <w:rFonts w:ascii="Times New Roman" w:hAnsi="Times New Roman"/>
                <w:sz w:val="24"/>
                <w:lang w:eastAsia="de-DE"/>
              </w:rPr>
              <w:t>oint 1</w:t>
            </w:r>
            <w:r w:rsidR="0095353C" w:rsidRPr="001235ED">
              <w:rPr>
                <w:rFonts w:ascii="Times New Roman" w:hAnsi="Times New Roman"/>
                <w:sz w:val="24"/>
                <w:lang w:val="en-US"/>
              </w:rPr>
              <w:t xml:space="preserve"> of Regulation (EU) No 575/2013</w:t>
            </w:r>
            <w:r w:rsidRPr="002A677E">
              <w:rPr>
                <w:rFonts w:ascii="Times New Roman" w:hAnsi="Times New Roman"/>
                <w:sz w:val="24"/>
                <w:lang w:eastAsia="de-DE"/>
              </w:rPr>
              <w:t xml:space="preserv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Where</w:t>
            </w:r>
            <w:r w:rsidR="00AC6255" w:rsidRPr="002A677E">
              <w:rPr>
                <w:rFonts w:ascii="Times New Roman" w:hAnsi="Times New Roman"/>
                <w:sz w:val="24"/>
                <w:lang w:eastAsia="de-DE"/>
              </w:rPr>
              <w:t xml:space="preserve"> the institution has less than 3 years of data on “relevant indicator” available, the available historical data (audited figures)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assigned by priority to the corresponding columns in the </w:t>
            </w:r>
            <w:r w:rsidR="00133396" w:rsidRPr="002A677E">
              <w:rPr>
                <w:rFonts w:ascii="Times New Roman" w:hAnsi="Times New Roman"/>
                <w:sz w:val="24"/>
                <w:lang w:eastAsia="de-DE"/>
              </w:rPr>
              <w:t>template</w:t>
            </w:r>
            <w:r w:rsidR="00AC6255" w:rsidRPr="002A677E">
              <w:rPr>
                <w:rFonts w:ascii="Times New Roman" w:hAnsi="Times New Roman"/>
                <w:sz w:val="24"/>
                <w:lang w:eastAsia="de-DE"/>
              </w:rPr>
              <w:t xml:space="preserve">.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for instance, historical data for only one year is available, </w:t>
            </w:r>
            <w:r w:rsidRPr="002A677E">
              <w:rPr>
                <w:rFonts w:ascii="Times New Roman" w:hAnsi="Times New Roman"/>
                <w:sz w:val="24"/>
                <w:lang w:eastAsia="de-DE"/>
              </w:rPr>
              <w:t>those data</w:t>
            </w:r>
            <w:r w:rsidR="00AC6255" w:rsidRPr="002A677E">
              <w:rPr>
                <w:rFonts w:ascii="Times New Roman" w:hAnsi="Times New Roman"/>
                <w:sz w:val="24"/>
                <w:lang w:eastAsia="de-DE"/>
              </w:rPr>
              <w:t xml:space="preserve">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030.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it seems reasonable, the forward looking estimates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included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020 (estimate of next year) and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010 (estimate of year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Furthermore</w:t>
            </w:r>
            <w:r w:rsidR="001C3443" w:rsidRPr="002A677E">
              <w:rPr>
                <w:rFonts w:ascii="Times New Roman" w:hAnsi="Times New Roman"/>
                <w:sz w:val="24"/>
              </w:rPr>
              <w:t>,</w:t>
            </w:r>
            <w:r w:rsidRPr="002A677E">
              <w:rPr>
                <w:rFonts w:ascii="Times New Roman" w:hAnsi="Times New Roman"/>
                <w:sz w:val="24"/>
              </w:rPr>
              <w:t xml:space="preserve"> </w:t>
            </w:r>
            <w:r w:rsidR="001C3443" w:rsidRPr="002A677E">
              <w:rPr>
                <w:rFonts w:ascii="Times New Roman" w:hAnsi="Times New Roman"/>
                <w:sz w:val="24"/>
              </w:rPr>
              <w:t>where</w:t>
            </w:r>
            <w:r w:rsidRPr="002A677E">
              <w:rPr>
                <w:rFonts w:ascii="Times New Roman" w:hAnsi="Times New Roman"/>
                <w:sz w:val="24"/>
              </w:rPr>
              <w:t xml:space="preserve"> there are no historical data on </w:t>
            </w:r>
            <w:r w:rsidRPr="002A677E">
              <w:rPr>
                <w:rFonts w:ascii="Times New Roman" w:hAnsi="Times New Roman"/>
                <w:sz w:val="24"/>
                <w:lang w:eastAsia="de-DE"/>
              </w:rPr>
              <w:t xml:space="preserve">"relevant indicator" </w:t>
            </w:r>
            <w:r w:rsidRPr="002A677E">
              <w:rPr>
                <w:rFonts w:ascii="Times New Roman" w:hAnsi="Times New Roman"/>
                <w:sz w:val="24"/>
              </w:rPr>
              <w:t>available</w:t>
            </w:r>
            <w:r w:rsidR="001C3443" w:rsidRPr="002A677E">
              <w:rPr>
                <w:rFonts w:ascii="Times New Roman" w:hAnsi="Times New Roman"/>
                <w:sz w:val="24"/>
              </w:rPr>
              <w:t>,</w:t>
            </w:r>
            <w:r w:rsidRPr="002A677E">
              <w:rPr>
                <w:rFonts w:ascii="Times New Roman" w:hAnsi="Times New Roman"/>
                <w:sz w:val="24"/>
              </w:rPr>
              <w:t xml:space="preserve"> the institution may use forward-looking business estimates.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040-</w:t>
            </w:r>
            <w:r w:rsidRPr="002A677E">
              <w:rPr>
                <w:rFonts w:ascii="Times New Roman" w:hAnsi="Times New Roman"/>
                <w:bCs/>
                <w:sz w:val="24"/>
                <w:lang w:eastAsia="nl-BE"/>
              </w:rPr>
              <w:t>0</w:t>
            </w:r>
            <w:r w:rsidR="00AC6255" w:rsidRPr="002A677E">
              <w:rPr>
                <w:rFonts w:ascii="Times New Roman" w:hAnsi="Times New Roman"/>
                <w:bCs/>
                <w:sz w:val="24"/>
                <w:lang w:eastAsia="nl-BE"/>
              </w:rPr>
              <w:t>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LOANS AND ADVANCES (IN THE CASE OF ASA APPLICATION)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These columns shall be used to report the amounts of the loans and advances</w:t>
            </w:r>
            <w:r w:rsidR="0023276A" w:rsidRPr="002A677E">
              <w:rPr>
                <w:rFonts w:ascii="Times New Roman" w:hAnsi="Times New Roman"/>
                <w:sz w:val="24"/>
              </w:rPr>
              <w:t>,</w:t>
            </w:r>
            <w:r w:rsidRPr="002A677E">
              <w:rPr>
                <w:rFonts w:ascii="Times New Roman" w:hAnsi="Times New Roman"/>
                <w:sz w:val="24"/>
              </w:rPr>
              <w:t xml:space="preserve"> </w:t>
            </w:r>
            <w:r w:rsidR="0023276A" w:rsidRPr="002A677E">
              <w:rPr>
                <w:rFonts w:ascii="Times New Roman" w:hAnsi="Times New Roman"/>
                <w:sz w:val="24"/>
              </w:rPr>
              <w:t>as referred to in</w:t>
            </w:r>
            <w:r w:rsidR="00402284">
              <w:rPr>
                <w:rFonts w:ascii="Times New Roman" w:hAnsi="Times New Roman"/>
                <w:sz w:val="24"/>
              </w:rPr>
              <w:t xml:space="preserve"> </w:t>
            </w:r>
            <w:r w:rsidR="0023276A" w:rsidRPr="002A677E">
              <w:rPr>
                <w:rFonts w:ascii="Times New Roman" w:hAnsi="Times New Roman"/>
                <w:sz w:val="24"/>
              </w:rPr>
              <w:t>Article 319(1)</w:t>
            </w:r>
            <w:r w:rsidR="00B83DDE">
              <w:rPr>
                <w:rFonts w:ascii="Times New Roman" w:hAnsi="Times New Roman"/>
                <w:sz w:val="24"/>
              </w:rPr>
              <w:t>, p</w:t>
            </w:r>
            <w:r w:rsidR="00FD7CAF" w:rsidRPr="002A677E">
              <w:rPr>
                <w:rFonts w:ascii="Times New Roman" w:hAnsi="Times New Roman"/>
                <w:sz w:val="24"/>
              </w:rPr>
              <w:t>oint (b)</w:t>
            </w:r>
            <w:r w:rsidR="00BE127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0023276A" w:rsidRPr="002A677E">
              <w:rPr>
                <w:rFonts w:ascii="Times New Roman" w:hAnsi="Times New Roman"/>
                <w:sz w:val="24"/>
                <w:lang w:eastAsia="de-DE"/>
              </w:rPr>
              <w:t>,</w:t>
            </w:r>
            <w:r w:rsidR="0023276A" w:rsidRPr="002A677E">
              <w:rPr>
                <w:rFonts w:ascii="Times New Roman" w:hAnsi="Times New Roman"/>
                <w:sz w:val="24"/>
              </w:rPr>
              <w:t xml:space="preserve"> </w:t>
            </w:r>
            <w:r w:rsidRPr="002A677E">
              <w:rPr>
                <w:rFonts w:ascii="Times New Roman" w:hAnsi="Times New Roman"/>
                <w:sz w:val="24"/>
              </w:rPr>
              <w:t>for business lines “</w:t>
            </w:r>
            <w:r w:rsidR="001C3443" w:rsidRPr="002A677E">
              <w:rPr>
                <w:rFonts w:ascii="Times New Roman" w:hAnsi="Times New Roman"/>
                <w:sz w:val="24"/>
              </w:rPr>
              <w:t>c</w:t>
            </w:r>
            <w:r w:rsidRPr="002A677E">
              <w:rPr>
                <w:rFonts w:ascii="Times New Roman" w:hAnsi="Times New Roman"/>
                <w:sz w:val="24"/>
              </w:rPr>
              <w:t>ommercial banking” and “</w:t>
            </w:r>
            <w:r w:rsidR="001C3443" w:rsidRPr="002A677E">
              <w:rPr>
                <w:rFonts w:ascii="Times New Roman" w:hAnsi="Times New Roman"/>
                <w:sz w:val="24"/>
              </w:rPr>
              <w:t>r</w:t>
            </w:r>
            <w:r w:rsidRPr="002A677E">
              <w:rPr>
                <w:rFonts w:ascii="Times New Roman" w:hAnsi="Times New Roman"/>
                <w:sz w:val="24"/>
              </w:rPr>
              <w:t>etail banking”. Th</w:t>
            </w:r>
            <w:r w:rsidR="001C3443" w:rsidRPr="002A677E">
              <w:rPr>
                <w:rFonts w:ascii="Times New Roman" w:hAnsi="Times New Roman"/>
                <w:sz w:val="24"/>
              </w:rPr>
              <w:t>o</w:t>
            </w:r>
            <w:r w:rsidRPr="002A677E">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2A677E">
              <w:rPr>
                <w:rFonts w:ascii="Times New Roman" w:hAnsi="Times New Roman"/>
                <w:sz w:val="24"/>
              </w:rPr>
              <w:t>the alternative standard approach</w:t>
            </w:r>
            <w:r w:rsidRPr="002A677E">
              <w:rPr>
                <w:rFonts w:ascii="Times New Roman" w:hAnsi="Times New Roman"/>
                <w:sz w:val="24"/>
              </w:rPr>
              <w:t xml:space="preserve"> (Article </w:t>
            </w:r>
            <w:r w:rsidR="00474C49" w:rsidRPr="002A677E">
              <w:rPr>
                <w:rFonts w:ascii="Times New Roman" w:hAnsi="Times New Roman"/>
                <w:sz w:val="24"/>
              </w:rPr>
              <w:t>319</w:t>
            </w:r>
            <w:r w:rsidRPr="002A677E">
              <w:rPr>
                <w:rFonts w:ascii="Times New Roman" w:hAnsi="Times New Roman"/>
                <w:sz w:val="24"/>
              </w:rPr>
              <w:t>(1)</w:t>
            </w:r>
            <w:r w:rsidR="00B83DDE">
              <w:rPr>
                <w:rFonts w:ascii="Times New Roman" w:hAnsi="Times New Roman"/>
                <w:sz w:val="24"/>
              </w:rPr>
              <w:t>, p</w:t>
            </w:r>
            <w:r w:rsidR="00FD7CAF" w:rsidRPr="002A677E">
              <w:rPr>
                <w:rFonts w:ascii="Times New Roman" w:hAnsi="Times New Roman"/>
                <w:sz w:val="24"/>
              </w:rPr>
              <w:t>oint (a)</w:t>
            </w:r>
            <w:r w:rsidR="00CF595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For the "commercial banking" business line, securities held in the non-trading book shall also be included.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 REQUIREMENT</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The own fund requirement </w:t>
            </w:r>
            <w:r w:rsidR="001C3443" w:rsidRPr="002A677E">
              <w:rPr>
                <w:rFonts w:ascii="Times New Roman" w:hAnsi="Times New Roman"/>
                <w:sz w:val="24"/>
              </w:rPr>
              <w:t>shall be</w:t>
            </w:r>
            <w:r w:rsidRPr="002A677E">
              <w:rPr>
                <w:rFonts w:ascii="Times New Roman" w:hAnsi="Times New Roman"/>
                <w:sz w:val="24"/>
              </w:rPr>
              <w:t xml:space="preserve"> calculated </w:t>
            </w:r>
            <w:r w:rsidR="00BB22D4" w:rsidRPr="002A677E">
              <w:rPr>
                <w:rFonts w:ascii="Times New Roman" w:hAnsi="Times New Roman"/>
                <w:sz w:val="24"/>
              </w:rPr>
              <w:t>in accordance with</w:t>
            </w:r>
            <w:r w:rsidRPr="002A677E">
              <w:rPr>
                <w:rFonts w:ascii="Times New Roman" w:hAnsi="Times New Roman"/>
                <w:sz w:val="24"/>
              </w:rPr>
              <w:t xml:space="preserve"> the approach</w:t>
            </w:r>
            <w:r w:rsidR="001C3443" w:rsidRPr="002A677E">
              <w:rPr>
                <w:rFonts w:ascii="Times New Roman" w:hAnsi="Times New Roman"/>
                <w:sz w:val="24"/>
              </w:rPr>
              <w:t>es</w:t>
            </w:r>
            <w:r w:rsidRPr="002A677E">
              <w:rPr>
                <w:rFonts w:ascii="Times New Roman" w:hAnsi="Times New Roman"/>
                <w:sz w:val="24"/>
              </w:rPr>
              <w:t xml:space="preserve"> used</w:t>
            </w:r>
            <w:r w:rsidR="001C3443" w:rsidRPr="002A677E">
              <w:rPr>
                <w:rFonts w:ascii="Times New Roman" w:hAnsi="Times New Roman"/>
                <w:sz w:val="24"/>
              </w:rPr>
              <w:t xml:space="preserve"> </w:t>
            </w:r>
            <w:r w:rsidR="00454CFC" w:rsidRPr="002A677E">
              <w:rPr>
                <w:rFonts w:ascii="Times New Roman" w:hAnsi="Times New Roman"/>
                <w:sz w:val="24"/>
              </w:rPr>
              <w:t>and in accordance with</w:t>
            </w:r>
            <w:r w:rsidR="00FD7CAF" w:rsidRPr="002A677E">
              <w:rPr>
                <w:rFonts w:ascii="Times New Roman" w:hAnsi="Times New Roman"/>
                <w:sz w:val="24"/>
              </w:rPr>
              <w:t xml:space="preserve"> </w:t>
            </w:r>
            <w:r w:rsidRPr="002A677E">
              <w:rPr>
                <w:rFonts w:ascii="Times New Roman" w:hAnsi="Times New Roman"/>
                <w:sz w:val="24"/>
              </w:rPr>
              <w:t xml:space="preserve">Articles </w:t>
            </w:r>
            <w:r w:rsidR="00955C81" w:rsidRPr="002A677E">
              <w:rPr>
                <w:rFonts w:ascii="Times New Roman" w:hAnsi="Times New Roman"/>
                <w:sz w:val="24"/>
              </w:rPr>
              <w:t xml:space="preserve">312 </w:t>
            </w:r>
            <w:r w:rsidRPr="002A677E">
              <w:rPr>
                <w:rFonts w:ascii="Times New Roman" w:hAnsi="Times New Roman"/>
                <w:sz w:val="24"/>
              </w:rPr>
              <w:t xml:space="preserve">to </w:t>
            </w:r>
            <w:r w:rsidR="00955C81" w:rsidRPr="002A677E">
              <w:rPr>
                <w:rFonts w:ascii="Times New Roman" w:hAnsi="Times New Roman"/>
                <w:sz w:val="24"/>
              </w:rPr>
              <w:t xml:space="preserve">324 </w:t>
            </w:r>
            <w:r w:rsidR="0095353C" w:rsidRPr="001235ED">
              <w:rPr>
                <w:rFonts w:ascii="Times New Roman" w:hAnsi="Times New Roman"/>
                <w:sz w:val="24"/>
                <w:lang w:val="en-US"/>
              </w:rPr>
              <w:t>of Regulation (EU) No 575/2013</w:t>
            </w:r>
            <w:r w:rsidR="00F20C33" w:rsidRPr="002A677E">
              <w:rPr>
                <w:rFonts w:ascii="Times New Roman" w:hAnsi="Times New Roman"/>
                <w:sz w:val="24"/>
              </w:rPr>
              <w:t>.</w:t>
            </w:r>
            <w:r w:rsidR="00730040" w:rsidRPr="002A677E">
              <w:rPr>
                <w:rFonts w:ascii="Times New Roman" w:hAnsi="Times New Roman"/>
                <w:sz w:val="24"/>
              </w:rPr>
              <w:t xml:space="preserve"> </w:t>
            </w:r>
            <w:r w:rsidRPr="002A677E">
              <w:rPr>
                <w:rFonts w:ascii="Times New Roman" w:hAnsi="Times New Roman"/>
                <w:sz w:val="24"/>
              </w:rPr>
              <w:t xml:space="preserve">The resulting amount </w:t>
            </w:r>
            <w:r w:rsidR="001C3443" w:rsidRPr="002A677E">
              <w:rPr>
                <w:rFonts w:ascii="Times New Roman" w:hAnsi="Times New Roman"/>
                <w:sz w:val="24"/>
              </w:rPr>
              <w:t>shall be</w:t>
            </w:r>
            <w:r w:rsidRPr="002A677E">
              <w:rPr>
                <w:rFonts w:ascii="Times New Roman" w:hAnsi="Times New Roman"/>
                <w:sz w:val="24"/>
              </w:rPr>
              <w:t xml:space="preserve"> reported in column </w:t>
            </w:r>
            <w:r w:rsidR="00F20C33" w:rsidRPr="002A677E">
              <w:rPr>
                <w:rFonts w:ascii="Times New Roman" w:hAnsi="Times New Roman"/>
                <w:sz w:val="24"/>
              </w:rPr>
              <w:t>0</w:t>
            </w:r>
            <w:r w:rsidRPr="002A677E">
              <w:rPr>
                <w:rFonts w:ascii="Times New Roman" w:hAnsi="Times New Roman"/>
                <w:sz w:val="24"/>
              </w:rPr>
              <w:t>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OPERATIONAL RISK EXPOSURE AMOUNT</w:t>
            </w:r>
          </w:p>
          <w:p w14:paraId="46354D72" w14:textId="6A57B78F" w:rsidR="00454CFC" w:rsidRPr="002A677E" w:rsidRDefault="00AC6255" w:rsidP="0002267E">
            <w:pPr>
              <w:rPr>
                <w:rFonts w:ascii="Times New Roman" w:hAnsi="Times New Roman"/>
                <w:sz w:val="24"/>
              </w:rPr>
            </w:pPr>
            <w:r w:rsidRPr="002A677E">
              <w:t xml:space="preserve">Article 92(4) </w:t>
            </w:r>
            <w:r w:rsidR="0095353C" w:rsidRPr="001235ED">
              <w:rPr>
                <w:rFonts w:ascii="Times New Roman" w:hAnsi="Times New Roman"/>
                <w:sz w:val="24"/>
                <w:lang w:val="en-US"/>
              </w:rPr>
              <w:t>of Regulation (EU) No 575/2013</w:t>
            </w:r>
            <w:r w:rsidRPr="002A677E">
              <w:t xml:space="preserve"> </w:t>
            </w:r>
          </w:p>
          <w:p w14:paraId="05E8DD64" w14:textId="77777777" w:rsidR="00AC6255" w:rsidRPr="002A677E" w:rsidRDefault="00AC6255" w:rsidP="0002267E">
            <w:pPr>
              <w:rPr>
                <w:rStyle w:val="InstructionsTabelleberschrift"/>
                <w:rFonts w:ascii="Times New Roman" w:hAnsi="Times New Roman"/>
                <w:b w:val="0"/>
                <w:sz w:val="24"/>
              </w:rPr>
            </w:pPr>
            <w:r w:rsidRPr="001235ED">
              <w:rPr>
                <w:rFonts w:ascii="Times New Roman" w:hAnsi="Times New Roman"/>
                <w:sz w:val="24"/>
              </w:rPr>
              <w:t xml:space="preserve">Own funds requirements in column </w:t>
            </w:r>
            <w:r w:rsidR="00F20C33" w:rsidRPr="002A677E">
              <w:rPr>
                <w:rFonts w:ascii="Times New Roman" w:hAnsi="Times New Roman"/>
                <w:sz w:val="24"/>
              </w:rPr>
              <w:t>0</w:t>
            </w:r>
            <w:r w:rsidRPr="002A677E">
              <w:rPr>
                <w:rFonts w:ascii="Times New Roman" w:hAnsi="Times New Roman"/>
                <w:sz w:val="24"/>
              </w:rPr>
              <w:t>070 multiplied by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OF WHICH: DUE TO AN ALLOCATION MECHANISM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sidRPr="002A677E">
              <w:rPr>
                <w:rFonts w:ascii="Times New Roman" w:hAnsi="Times New Roman"/>
                <w:bCs/>
                <w:sz w:val="24"/>
              </w:rPr>
              <w:lastRenderedPageBreak/>
              <w:t>Where a permission to use the AMA at consolidated level (</w:t>
            </w:r>
            <w:r w:rsidR="00AC6255" w:rsidRPr="002A677E">
              <w:rPr>
                <w:rFonts w:ascii="Times New Roman" w:hAnsi="Times New Roman"/>
                <w:bCs/>
                <w:sz w:val="24"/>
              </w:rPr>
              <w:t>Article 18</w:t>
            </w:r>
            <w:r w:rsidR="00E86638" w:rsidRPr="002A677E">
              <w:rPr>
                <w:rFonts w:ascii="Times New Roman" w:hAnsi="Times New Roman"/>
                <w:bCs/>
                <w:sz w:val="24"/>
              </w:rPr>
              <w:t>(</w:t>
            </w:r>
            <w:r w:rsidR="00AC6255" w:rsidRPr="002A677E">
              <w:rPr>
                <w:rFonts w:ascii="Times New Roman" w:hAnsi="Times New Roman"/>
                <w:bCs/>
                <w:sz w:val="24"/>
              </w:rPr>
              <w:t>1</w:t>
            </w:r>
            <w:r w:rsidR="00E86638" w:rsidRPr="002A677E">
              <w:rPr>
                <w:rFonts w:ascii="Times New Roman" w:hAnsi="Times New Roman"/>
                <w:bCs/>
                <w:sz w:val="24"/>
              </w:rPr>
              <w:t xml:space="preserve">) </w:t>
            </w:r>
            <w:r w:rsidR="0095353C" w:rsidRPr="001235ED">
              <w:rPr>
                <w:rFonts w:ascii="Times New Roman" w:hAnsi="Times New Roman"/>
                <w:sz w:val="24"/>
                <w:lang w:val="en-US"/>
              </w:rPr>
              <w:t>of Regulation (EU) No 575/2013</w:t>
            </w:r>
            <w:r w:rsidRPr="002A677E">
              <w:rPr>
                <w:rFonts w:ascii="Times New Roman" w:hAnsi="Times New Roman"/>
                <w:bCs/>
                <w:sz w:val="24"/>
              </w:rPr>
              <w:t xml:space="preserve">) has been granted </w:t>
            </w:r>
            <w:r w:rsidR="00AC6255" w:rsidRPr="002A677E">
              <w:rPr>
                <w:rFonts w:ascii="Times New Roman" w:hAnsi="Times New Roman"/>
                <w:sz w:val="24"/>
              </w:rPr>
              <w:t xml:space="preserve">in </w:t>
            </w:r>
            <w:r w:rsidRPr="002A677E">
              <w:rPr>
                <w:rFonts w:ascii="Times New Roman" w:hAnsi="Times New Roman"/>
                <w:sz w:val="24"/>
              </w:rPr>
              <w:t xml:space="preserve">accordance with </w:t>
            </w:r>
            <w:r w:rsidR="00AC6255" w:rsidRPr="002A677E">
              <w:rPr>
                <w:rFonts w:ascii="Times New Roman" w:hAnsi="Times New Roman"/>
                <w:sz w:val="24"/>
              </w:rPr>
              <w:t xml:space="preserve">Article </w:t>
            </w:r>
            <w:r w:rsidR="00474C49" w:rsidRPr="002A677E">
              <w:rPr>
                <w:rFonts w:ascii="Times New Roman" w:hAnsi="Times New Roman"/>
                <w:sz w:val="24"/>
              </w:rPr>
              <w:t>312</w:t>
            </w:r>
            <w:r w:rsidR="00AC6255" w:rsidRPr="002A677E">
              <w:rPr>
                <w:rFonts w:ascii="Times New Roman" w:hAnsi="Times New Roman"/>
                <w:sz w:val="24"/>
              </w:rPr>
              <w:t xml:space="preserve">(2)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 </w:t>
            </w:r>
            <w:r w:rsidR="00AC6255" w:rsidRPr="002A677E">
              <w:rPr>
                <w:rFonts w:ascii="Times New Roman" w:hAnsi="Times New Roman"/>
                <w:sz w:val="24"/>
              </w:rPr>
              <w:t xml:space="preserve">operational risk capital </w:t>
            </w:r>
            <w:r w:rsidRPr="002A677E">
              <w:rPr>
                <w:rFonts w:ascii="Times New Roman" w:hAnsi="Times New Roman"/>
                <w:sz w:val="24"/>
              </w:rPr>
              <w:t xml:space="preserve">shall be allocated </w:t>
            </w:r>
            <w:r w:rsidR="00AC6255" w:rsidRPr="002A677E">
              <w:rPr>
                <w:rFonts w:ascii="Times New Roman" w:hAnsi="Times New Roman"/>
                <w:sz w:val="24"/>
              </w:rPr>
              <w:t xml:space="preserve">between the different entities of the group </w:t>
            </w:r>
            <w:r w:rsidRPr="002A677E">
              <w:rPr>
                <w:rFonts w:ascii="Times New Roman" w:hAnsi="Times New Roman"/>
                <w:sz w:val="24"/>
              </w:rPr>
              <w:t xml:space="preserve">on the basis of the methodology applied by the institutions to consider </w:t>
            </w:r>
            <w:r w:rsidR="00AC6255" w:rsidRPr="002A677E">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2A677E">
              <w:rPr>
                <w:rFonts w:ascii="Times New Roman" w:hAnsi="Times New Roman"/>
                <w:sz w:val="24"/>
              </w:rPr>
              <w:t xml:space="preserve">an </w:t>
            </w:r>
            <w:r w:rsidR="00AC6255" w:rsidRPr="002A677E">
              <w:rPr>
                <w:rFonts w:ascii="Times New Roman" w:hAnsi="Times New Roman"/>
                <w:sz w:val="24"/>
              </w:rPr>
              <w:t>EU parent mixed financial holding company.</w:t>
            </w:r>
            <w:r w:rsidRPr="002A677E">
              <w:rPr>
                <w:rFonts w:ascii="Times New Roman" w:hAnsi="Times New Roman"/>
                <w:sz w:val="24"/>
              </w:rPr>
              <w:t xml:space="preserve"> The result of that allocation shall be reported in this column.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090-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AMA MEMORANDUM ITEMS TO BE REPORTED IF APPLICABLE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FUNDS REQUIREMENT BEFORE ALLEVIATION DUE TO EXPECTED LOSS, DIVERSIFICATION AND RISK MITIGATION TECHNIQUES</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THE EXPECTED LOSS CAPTURED IN BUSINESS PRACTICES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column 100</w:t>
            </w:r>
            <w:r w:rsidR="001C3443" w:rsidRPr="002A677E">
              <w:rPr>
                <w:rFonts w:ascii="Times New Roman" w:hAnsi="Times New Roman"/>
                <w:sz w:val="24"/>
                <w:lang w:eastAsia="de-DE"/>
              </w:rPr>
              <w:t>,</w:t>
            </w:r>
            <w:r w:rsidRPr="002A677E">
              <w:rPr>
                <w:rFonts w:ascii="Times New Roman" w:hAnsi="Times New Roman"/>
                <w:sz w:val="24"/>
                <w:lang w:eastAsia="de-DE"/>
              </w:rPr>
              <w:t xml:space="preserve"> the alleviation of own funds requirements due to expected loss captured in internal business practices (as referred to in Article </w:t>
            </w:r>
            <w:r w:rsidR="00474C49" w:rsidRPr="002A677E">
              <w:rPr>
                <w:rFonts w:ascii="Times New Roman" w:hAnsi="Times New Roman"/>
                <w:sz w:val="24"/>
                <w:lang w:eastAsia="de-DE"/>
              </w:rPr>
              <w:t>322</w:t>
            </w:r>
            <w:r w:rsidRPr="002A677E">
              <w:rPr>
                <w:rFonts w:ascii="Times New Roman" w:hAnsi="Times New Roman"/>
                <w:sz w:val="24"/>
                <w:lang w:eastAsia="de-DE"/>
              </w:rPr>
              <w:t>(2)</w:t>
            </w:r>
            <w:r w:rsidR="00B83DDE">
              <w:rPr>
                <w:rFonts w:ascii="Times New Roman" w:hAnsi="Times New Roman"/>
                <w:sz w:val="24"/>
                <w:lang w:eastAsia="de-DE"/>
              </w:rPr>
              <w:t>, p</w:t>
            </w:r>
            <w:r w:rsidR="00FD7CAF" w:rsidRPr="002A677E">
              <w:rPr>
                <w:rFonts w:ascii="Times New Roman" w:hAnsi="Times New Roman"/>
                <w:sz w:val="24"/>
                <w:lang w:eastAsia="de-DE"/>
              </w:rPr>
              <w:t>oint (a)</w:t>
            </w:r>
            <w:r w:rsidR="00CF595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1C3443" w:rsidRPr="002A677E">
              <w:rPr>
                <w:rFonts w:ascii="Times New Roman" w:hAnsi="Times New Roman"/>
                <w:sz w:val="24"/>
                <w:lang w:eastAsia="de-DE"/>
              </w:rPr>
              <w:t>shall</w:t>
            </w:r>
            <w:r w:rsidRPr="002A677E">
              <w:rPr>
                <w:rFonts w:ascii="Times New Roman" w:hAnsi="Times New Roman"/>
                <w:sz w:val="24"/>
                <w:lang w:eastAsia="de-DE"/>
              </w:rPr>
              <w:t xml:space="preserve"> reported.</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DIVERSIFICATION</w:t>
            </w:r>
          </w:p>
          <w:p w14:paraId="44264EC0" w14:textId="56A72B95" w:rsidR="00AC6255" w:rsidRPr="002A677E" w:rsidRDefault="00AC6255" w:rsidP="000B0B09">
            <w:pPr>
              <w:rPr>
                <w:rFonts w:ascii="Times New Roman" w:hAnsi="Times New Roman"/>
                <w:sz w:val="24"/>
              </w:rPr>
            </w:pPr>
            <w:r w:rsidRPr="002A677E">
              <w:rPr>
                <w:rFonts w:ascii="Times New Roman" w:hAnsi="Times New Roman"/>
                <w:sz w:val="24"/>
              </w:rPr>
              <w:t>The diversification effect</w:t>
            </w:r>
            <w:r w:rsidR="00730040" w:rsidRPr="002A677E">
              <w:rPr>
                <w:rFonts w:ascii="Times New Roman" w:hAnsi="Times New Roman"/>
                <w:sz w:val="24"/>
              </w:rPr>
              <w:t xml:space="preserve"> </w:t>
            </w:r>
            <w:r w:rsidR="005E7FAD" w:rsidRPr="002A677E">
              <w:rPr>
                <w:rFonts w:ascii="Times New Roman" w:hAnsi="Times New Roman"/>
                <w:sz w:val="24"/>
              </w:rPr>
              <w:t>reported in this column</w:t>
            </w:r>
            <w:r w:rsidRPr="002A677E">
              <w:rPr>
                <w:rFonts w:ascii="Times New Roman" w:hAnsi="Times New Roman"/>
                <w:sz w:val="24"/>
              </w:rPr>
              <w:t xml:space="preserve"> </w:t>
            </w:r>
            <w:r w:rsidR="001C3443" w:rsidRPr="002A677E">
              <w:rPr>
                <w:rFonts w:ascii="Times New Roman" w:hAnsi="Times New Roman"/>
                <w:sz w:val="24"/>
              </w:rPr>
              <w:t>shall be</w:t>
            </w:r>
            <w:r w:rsidRPr="002A677E">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2A677E">
              <w:rPr>
                <w:rFonts w:ascii="Times New Roman" w:hAnsi="Times New Roman"/>
                <w:sz w:val="24"/>
              </w:rPr>
              <w:t>re</w:t>
            </w:r>
            <w:r w:rsidRPr="002A677E">
              <w:rPr>
                <w:rFonts w:ascii="Times New Roman" w:hAnsi="Times New Roman"/>
                <w:sz w:val="24"/>
              </w:rPr>
              <w:t xml:space="preserve"> the institution does not use explicit correlations structure between the risk classes, hence the AMA capital is </w:t>
            </w:r>
            <w:r w:rsidR="001C3443" w:rsidRPr="002A677E">
              <w:rPr>
                <w:rFonts w:ascii="Times New Roman" w:hAnsi="Times New Roman"/>
                <w:sz w:val="24"/>
              </w:rPr>
              <w:t>calculated</w:t>
            </w:r>
            <w:r w:rsidRPr="002A677E">
              <w:rPr>
                <w:rFonts w:ascii="Times New Roman" w:hAnsi="Times New Roman"/>
                <w:sz w:val="24"/>
              </w:rPr>
              <w:t xml:space="preserve"> as the sum of the individual operational risk measures of the chosen risk classes. In th</w:t>
            </w:r>
            <w:r w:rsidR="001C3443" w:rsidRPr="002A677E">
              <w:rPr>
                <w:rFonts w:ascii="Times New Roman" w:hAnsi="Times New Roman"/>
                <w:sz w:val="24"/>
              </w:rPr>
              <w:t>at</w:t>
            </w:r>
            <w:r w:rsidRPr="002A677E">
              <w:rPr>
                <w:rFonts w:ascii="Times New Roman" w:hAnsi="Times New Roman"/>
                <w:sz w:val="24"/>
              </w:rPr>
              <w:t xml:space="preserve"> case</w:t>
            </w:r>
            <w:r w:rsidR="001C3443" w:rsidRPr="002A677E">
              <w:rPr>
                <w:rFonts w:ascii="Times New Roman" w:hAnsi="Times New Roman"/>
                <w:sz w:val="24"/>
              </w:rPr>
              <w:t>,</w:t>
            </w:r>
            <w:r w:rsidRPr="002A677E">
              <w:rPr>
                <w:rFonts w:ascii="Times New Roman" w:hAnsi="Times New Roman"/>
                <w:sz w:val="24"/>
              </w:rPr>
              <w:t xml:space="preserve"> the correlation between the risk classes is assumed </w:t>
            </w:r>
            <w:r w:rsidR="001C3443" w:rsidRPr="002A677E">
              <w:rPr>
                <w:rFonts w:ascii="Times New Roman" w:hAnsi="Times New Roman"/>
                <w:sz w:val="24"/>
              </w:rPr>
              <w:t>to be</w:t>
            </w:r>
            <w:r w:rsidRPr="002A677E">
              <w:rPr>
                <w:rFonts w:ascii="Times New Roman" w:hAnsi="Times New Roman"/>
                <w:sz w:val="24"/>
              </w:rPr>
              <w:t xml:space="preserve"> 100</w:t>
            </w:r>
            <w:r w:rsidR="00B856D5">
              <w:t> </w:t>
            </w:r>
            <w:r w:rsidRPr="002A677E">
              <w:rPr>
                <w:rFonts w:ascii="Times New Roman" w:hAnsi="Times New Roman"/>
                <w:sz w:val="24"/>
              </w:rPr>
              <w:t>% and the value in the column has to be set to zero. Conversely, whe</w:t>
            </w:r>
            <w:r w:rsidR="001C3443" w:rsidRPr="002A677E">
              <w:rPr>
                <w:rFonts w:ascii="Times New Roman" w:hAnsi="Times New Roman"/>
                <w:sz w:val="24"/>
              </w:rPr>
              <w:t>re</w:t>
            </w:r>
            <w:r w:rsidRPr="002A677E">
              <w:rPr>
                <w:rFonts w:ascii="Times New Roman" w:hAnsi="Times New Roman"/>
                <w:sz w:val="24"/>
              </w:rPr>
              <w:t xml:space="preserve"> the institution c</w:t>
            </w:r>
            <w:r w:rsidR="001C3443" w:rsidRPr="002A677E">
              <w:rPr>
                <w:rFonts w:ascii="Times New Roman" w:hAnsi="Times New Roman"/>
                <w:sz w:val="24"/>
              </w:rPr>
              <w:t>alculates</w:t>
            </w:r>
            <w:r w:rsidRPr="002A677E">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2A677E">
              <w:rPr>
                <w:rFonts w:ascii="Times New Roman" w:hAnsi="Times New Roman"/>
                <w:sz w:val="24"/>
              </w:rPr>
              <w:t xml:space="preserve">the AMA capital </w:t>
            </w:r>
            <w:r w:rsidRPr="002A677E">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2A677E">
              <w:rPr>
                <w:rFonts w:ascii="Times New Roman" w:hAnsi="Times New Roman"/>
                <w:sz w:val="24"/>
              </w:rPr>
              <w:t>,</w:t>
            </w:r>
            <w:r w:rsidRPr="002A677E">
              <w:rPr>
                <w:rFonts w:ascii="Times New Roman" w:hAnsi="Times New Roman"/>
                <w:sz w:val="24"/>
              </w:rPr>
              <w:t xml:space="preserve"> the amount by which the assumed correlation structure decreases the AMA capital relative to the assumption of 100</w:t>
            </w:r>
            <w:r w:rsidR="00B856D5">
              <w:t> </w:t>
            </w:r>
            <w:r w:rsidRPr="002A677E">
              <w:rPr>
                <w:rFonts w:ascii="Times New Roman" w:hAnsi="Times New Roman"/>
                <w:sz w:val="24"/>
              </w:rPr>
              <w:t>% correlation has to be reported.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r w:rsidRPr="002A677E">
              <w:rPr>
                <w:rStyle w:val="InstructionsTabelleberschrift"/>
                <w:rFonts w:ascii="Times New Roman" w:hAnsi="Times New Roman"/>
                <w:sz w:val="24"/>
              </w:rPr>
              <w:t>(-) ALLEVIATION OF OWN FUNDS REQUIREMENT DUE TO RISK MITIGATION TECHNIQUES (INSURANCE AND OTHER RISK TRANSFER MECHANISMS)</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T</w:t>
            </w:r>
            <w:r w:rsidR="00AC6255" w:rsidRPr="002A677E">
              <w:rPr>
                <w:rFonts w:ascii="Times New Roman" w:hAnsi="Times New Roman"/>
                <w:sz w:val="24"/>
                <w:lang w:eastAsia="de-DE"/>
              </w:rPr>
              <w:t xml:space="preserve">he impact of insurance and other risk transfer mechanisms </w:t>
            </w:r>
            <w:r w:rsidR="001C3443" w:rsidRPr="002A677E">
              <w:rPr>
                <w:rFonts w:ascii="Times New Roman" w:hAnsi="Times New Roman"/>
                <w:sz w:val="24"/>
                <w:lang w:eastAsia="de-DE"/>
              </w:rPr>
              <w:t>as referred to in</w:t>
            </w:r>
            <w:r w:rsidR="00AC6255" w:rsidRPr="002A677E">
              <w:rPr>
                <w:rFonts w:ascii="Times New Roman" w:hAnsi="Times New Roman"/>
                <w:sz w:val="24"/>
                <w:lang w:eastAsia="de-DE"/>
              </w:rPr>
              <w:t xml:space="preserve"> Article </w:t>
            </w:r>
            <w:r w:rsidR="00474C49" w:rsidRPr="002A677E">
              <w:rPr>
                <w:rFonts w:ascii="Times New Roman" w:hAnsi="Times New Roman"/>
                <w:sz w:val="24"/>
                <w:lang w:eastAsia="de-DE"/>
              </w:rPr>
              <w:t>323</w:t>
            </w:r>
            <w:r w:rsidR="00AC6255"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w:t>
            </w:r>
            <w:r w:rsidR="001C3443" w:rsidRPr="002A677E">
              <w:rPr>
                <w:rFonts w:ascii="Times New Roman" w:hAnsi="Times New Roman"/>
                <w:sz w:val="24"/>
                <w:lang w:eastAsia="de-DE"/>
              </w:rPr>
              <w:t>shall be</w:t>
            </w:r>
            <w:r w:rsidR="00AC6255" w:rsidRPr="002A677E">
              <w:rPr>
                <w:rFonts w:ascii="Times New Roman" w:hAnsi="Times New Roman"/>
                <w:sz w:val="24"/>
                <w:lang w:eastAsia="de-DE"/>
              </w:rPr>
              <w:t xml:space="preserve"> reported</w:t>
            </w:r>
            <w:r w:rsidRPr="002A677E">
              <w:rPr>
                <w:rFonts w:ascii="Times New Roman" w:hAnsi="Times New Roman"/>
                <w:sz w:val="24"/>
                <w:lang w:eastAsia="de-DE"/>
              </w:rPr>
              <w:t xml:space="preserve"> in this column.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 xml:space="preserve">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BASIC INDICATOR APPROACH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lang w:val="en-GB" w:eastAsia="de-DE"/>
              </w:rPr>
            </w:pPr>
            <w:r w:rsidRPr="002A677E">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2A677E">
              <w:rPr>
                <w:rFonts w:ascii="Times New Roman" w:eastAsia="Times New Roman" w:hAnsi="Times New Roman"/>
                <w:sz w:val="24"/>
                <w:szCs w:val="24"/>
                <w:lang w:val="en-GB"/>
              </w:rPr>
              <w:t xml:space="preserve">315 </w:t>
            </w:r>
            <w:r w:rsidRPr="002A677E">
              <w:rPr>
                <w:rFonts w:ascii="Times New Roman" w:eastAsia="Times New Roman" w:hAnsi="Times New Roman"/>
                <w:sz w:val="24"/>
                <w:szCs w:val="24"/>
                <w:lang w:val="en-GB"/>
              </w:rPr>
              <w:t xml:space="preserve">and </w:t>
            </w:r>
            <w:r w:rsidR="00474C49" w:rsidRPr="002A677E">
              <w:rPr>
                <w:rFonts w:ascii="Times New Roman" w:eastAsia="Times New Roman" w:hAnsi="Times New Roman"/>
                <w:sz w:val="24"/>
                <w:szCs w:val="24"/>
                <w:lang w:val="en-GB"/>
              </w:rPr>
              <w:t>316</w:t>
            </w:r>
            <w:r w:rsidRPr="002A677E">
              <w:rPr>
                <w:rFonts w:ascii="Times New Roman" w:eastAsia="Times New Roman" w:hAnsi="Times New Roman"/>
                <w:sz w:val="24"/>
                <w:szCs w:val="24"/>
                <w:lang w:val="en-GB"/>
              </w:rPr>
              <w:t xml:space="preserve"> </w:t>
            </w:r>
            <w:r w:rsidR="0095353C" w:rsidRPr="001235ED">
              <w:rPr>
                <w:rFonts w:ascii="Times New Roman" w:hAnsi="Times New Roman"/>
                <w:sz w:val="24"/>
                <w:szCs w:val="24"/>
                <w:lang w:val="en-US"/>
              </w:rPr>
              <w:t>of Regulation (EU) No 575/2013</w:t>
            </w:r>
            <w:r w:rsidRPr="002A677E">
              <w:rPr>
                <w:rFonts w:ascii="Times New Roman" w:eastAsia="Times New Roman" w:hAnsi="Times New Roman"/>
                <w:sz w:val="24"/>
                <w:szCs w:val="24"/>
                <w:lang w:val="en-GB"/>
              </w:rPr>
              <w:t>).</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STANDARISED (TSA)/ ALTERNATIVE STANDARDISED (ASA) APPROACHES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Pr="002A677E">
              <w:rPr>
                <w:rFonts w:ascii="Times New Roman" w:hAnsi="Times New Roman"/>
                <w:sz w:val="24"/>
              </w:rPr>
              <w:t xml:space="preserve">own funds requirement </w:t>
            </w:r>
            <w:r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TSA and ASA (Articles </w:t>
            </w:r>
            <w:r w:rsidR="00F249CD" w:rsidRPr="002A677E">
              <w:rPr>
                <w:rFonts w:ascii="Times New Roman" w:hAnsi="Times New Roman"/>
                <w:sz w:val="24"/>
                <w:lang w:eastAsia="de-DE"/>
              </w:rPr>
              <w:t>317</w:t>
            </w:r>
            <w:r w:rsidR="001C3443" w:rsidRPr="002A677E">
              <w:rPr>
                <w:rFonts w:ascii="Times New Roman" w:hAnsi="Times New Roman"/>
                <w:sz w:val="24"/>
                <w:lang w:eastAsia="de-DE"/>
              </w:rPr>
              <w:t>, 318 and</w:t>
            </w:r>
            <w:r w:rsidRPr="002A677E">
              <w:rPr>
                <w:rFonts w:ascii="Times New Roman" w:hAnsi="Times New Roman"/>
                <w:sz w:val="24"/>
                <w:lang w:eastAsia="de-DE"/>
              </w:rPr>
              <w:t xml:space="preserv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95FD0" w:rsidRPr="002A677E">
              <w:rPr>
                <w:rFonts w:ascii="Times New Roman" w:hAnsi="Times New Roman"/>
                <w:sz w:val="24"/>
                <w:lang w:eastAsia="de-DE"/>
              </w:rPr>
              <w:t>shall be reported</w:t>
            </w:r>
            <w:r w:rsidRPr="002A677E">
              <w:rPr>
                <w:rFonts w:ascii="Times New Roman" w:hAnsi="Times New Roman"/>
                <w:sz w:val="24"/>
                <w:lang w:eastAsia="de-DE"/>
              </w:rPr>
              <w:t>.</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030-</w:t>
            </w: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sidRPr="002A677E">
              <w:rPr>
                <w:rStyle w:val="InstructionsTabelleberschrift"/>
                <w:rFonts w:ascii="Times New Roman" w:hAnsi="Times New Roman"/>
                <w:sz w:val="24"/>
              </w:rPr>
              <w:t>SUBJECT TO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Where </w:t>
            </w:r>
            <w:r w:rsidR="00AC6255" w:rsidRPr="002A677E">
              <w:rPr>
                <w:rFonts w:ascii="Times New Roman" w:hAnsi="Times New Roman"/>
                <w:sz w:val="24"/>
              </w:rPr>
              <w:t>the TSA</w:t>
            </w:r>
            <w:r w:rsidRPr="002A677E">
              <w:rPr>
                <w:rFonts w:ascii="Times New Roman" w:hAnsi="Times New Roman"/>
                <w:sz w:val="24"/>
              </w:rPr>
              <w:t xml:space="preserve"> is used</w:t>
            </w:r>
            <w:r w:rsidR="00AC6255" w:rsidRPr="002A677E">
              <w:rPr>
                <w:rFonts w:ascii="Times New Roman" w:hAnsi="Times New Roman"/>
                <w:sz w:val="24"/>
              </w:rPr>
              <w:t xml:space="preserve">, </w:t>
            </w:r>
            <w:r w:rsidRPr="002A677E">
              <w:rPr>
                <w:rFonts w:ascii="Times New Roman" w:hAnsi="Times New Roman"/>
                <w:sz w:val="24"/>
              </w:rPr>
              <w:t xml:space="preserve">the </w:t>
            </w:r>
            <w:r w:rsidR="00AC6255" w:rsidRPr="002A677E">
              <w:rPr>
                <w:rFonts w:ascii="Times New Roman" w:hAnsi="Times New Roman"/>
                <w:sz w:val="24"/>
              </w:rPr>
              <w:t xml:space="preserve">relevant indicator for each respective year shall be distributed in rows </w:t>
            </w:r>
            <w:r w:rsidR="005E7FAD" w:rsidRPr="002A677E">
              <w:rPr>
                <w:rFonts w:ascii="Times New Roman" w:hAnsi="Times New Roman"/>
                <w:sz w:val="24"/>
              </w:rPr>
              <w:t>0</w:t>
            </w:r>
            <w:r w:rsidR="00AC6255" w:rsidRPr="002A677E">
              <w:rPr>
                <w:rFonts w:ascii="Times New Roman" w:hAnsi="Times New Roman"/>
                <w:sz w:val="24"/>
              </w:rPr>
              <w:t xml:space="preserve">030 to </w:t>
            </w:r>
            <w:r w:rsidR="005E7FAD" w:rsidRPr="002A677E">
              <w:rPr>
                <w:rFonts w:ascii="Times New Roman" w:hAnsi="Times New Roman"/>
                <w:sz w:val="24"/>
              </w:rPr>
              <w:t>0</w:t>
            </w:r>
            <w:r w:rsidR="00AC6255" w:rsidRPr="002A677E">
              <w:rPr>
                <w:rFonts w:ascii="Times New Roman" w:hAnsi="Times New Roman"/>
                <w:sz w:val="24"/>
              </w:rPr>
              <w:t xml:space="preserve">100 amongst the business lines </w:t>
            </w:r>
            <w:r w:rsidRPr="002A677E">
              <w:rPr>
                <w:rFonts w:ascii="Times New Roman" w:hAnsi="Times New Roman"/>
                <w:sz w:val="24"/>
              </w:rPr>
              <w:t>referred to</w:t>
            </w:r>
            <w:r w:rsidR="00AC6255" w:rsidRPr="002A677E">
              <w:rPr>
                <w:rFonts w:ascii="Times New Roman" w:hAnsi="Times New Roman"/>
                <w:sz w:val="24"/>
              </w:rPr>
              <w:t xml:space="preserve"> in Article </w:t>
            </w:r>
            <w:r w:rsidR="00474C49" w:rsidRPr="002A677E">
              <w:rPr>
                <w:rFonts w:ascii="Times New Roman" w:hAnsi="Times New Roman"/>
                <w:sz w:val="24"/>
              </w:rPr>
              <w:t>317</w:t>
            </w:r>
            <w:r w:rsidR="00FD7CAF" w:rsidRPr="002A677E">
              <w:rPr>
                <w:rFonts w:ascii="Times New Roman" w:hAnsi="Times New Roman"/>
                <w:sz w:val="24"/>
              </w:rPr>
              <w:t>,</w:t>
            </w:r>
            <w:r w:rsidR="0042594B" w:rsidRPr="002A677E">
              <w:rPr>
                <w:rFonts w:ascii="Times New Roman" w:hAnsi="Times New Roman"/>
                <w:sz w:val="24"/>
              </w:rPr>
              <w:t xml:space="preserve"> </w:t>
            </w:r>
            <w:r w:rsidR="00FD7CAF" w:rsidRPr="002A677E">
              <w:rPr>
                <w:rFonts w:ascii="Times New Roman" w:hAnsi="Times New Roman"/>
                <w:sz w:val="24"/>
              </w:rPr>
              <w:t xml:space="preserve">Table 2 </w:t>
            </w:r>
            <w:r w:rsidR="0095353C" w:rsidRPr="001235ED">
              <w:rPr>
                <w:rFonts w:ascii="Times New Roman" w:hAnsi="Times New Roman"/>
                <w:sz w:val="24"/>
                <w:lang w:val="en-US"/>
              </w:rPr>
              <w:t>of Regulation (EU) No 575/2013</w:t>
            </w:r>
            <w:r w:rsidR="00AC6255" w:rsidRPr="002A677E">
              <w:rPr>
                <w:rFonts w:ascii="Times New Roman" w:hAnsi="Times New Roman"/>
                <w:sz w:val="24"/>
              </w:rPr>
              <w:t xml:space="preserve">. The mapping of activities into business lines </w:t>
            </w:r>
            <w:r w:rsidR="00A95FD0" w:rsidRPr="002A677E">
              <w:rPr>
                <w:rFonts w:ascii="Times New Roman" w:hAnsi="Times New Roman"/>
                <w:sz w:val="24"/>
              </w:rPr>
              <w:t xml:space="preserve">shall </w:t>
            </w:r>
            <w:r w:rsidR="00AC6255" w:rsidRPr="002A677E">
              <w:rPr>
                <w:rFonts w:ascii="Times New Roman" w:hAnsi="Times New Roman"/>
                <w:sz w:val="24"/>
              </w:rPr>
              <w:t xml:space="preserve">follow the principles described in Article </w:t>
            </w:r>
            <w:r w:rsidR="00474C49" w:rsidRPr="002A677E">
              <w:rPr>
                <w:rFonts w:ascii="Times New Roman" w:hAnsi="Times New Roman"/>
                <w:sz w:val="24"/>
              </w:rPr>
              <w:t xml:space="preserve">318 </w:t>
            </w:r>
            <w:r w:rsidR="0095353C" w:rsidRPr="001235ED">
              <w:rPr>
                <w:rFonts w:ascii="Times New Roman" w:hAnsi="Times New Roman"/>
                <w:sz w:val="24"/>
                <w:lang w:val="en-US"/>
              </w:rPr>
              <w:t>of Regulation (EU) No 575/2013</w:t>
            </w:r>
            <w:r w:rsidR="00AC6255" w:rsidRPr="002A677E">
              <w:rPr>
                <w:rFonts w:ascii="Times New Roman" w:hAnsi="Times New Roman"/>
                <w:sz w:val="24"/>
              </w:rPr>
              <w:t>.</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SUBJECT TO ASA</w:t>
            </w:r>
          </w:p>
          <w:p w14:paraId="16F5DC90" w14:textId="5A9D1828" w:rsidR="00AC6255" w:rsidRPr="002A677E" w:rsidRDefault="00AC6255" w:rsidP="000B0B09">
            <w:pPr>
              <w:rPr>
                <w:rFonts w:ascii="Times New Roman" w:hAnsi="Times New Roman"/>
                <w:sz w:val="24"/>
              </w:rPr>
            </w:pPr>
            <w:r w:rsidRPr="002A677E">
              <w:rPr>
                <w:rFonts w:ascii="Times New Roman" w:hAnsi="Times New Roman"/>
                <w:sz w:val="24"/>
                <w:lang w:eastAsia="de-DE"/>
              </w:rPr>
              <w:t xml:space="preserve">Institutions using the ASA (Article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00A95FD0" w:rsidRPr="002A677E">
              <w:rPr>
                <w:rFonts w:ascii="Times New Roman" w:hAnsi="Times New Roman"/>
                <w:sz w:val="24"/>
                <w:lang w:eastAsia="de-DE"/>
              </w:rPr>
              <w:t xml:space="preserve"> shall</w:t>
            </w:r>
            <w:r w:rsidRPr="002A677E">
              <w:rPr>
                <w:rFonts w:ascii="Times New Roman" w:hAnsi="Times New Roman"/>
                <w:sz w:val="24"/>
                <w:lang w:eastAsia="de-DE"/>
              </w:rPr>
              <w:t xml:space="preserve"> report for the respective years </w:t>
            </w:r>
            <w:r w:rsidR="0006666B"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separately for each business line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030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050 and </w:t>
            </w:r>
            <w:r w:rsidR="005E7FAD" w:rsidRPr="002A677E">
              <w:rPr>
                <w:rFonts w:ascii="Times New Roman" w:hAnsi="Times New Roman"/>
                <w:sz w:val="24"/>
                <w:lang w:eastAsia="de-DE"/>
              </w:rPr>
              <w:t>0</w:t>
            </w:r>
            <w:r w:rsidRPr="002A677E">
              <w:rPr>
                <w:rFonts w:ascii="Times New Roman" w:hAnsi="Times New Roman"/>
                <w:sz w:val="24"/>
                <w:lang w:eastAsia="de-DE"/>
              </w:rPr>
              <w:t xml:space="preserve">080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100 and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110 and </w:t>
            </w:r>
            <w:r w:rsidR="005E7FAD" w:rsidRPr="002A677E">
              <w:rPr>
                <w:rFonts w:ascii="Times New Roman" w:hAnsi="Times New Roman"/>
                <w:sz w:val="24"/>
                <w:lang w:eastAsia="de-DE"/>
              </w:rPr>
              <w:t>0</w:t>
            </w:r>
            <w:r w:rsidRPr="002A677E">
              <w:rPr>
                <w:rFonts w:ascii="Times New Roman" w:hAnsi="Times New Roman"/>
                <w:sz w:val="24"/>
                <w:lang w:eastAsia="de-DE"/>
              </w:rPr>
              <w:t>120 for business lines "</w:t>
            </w:r>
            <w:r w:rsidR="00A369C3" w:rsidRPr="002A677E">
              <w:rPr>
                <w:rFonts w:ascii="Times New Roman" w:hAnsi="Times New Roman"/>
                <w:sz w:val="24"/>
                <w:lang w:eastAsia="de-DE"/>
              </w:rPr>
              <w:t>c</w:t>
            </w:r>
            <w:r w:rsidRPr="002A677E">
              <w:rPr>
                <w:rFonts w:ascii="Times New Roman" w:hAnsi="Times New Roman"/>
                <w:sz w:val="24"/>
                <w:lang w:eastAsia="de-DE"/>
              </w:rPr>
              <w:t>ommercial banking" and "</w:t>
            </w:r>
            <w:r w:rsidR="00A369C3" w:rsidRPr="002A677E">
              <w:rPr>
                <w:rFonts w:ascii="Times New Roman" w:hAnsi="Times New Roman"/>
                <w:sz w:val="24"/>
                <w:lang w:eastAsia="de-DE"/>
              </w:rPr>
              <w:t>r</w:t>
            </w:r>
            <w:r w:rsidRPr="002A677E">
              <w:rPr>
                <w:rFonts w:ascii="Times New Roman" w:hAnsi="Times New Roman"/>
                <w:sz w:val="24"/>
                <w:lang w:eastAsia="de-DE"/>
              </w:rPr>
              <w:t xml:space="preserve">etail banking".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lang w:eastAsia="nl-BE"/>
              </w:rPr>
            </w:pPr>
            <w:r w:rsidRPr="002A677E">
              <w:rPr>
                <w:rStyle w:val="InstructionsTabelleText"/>
                <w:rFonts w:ascii="Times New Roman" w:hAnsi="Times New Roman"/>
                <w:sz w:val="24"/>
              </w:rPr>
              <w:t xml:space="preserve">Rows 110 and 120 shall present the amount of </w:t>
            </w:r>
            <w:r w:rsidR="00A369C3" w:rsidRPr="002A677E">
              <w:rPr>
                <w:rStyle w:val="InstructionsTabelleText"/>
                <w:rFonts w:ascii="Times New Roman" w:hAnsi="Times New Roman"/>
                <w:sz w:val="24"/>
              </w:rPr>
              <w:t xml:space="preserve">the </w:t>
            </w:r>
            <w:r w:rsidRPr="002A677E">
              <w:rPr>
                <w:rFonts w:ascii="Times New Roman" w:hAnsi="Times New Roman"/>
                <w:sz w:val="24"/>
                <w:lang w:eastAsia="de-DE"/>
              </w:rPr>
              <w:t xml:space="preserve">relevant indicator </w:t>
            </w:r>
            <w:r w:rsidRPr="002A677E">
              <w:rPr>
                <w:rStyle w:val="InstructionsTabelleText"/>
                <w:rFonts w:ascii="Times New Roman" w:hAnsi="Times New Roman"/>
                <w:sz w:val="24"/>
              </w:rPr>
              <w:t>of activities subject to ASA</w:t>
            </w:r>
            <w:r w:rsidR="00A369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distinguishing between th</w:t>
            </w:r>
            <w:r w:rsidR="00A369C3" w:rsidRPr="002A677E">
              <w:rPr>
                <w:rStyle w:val="InstructionsTabelleText"/>
                <w:rFonts w:ascii="Times New Roman" w:hAnsi="Times New Roman"/>
                <w:sz w:val="24"/>
              </w:rPr>
              <w:t>e amount</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th</w:t>
            </w:r>
            <w:r w:rsidR="00A369C3" w:rsidRPr="002A677E">
              <w:rPr>
                <w:rStyle w:val="InstructionsTabelleText"/>
                <w:rFonts w:ascii="Times New Roman" w:hAnsi="Times New Roman"/>
                <w:sz w:val="24"/>
              </w:rPr>
              <w:t>e amounts</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(Article </w:t>
            </w:r>
            <w:r w:rsidR="00474C49" w:rsidRPr="002A677E">
              <w:rPr>
                <w:rStyle w:val="InstructionsTabelleText"/>
                <w:rFonts w:ascii="Times New Roman" w:hAnsi="Times New Roman"/>
                <w:sz w:val="24"/>
              </w:rPr>
              <w:t xml:space="preserve">319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There can be amounts for the rows corresponding to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under the TSA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as well as under the ASA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120 (e.g. if a subsidiary is subject to TSA whereas the parent entity is subject to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ADVANCED MEASUREMENT APPROACHES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The relevant data for AMA institutions (Article </w:t>
            </w:r>
            <w:r w:rsidR="00474C49" w:rsidRPr="002A677E">
              <w:rPr>
                <w:rFonts w:ascii="Times New Roman" w:hAnsi="Times New Roman"/>
                <w:sz w:val="24"/>
              </w:rPr>
              <w:t>312</w:t>
            </w:r>
            <w:r w:rsidR="0042594B" w:rsidRPr="002A677E">
              <w:rPr>
                <w:rFonts w:ascii="Times New Roman" w:hAnsi="Times New Roman"/>
                <w:sz w:val="24"/>
              </w:rPr>
              <w:t>(2)</w:t>
            </w:r>
            <w:r w:rsidR="00474C49" w:rsidRPr="002A677E">
              <w:rPr>
                <w:rFonts w:ascii="Times New Roman" w:hAnsi="Times New Roman"/>
                <w:sz w:val="24"/>
              </w:rPr>
              <w:t xml:space="preserve"> </w:t>
            </w:r>
            <w:r w:rsidRPr="002A677E">
              <w:rPr>
                <w:rFonts w:ascii="Times New Roman" w:hAnsi="Times New Roman"/>
                <w:sz w:val="24"/>
              </w:rPr>
              <w:t>and Article</w:t>
            </w:r>
            <w:r w:rsidR="00705025" w:rsidRPr="002A677E">
              <w:rPr>
                <w:rFonts w:ascii="Times New Roman" w:hAnsi="Times New Roman"/>
                <w:sz w:val="24"/>
              </w:rPr>
              <w:t>s</w:t>
            </w:r>
            <w:r w:rsidRPr="002A677E">
              <w:rPr>
                <w:rFonts w:ascii="Times New Roman" w:hAnsi="Times New Roman"/>
                <w:sz w:val="24"/>
              </w:rPr>
              <w:t xml:space="preserve"> </w:t>
            </w:r>
            <w:r w:rsidR="00474C49" w:rsidRPr="002A677E">
              <w:rPr>
                <w:rFonts w:ascii="Times New Roman" w:hAnsi="Times New Roman"/>
                <w:sz w:val="24"/>
              </w:rPr>
              <w:t>321</w:t>
            </w:r>
            <w:r w:rsidR="00A369C3" w:rsidRPr="002A677E">
              <w:rPr>
                <w:rFonts w:ascii="Times New Roman" w:hAnsi="Times New Roman"/>
                <w:sz w:val="24"/>
              </w:rPr>
              <w:t>, 322 and</w:t>
            </w:r>
            <w:r w:rsidRPr="002A677E">
              <w:rPr>
                <w:rFonts w:ascii="Times New Roman" w:hAnsi="Times New Roman"/>
                <w:sz w:val="24"/>
              </w:rPr>
              <w:t xml:space="preserve"> </w:t>
            </w:r>
            <w:r w:rsidR="00474C49" w:rsidRPr="002A677E">
              <w:rPr>
                <w:rFonts w:ascii="Times New Roman" w:hAnsi="Times New Roman"/>
                <w:sz w:val="24"/>
              </w:rPr>
              <w:t>323</w:t>
            </w:r>
            <w:r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r w:rsidR="00A95FD0" w:rsidRPr="002A677E">
              <w:rPr>
                <w:rFonts w:ascii="Times New Roman" w:hAnsi="Times New Roman"/>
                <w:sz w:val="24"/>
              </w:rPr>
              <w:t xml:space="preserve">shall be </w:t>
            </w:r>
            <w:r w:rsidRPr="002A677E">
              <w:rPr>
                <w:rFonts w:ascii="Times New Roman" w:hAnsi="Times New Roman"/>
                <w:sz w:val="24"/>
              </w:rPr>
              <w:t xml:space="preserve">reported.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Where </w:t>
            </w:r>
            <w:r w:rsidR="00AC6255" w:rsidRPr="002A677E">
              <w:rPr>
                <w:rFonts w:ascii="Times New Roman" w:hAnsi="Times New Roman"/>
                <w:sz w:val="24"/>
                <w:lang w:eastAsia="de-DE"/>
              </w:rPr>
              <w:t>different approaches</w:t>
            </w:r>
            <w:r w:rsidRPr="002A677E">
              <w:rPr>
                <w:rFonts w:ascii="Times New Roman" w:hAnsi="Times New Roman"/>
                <w:sz w:val="24"/>
                <w:lang w:eastAsia="de-DE"/>
              </w:rPr>
              <w:t xml:space="preserve"> are combined</w:t>
            </w:r>
            <w:r w:rsidR="00AC6255" w:rsidRPr="002A677E">
              <w:rPr>
                <w:rFonts w:ascii="Times New Roman" w:hAnsi="Times New Roman"/>
                <w:sz w:val="24"/>
                <w:lang w:eastAsia="de-DE"/>
              </w:rPr>
              <w:t xml:space="preserve"> as indicated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information on relevant indicator for activities subject to AMA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w:t>
            </w:r>
            <w:r w:rsidRPr="002A677E">
              <w:rPr>
                <w:rFonts w:ascii="Times New Roman" w:hAnsi="Times New Roman"/>
                <w:sz w:val="24"/>
                <w:lang w:eastAsia="de-DE"/>
              </w:rPr>
              <w:t xml:space="preserve">The same shall apply for </w:t>
            </w:r>
            <w:r w:rsidR="00AC6255" w:rsidRPr="002A677E">
              <w:rPr>
                <w:rFonts w:ascii="Times New Roman" w:hAnsi="Times New Roman"/>
                <w:sz w:val="24"/>
                <w:lang w:eastAsia="de-DE"/>
              </w:rPr>
              <w:t>all other AMA banks.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38" w:name="_Toc473560939"/>
      <w:bookmarkStart w:id="539" w:name="_Toc473560940"/>
      <w:bookmarkStart w:id="540" w:name="_Toc473560941"/>
      <w:bookmarkStart w:id="541" w:name="_Toc473560942"/>
      <w:bookmarkStart w:id="542" w:name="_Toc473560943"/>
      <w:bookmarkStart w:id="543" w:name="_Toc473560944"/>
      <w:bookmarkStart w:id="544" w:name="_Toc473560945"/>
      <w:bookmarkStart w:id="545" w:name="_Toc473560946"/>
      <w:bookmarkStart w:id="546" w:name="_Toc473560947"/>
      <w:bookmarkStart w:id="547" w:name="_Toc473560948"/>
      <w:bookmarkStart w:id="548" w:name="_Toc473560949"/>
      <w:bookmarkStart w:id="549" w:name="_Toc473560950"/>
      <w:bookmarkStart w:id="550" w:name="_Toc473560951"/>
      <w:bookmarkStart w:id="551" w:name="_Toc473560952"/>
      <w:bookmarkStart w:id="552" w:name="_Toc473560953"/>
      <w:bookmarkStart w:id="553" w:name="_Toc473560954"/>
      <w:bookmarkStart w:id="554" w:name="_Toc473560955"/>
      <w:bookmarkStart w:id="555" w:name="_Toc473560956"/>
      <w:bookmarkStart w:id="556" w:name="_Toc473560957"/>
      <w:bookmarkStart w:id="557" w:name="_Toc473560958"/>
      <w:bookmarkStart w:id="558" w:name="_Toc473560959"/>
      <w:bookmarkStart w:id="559" w:name="_Toc473560960"/>
      <w:bookmarkStart w:id="560" w:name="_Toc473560961"/>
      <w:bookmarkStart w:id="561" w:name="_Toc473560962"/>
      <w:bookmarkStart w:id="562" w:name="_Toc473560963"/>
      <w:bookmarkStart w:id="563" w:name="_Toc473560964"/>
      <w:bookmarkStart w:id="564" w:name="_Toc473560965"/>
      <w:bookmarkStart w:id="565" w:name="_Toc473560966"/>
      <w:bookmarkStart w:id="566" w:name="_Toc473560967"/>
      <w:bookmarkStart w:id="567" w:name="_Toc473560968"/>
      <w:bookmarkStart w:id="568" w:name="_Toc473560969"/>
      <w:bookmarkStart w:id="569" w:name="_Toc473560970"/>
      <w:bookmarkStart w:id="570" w:name="_Toc473560989"/>
      <w:bookmarkStart w:id="571" w:name="_Toc473560990"/>
      <w:bookmarkStart w:id="572" w:name="_Toc473561022"/>
      <w:bookmarkStart w:id="573" w:name="_Toc473561023"/>
      <w:bookmarkStart w:id="574" w:name="_Toc15171447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2A677E">
        <w:rPr>
          <w:rFonts w:ascii="Times New Roman" w:hAnsi="Times New Roman" w:cs="Times New Roman"/>
          <w:sz w:val="24"/>
          <w:u w:val="none"/>
          <w:lang w:val="en-GB"/>
        </w:rPr>
        <w:t>4.2.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Operational Risk: Detailed information on losses in the last year (OPR DETAILS)</w:t>
      </w:r>
      <w:bookmarkEnd w:id="573"/>
      <w:bookmarkEnd w:id="574"/>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75" w:name="_Toc473561024"/>
      <w:bookmarkStart w:id="576" w:name="_Toc151714478"/>
      <w:r w:rsidRPr="002A677E">
        <w:rPr>
          <w:rFonts w:ascii="Times New Roman" w:hAnsi="Times New Roman" w:cs="Times New Roman"/>
          <w:sz w:val="24"/>
          <w:u w:val="none"/>
          <w:lang w:val="en-GB"/>
        </w:rPr>
        <w:t>4.2.1.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75"/>
      <w:bookmarkEnd w:id="576"/>
    </w:p>
    <w:p w14:paraId="2C97A2C8" w14:textId="6A21E294"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144</w:t>
      </w:r>
      <w:r>
        <w:fldChar w:fldCharType="end"/>
      </w:r>
      <w:r w:rsidR="00125707" w:rsidRPr="002A677E">
        <w:t>.</w:t>
      </w:r>
      <w:r w:rsidR="00125707" w:rsidRPr="002A677E">
        <w:tab/>
      </w:r>
      <w:r w:rsidR="005C14B0"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 Template C 17.02 (OPR DETAILS 2) provides detailed information on the largest loss events in the </w:t>
      </w:r>
      <w:r w:rsidR="001F6487" w:rsidRPr="002A677E">
        <w:t>most recent</w:t>
      </w:r>
      <w:r w:rsidR="00FD54FC" w:rsidRPr="002A677E">
        <w:t xml:space="preserve"> year. </w:t>
      </w:r>
    </w:p>
    <w:p w14:paraId="504CA18E" w14:textId="30FE4233"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145</w:t>
      </w:r>
      <w:r>
        <w:fldChar w:fldCharType="end"/>
      </w:r>
      <w:r w:rsidR="00125707" w:rsidRPr="002A677E">
        <w:t>.</w:t>
      </w:r>
      <w:r w:rsidR="005C14B0" w:rsidRPr="002A677E">
        <w:t xml:space="preserve"> </w:t>
      </w:r>
      <w:r w:rsidR="00FD54FC" w:rsidRPr="002A677E">
        <w:t>Operational risk losses that are related to credit risk and are subject to own funds requirements for credit risk (boundary credit-related operational risk events) are neither considered in template C 17.01 nor template C 17.02.</w:t>
      </w:r>
    </w:p>
    <w:p w14:paraId="26DEA8B1" w14:textId="253E70BA"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146</w:t>
      </w:r>
      <w:r>
        <w:fldChar w:fldCharType="end"/>
      </w:r>
      <w:r w:rsidR="00125707" w:rsidRPr="002A677E">
        <w:t>.</w:t>
      </w:r>
      <w:r w:rsidR="005C14B0" w:rsidRPr="002A677E">
        <w:t xml:space="preserve"> </w:t>
      </w:r>
      <w:r w:rsidR="00FD54FC" w:rsidRPr="002A677E">
        <w:t xml:space="preserve">In case of a combined use of different approaches for the calculation of own funds requirements for operational risk </w:t>
      </w:r>
      <w:r w:rsidR="00BB22D4" w:rsidRPr="002A677E">
        <w:t>in accordance with</w:t>
      </w:r>
      <w:r w:rsidR="00FD54FC" w:rsidRPr="002A677E">
        <w:t xml:space="preserve"> Article 314 </w:t>
      </w:r>
      <w:r w:rsidR="0095353C" w:rsidRPr="001235ED">
        <w:rPr>
          <w:lang w:val="en-US"/>
        </w:rPr>
        <w:t>of Regulation (EU) No 575/2013</w:t>
      </w:r>
      <w:r w:rsidR="00FD54FC" w:rsidRPr="002A677E">
        <w:t>, losses and recoveries registered by an institution shall be reported in C 17.0</w:t>
      </w:r>
      <w:r w:rsidR="00417984" w:rsidRPr="002A677E">
        <w:t>1</w:t>
      </w:r>
      <w:r w:rsidR="00FD54FC" w:rsidRPr="002A677E">
        <w:t xml:space="preserve"> and C 17.02</w:t>
      </w:r>
      <w:r w:rsidR="001F6487" w:rsidRPr="002A677E">
        <w:t>,</w:t>
      </w:r>
      <w:r w:rsidR="00FD54FC" w:rsidRPr="002A677E">
        <w:t xml:space="preserve"> irrespective of the approach applied to calculate own funds requirements.</w:t>
      </w:r>
    </w:p>
    <w:p w14:paraId="46FA5B8D" w14:textId="67774D02"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147</w:t>
      </w:r>
      <w: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 in</w:t>
      </w:r>
      <w:r w:rsidR="00402284">
        <w:t xml:space="preserve"> </w:t>
      </w:r>
      <w:r w:rsidR="0023276A" w:rsidRPr="002A677E">
        <w:t>Article 322(3)</w:t>
      </w:r>
      <w:r w:rsidR="00FD7CAF" w:rsidRPr="002A677E">
        <w:t>,</w:t>
      </w:r>
      <w:r w:rsidR="0023276A" w:rsidRPr="002A677E">
        <w:t xml:space="preserve"> </w:t>
      </w:r>
      <w:r w:rsidR="00FD7CAF" w:rsidRPr="002A677E">
        <w:t>point (b)</w:t>
      </w:r>
      <w:r w:rsidR="00BE1277">
        <w:t>,</w:t>
      </w:r>
      <w:r w:rsidR="00FD7CAF" w:rsidRPr="002A677E">
        <w:t xml:space="preserve"> </w:t>
      </w:r>
      <w:r w:rsidR="0095353C" w:rsidRPr="001235ED">
        <w:rPr>
          <w:lang w:val="en-US"/>
        </w:rPr>
        <w:t>of Regulation (EU) No 575/2013</w:t>
      </w:r>
      <w:r w:rsidR="0023276A" w:rsidRPr="002A677E">
        <w:t xml:space="preserve"> - </w:t>
      </w:r>
      <w:r w:rsidR="00FD54FC" w:rsidRPr="002A677E">
        <w:t xml:space="preserve">stemming from an operational risk event or </w:t>
      </w:r>
      <w:r w:rsidR="001F6487" w:rsidRPr="002A677E">
        <w:t xml:space="preserve">loss </w:t>
      </w:r>
      <w:r w:rsidR="00FD54FC" w:rsidRPr="002A677E">
        <w:t>event type</w:t>
      </w:r>
      <w:r w:rsidR="00402284">
        <w:t xml:space="preserve"> </w:t>
      </w:r>
      <w:r w:rsidR="00FD54FC" w:rsidRPr="002A677E">
        <w:t xml:space="preserve">before recoveries of any </w:t>
      </w:r>
      <w:r w:rsidR="0042594B" w:rsidRPr="002A677E">
        <w:t>kind</w:t>
      </w:r>
      <w:r w:rsidR="00FD54FC" w:rsidRPr="002A677E">
        <w:t xml:space="preserve">, without prejudice to “rapidly recovered loss events” as defined below. </w:t>
      </w:r>
    </w:p>
    <w:p w14:paraId="0D97147B" w14:textId="66D243D4"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148</w:t>
      </w:r>
      <w: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2A677E">
        <w:t xml:space="preserve">recoveries from insurance and other risk transfer mechanisms and </w:t>
      </w:r>
      <w:r w:rsidR="00FD54FC" w:rsidRPr="002A677E">
        <w:t>direct recoveries.</w:t>
      </w:r>
    </w:p>
    <w:p w14:paraId="77F96781" w14:textId="2B8110C1"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149</w:t>
      </w:r>
      <w: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116C95CE"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150</w:t>
      </w:r>
      <w: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 Th</w:t>
      </w:r>
      <w:r w:rsidR="001F6487" w:rsidRPr="002A677E">
        <w:t>o</w:t>
      </w:r>
      <w:r w:rsidR="00FD54FC" w:rsidRPr="002A677E">
        <w:t>s</w:t>
      </w:r>
      <w:r w:rsidR="001F6487" w:rsidRPr="002A677E">
        <w:t>e</w:t>
      </w:r>
      <w:r w:rsidR="00FD54FC" w:rsidRPr="002A677E">
        <w:t xml:space="preserve"> date logically follow the “Date of occurrence” (i.e. the date when the operational risk </w:t>
      </w:r>
      <w:r w:rsidR="00FD54FC" w:rsidRPr="002A677E">
        <w:lastRenderedPageBreak/>
        <w:t xml:space="preserve">event happened or first began) and the “Date of discovery” (i.e. the date on which the institution became aware of the operational risk event). </w:t>
      </w:r>
    </w:p>
    <w:p w14:paraId="6F9C7A18" w14:textId="0DBBC393"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151</w:t>
      </w:r>
      <w:r>
        <w:fldChar w:fldCharType="end"/>
      </w:r>
      <w:r w:rsidR="00125707" w:rsidRPr="002A677E">
        <w:t>.</w:t>
      </w:r>
      <w:r w:rsidR="00125707" w:rsidRPr="002A677E">
        <w:tab/>
      </w:r>
      <w:r w:rsidR="005C14B0" w:rsidRPr="002A677E">
        <w:t xml:space="preserve"> </w:t>
      </w:r>
      <w:r w:rsidR="00FD54FC" w:rsidRPr="002A677E">
        <w:t xml:space="preserve">Losses caused by a common operational risk event or by multiple events linked to an initial operational risk event generating events or losses (‘root-event’) are grouped. The grouped events shall be </w:t>
      </w:r>
      <w:r w:rsidR="008D30F0" w:rsidRPr="002A677E">
        <w:t xml:space="preserve">considered and </w:t>
      </w:r>
      <w:r w:rsidR="00FD54FC" w:rsidRPr="002A677E">
        <w:t>reported as one event</w:t>
      </w:r>
      <w:r w:rsidR="008D30F0" w:rsidRPr="002A677E">
        <w:t xml:space="preserve">, and thus the related </w:t>
      </w:r>
      <w:r w:rsidR="00FD54FC" w:rsidRPr="002A677E">
        <w:t>gross loss amounts</w:t>
      </w:r>
      <w:r w:rsidR="001F6487" w:rsidRPr="002A677E">
        <w:t>,</w:t>
      </w:r>
      <w:r w:rsidR="00FD54FC" w:rsidRPr="002A677E">
        <w:t xml:space="preserve"> respectively </w:t>
      </w:r>
      <w:r w:rsidR="008D30F0" w:rsidRPr="002A677E">
        <w:t xml:space="preserve">amounts of </w:t>
      </w:r>
      <w:r w:rsidR="00FD54FC" w:rsidRPr="002A677E">
        <w:t>loss adjustments</w:t>
      </w:r>
      <w:r w:rsidR="001F6487" w:rsidRPr="002A677E">
        <w:t>,</w:t>
      </w:r>
      <w:r w:rsidR="008D30F0" w:rsidRPr="002A677E">
        <w:t xml:space="preserve"> </w:t>
      </w:r>
      <w:r w:rsidR="00D30A68" w:rsidRPr="002A677E">
        <w:t xml:space="preserve">shall be </w:t>
      </w:r>
      <w:r w:rsidR="008D30F0" w:rsidRPr="002A677E">
        <w:t>summed up</w:t>
      </w:r>
      <w:r w:rsidR="00FD54FC" w:rsidRPr="002A677E">
        <w:t>.</w:t>
      </w:r>
    </w:p>
    <w:p w14:paraId="6104E60D" w14:textId="774A99AB"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152</w:t>
      </w:r>
      <w: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13FA59F7" w14:textId="77777777" w:rsidR="00FD54FC" w:rsidRPr="002A677E" w:rsidRDefault="00FD54FC" w:rsidP="00BE08DE">
      <w:pPr>
        <w:pStyle w:val="InstructionsText2"/>
        <w:numPr>
          <w:ilvl w:val="0"/>
          <w:numId w:val="0"/>
        </w:numPr>
        <w:ind w:left="993"/>
      </w:pPr>
    </w:p>
    <w:p w14:paraId="065A1906" w14:textId="563824E3" w:rsidR="00FD54FC" w:rsidRPr="002A677E" w:rsidRDefault="00125707" w:rsidP="006B56FF">
      <w:pPr>
        <w:pStyle w:val="Instructionsberschrift2"/>
        <w:numPr>
          <w:ilvl w:val="0"/>
          <w:numId w:val="0"/>
        </w:numPr>
        <w:rPr>
          <w:rFonts w:ascii="Times New Roman" w:hAnsi="Times New Roman" w:cs="Times New Roman"/>
          <w:sz w:val="24"/>
          <w:lang w:val="en-GB"/>
        </w:rPr>
      </w:pPr>
      <w:bookmarkStart w:id="577" w:name="_Toc473561025"/>
      <w:bookmarkStart w:id="578" w:name="_Toc15171447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577"/>
      <w:bookmarkEnd w:id="578"/>
    </w:p>
    <w:p w14:paraId="497EA8D0" w14:textId="77777777" w:rsidR="00FD54FC" w:rsidRPr="002A677E" w:rsidRDefault="00125707" w:rsidP="006B56FF">
      <w:pPr>
        <w:pStyle w:val="Instructionsberschrift2"/>
        <w:numPr>
          <w:ilvl w:val="0"/>
          <w:numId w:val="0"/>
        </w:numPr>
        <w:rPr>
          <w:rFonts w:ascii="Times New Roman" w:hAnsi="Times New Roman" w:cs="Times New Roman"/>
          <w:sz w:val="24"/>
          <w:lang w:val="en-GB"/>
        </w:rPr>
      </w:pPr>
      <w:bookmarkStart w:id="579" w:name="_Toc473561026"/>
      <w:bookmarkStart w:id="580" w:name="_Toc15171448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79"/>
      <w:bookmarkEnd w:id="580"/>
    </w:p>
    <w:p w14:paraId="1B1EFECB" w14:textId="03F628F7"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153</w:t>
      </w:r>
      <w:r>
        <w:fldChar w:fldCharType="end"/>
      </w:r>
      <w:r w:rsidR="00125707" w:rsidRPr="002A677E">
        <w:t>.</w:t>
      </w:r>
      <w:r w:rsidR="005C14B0" w:rsidRPr="002A677E">
        <w:t xml:space="preserve"> </w:t>
      </w:r>
      <w:r w:rsidR="00FD54FC" w:rsidRPr="002A677E">
        <w:t xml:space="preserve">In template C 17.01, the information </w:t>
      </w:r>
      <w:r w:rsidR="001F6487" w:rsidRPr="002A677E">
        <w:t>shall be</w:t>
      </w:r>
      <w:r w:rsidR="00FD54FC" w:rsidRPr="002A677E">
        <w:t xml:space="preserve"> presented by distributing the losses and recoveries above internal thresholds amongst business lines (as </w:t>
      </w:r>
      <w:r w:rsidR="001F6487" w:rsidRPr="002A677E">
        <w:t>listed</w:t>
      </w:r>
      <w:r w:rsidR="00FD54FC" w:rsidRPr="002A677E">
        <w:t xml:space="preserve"> in Article 317</w:t>
      </w:r>
      <w:r w:rsidR="00FD7CAF" w:rsidRPr="002A677E">
        <w:t>,</w:t>
      </w:r>
      <w:r w:rsidR="00133396" w:rsidRPr="002A677E">
        <w:t xml:space="preserve"> </w:t>
      </w:r>
      <w:r w:rsidR="00FD7CAF" w:rsidRPr="002A677E">
        <w:t xml:space="preserve">Table 2 </w:t>
      </w:r>
      <w:r w:rsidR="0095353C" w:rsidRPr="001235ED">
        <w:rPr>
          <w:lang w:val="en-US"/>
        </w:rPr>
        <w:t>of Regulation (EU) No 575/2013</w:t>
      </w:r>
      <w:r w:rsidR="001F6487" w:rsidRPr="002A677E">
        <w:t>,</w:t>
      </w:r>
      <w:r w:rsidR="00FD54FC" w:rsidRPr="002A677E">
        <w:t xml:space="preserve"> including the additional business line "</w:t>
      </w:r>
      <w:r w:rsidR="001F6487" w:rsidRPr="002A677E">
        <w:t>c</w:t>
      </w:r>
      <w:r w:rsidR="00FD54FC" w:rsidRPr="002A677E">
        <w:t>orporate items" referred to in Article 322(3)</w:t>
      </w:r>
      <w:r w:rsidR="00B83DDE">
        <w:t>, p</w:t>
      </w:r>
      <w:r w:rsidR="00FD7CAF" w:rsidRPr="002A677E">
        <w:t>oint (b)</w:t>
      </w:r>
      <w:r w:rsidR="00BE1277">
        <w:t>,</w:t>
      </w:r>
      <w:r w:rsidR="00FD7CAF" w:rsidRPr="002A677E">
        <w:t xml:space="preserve"> </w:t>
      </w:r>
      <w:r w:rsidR="0095353C" w:rsidRPr="001235ED">
        <w:rPr>
          <w:lang w:val="en-US"/>
        </w:rPr>
        <w:t>of Regulation (EU) No 575/2013</w:t>
      </w:r>
      <w:r w:rsidR="00FD54FC" w:rsidRPr="002A677E">
        <w:t xml:space="preserve">) </w:t>
      </w:r>
      <w:r w:rsidR="001F6487" w:rsidRPr="002A677E">
        <w:t xml:space="preserve">and loss </w:t>
      </w:r>
      <w:r w:rsidR="00FD54FC" w:rsidRPr="002A677E">
        <w:t xml:space="preserve">event types (as </w:t>
      </w:r>
      <w:r w:rsidR="001F6487" w:rsidRPr="002A677E">
        <w:t>referred to in</w:t>
      </w:r>
      <w:r w:rsidR="00FD54FC" w:rsidRPr="002A677E">
        <w:t xml:space="preserve"> in Article 324 </w:t>
      </w:r>
      <w:r w:rsidR="0095353C" w:rsidRPr="001235ED">
        <w:rPr>
          <w:lang w:val="en-US"/>
        </w:rPr>
        <w:t>of Regulation (EU) No 575/2013</w:t>
      </w:r>
      <w:r w:rsidR="001F6487" w:rsidRPr="002A677E">
        <w:t>). 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158E3851"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154</w:t>
      </w:r>
      <w: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0C1331D4"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155</w:t>
      </w:r>
      <w: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7D04DF12" w14:textId="576B408C"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156</w:t>
      </w:r>
      <w: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1" w:name="_Toc473561027"/>
      <w:bookmarkStart w:id="582" w:name="_Toc151714481"/>
      <w:r w:rsidRPr="002A677E">
        <w:rPr>
          <w:rFonts w:ascii="Times New Roman" w:hAnsi="Times New Roman" w:cs="Times New Roman"/>
          <w:sz w:val="24"/>
          <w:u w:val="none"/>
          <w:lang w:val="en-GB"/>
        </w:rPr>
        <w:lastRenderedPageBreak/>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81"/>
      <w:bookmarkEnd w:id="5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1960B08B" w:rsidR="00FD54FC" w:rsidRPr="002A677E" w:rsidRDefault="00FD54FC" w:rsidP="00FD54FC">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 xml:space="preserve">event types </w:t>
            </w:r>
            <w:r w:rsidR="001F6487" w:rsidRPr="002A677E">
              <w:rPr>
                <w:rFonts w:ascii="Times New Roman" w:hAnsi="Times New Roman"/>
                <w:sz w:val="24"/>
              </w:rPr>
              <w:t xml:space="preserve">referred to </w:t>
            </w:r>
            <w:r w:rsidRPr="002A677E">
              <w:rPr>
                <w:rFonts w:ascii="Times New Roman" w:hAnsi="Times New Roman"/>
                <w:sz w:val="24"/>
              </w:rPr>
              <w:t xml:space="preserve">in Article 324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Pr="002A677E">
              <w:rPr>
                <w:rFonts w:ascii="Times New Roman" w:hAnsi="Times New Roman"/>
                <w:sz w:val="24"/>
              </w:rPr>
              <w:t xml:space="preserve"> </w:t>
            </w:r>
          </w:p>
          <w:p w14:paraId="3023C2E3" w14:textId="77777777" w:rsidR="00FD54FC" w:rsidRPr="002A677E" w:rsidRDefault="00FD54FC" w:rsidP="00871877">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 xml:space="preserve">that calculate their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77777777"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they are using for the internal loss data collection in accordance with </w:t>
            </w:r>
            <w:r w:rsidR="00705025" w:rsidRPr="002A677E">
              <w:rPr>
                <w:rStyle w:val="InstructionsTabelleText"/>
                <w:rFonts w:ascii="Times New Roman" w:hAnsi="Times New Roman"/>
                <w:sz w:val="24"/>
              </w:rPr>
              <w:t>the last sentence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322(3)</w:t>
            </w:r>
            <w:r w:rsidR="00B83DDE">
              <w:rPr>
                <w:rStyle w:val="InstructionsTabelleText"/>
                <w:rFonts w:ascii="Times New Roman" w:hAnsi="Times New Roman"/>
                <w:sz w:val="24"/>
              </w:rPr>
              <w:t>, p</w:t>
            </w:r>
            <w:r w:rsidR="00FD7CAF"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D7CAF" w:rsidRPr="002A677E">
              <w:rPr>
                <w:rStyle w:val="InstructionsTabelleText"/>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77777777"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6AE7A7EF"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lastRenderedPageBreak/>
              <w:t xml:space="preserve">For each business line </w:t>
            </w:r>
            <w:r w:rsidR="001F6487" w:rsidRPr="002A677E">
              <w:rPr>
                <w:rFonts w:ascii="Times New Roman" w:hAnsi="Times New Roman"/>
                <w:sz w:val="24"/>
                <w:szCs w:val="24"/>
                <w:lang w:val="en-GB"/>
              </w:rPr>
              <w:t xml:space="preserve">referred to </w:t>
            </w:r>
            <w:r w:rsidRPr="002A677E">
              <w:rPr>
                <w:rFonts w:ascii="Times New Roman" w:hAnsi="Times New Roman"/>
                <w:sz w:val="24"/>
                <w:szCs w:val="24"/>
                <w:lang w:val="en-GB"/>
              </w:rPr>
              <w:t>in Article 317(4)</w:t>
            </w:r>
            <w:r w:rsidR="00FD7CAF" w:rsidRPr="002A677E">
              <w:rPr>
                <w:rFonts w:ascii="Times New Roman" w:hAnsi="Times New Roman"/>
                <w:sz w:val="24"/>
                <w:szCs w:val="24"/>
                <w:lang w:val="en-GB"/>
              </w:rPr>
              <w:t>,</w:t>
            </w:r>
            <w:r w:rsidR="00133396" w:rsidRPr="002A677E">
              <w:rPr>
                <w:rFonts w:ascii="Times New Roman" w:hAnsi="Times New Roman"/>
                <w:sz w:val="24"/>
                <w:szCs w:val="24"/>
                <w:lang w:val="en-GB"/>
              </w:rPr>
              <w:t xml:space="preserve"> </w:t>
            </w:r>
            <w:r w:rsidR="00FD7CAF" w:rsidRPr="002A677E">
              <w:rPr>
                <w:rFonts w:ascii="Times New Roman" w:hAnsi="Times New Roman"/>
                <w:sz w:val="24"/>
                <w:szCs w:val="24"/>
                <w:lang w:val="en-GB"/>
              </w:rPr>
              <w:t xml:space="preserve">Table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lang w:val="en-GB" w:eastAsia="de-DE"/>
              </w:rPr>
              <w:t>, including the additional business line "Corporate items" as referred to in</w:t>
            </w:r>
            <w:r w:rsidRPr="002A677E">
              <w:rPr>
                <w:rFonts w:ascii="Times New Roman" w:hAnsi="Times New Roman"/>
                <w:sz w:val="24"/>
                <w:szCs w:val="24"/>
                <w:lang w:val="en-GB"/>
              </w:rPr>
              <w:t xml:space="preserve"> Article 322(3)</w:t>
            </w:r>
            <w:r w:rsidR="00B83DDE">
              <w:rPr>
                <w:rFonts w:ascii="Times New Roman" w:hAnsi="Times New Roman"/>
                <w:sz w:val="24"/>
                <w:szCs w:val="24"/>
                <w:lang w:val="en-GB"/>
              </w:rPr>
              <w:t>, p</w:t>
            </w:r>
            <w:r w:rsidR="00FD7CAF" w:rsidRPr="002A677E">
              <w:rPr>
                <w:rFonts w:ascii="Times New Roman" w:hAnsi="Times New Roman"/>
                <w:sz w:val="24"/>
                <w:szCs w:val="24"/>
                <w:lang w:val="en-GB"/>
              </w:rPr>
              <w:t>oint (b)</w:t>
            </w:r>
            <w:r w:rsidR="00BE1277">
              <w:rPr>
                <w:rFonts w:ascii="Times New Roman" w:hAnsi="Times New Roman"/>
                <w:sz w:val="24"/>
                <w:szCs w:val="24"/>
                <w:lang w:val="en-GB"/>
              </w:rPr>
              <w:t>,</w:t>
            </w:r>
            <w:r w:rsidR="00FD7CAF" w:rsidRPr="002A677E">
              <w:rPr>
                <w:rFonts w:ascii="Times New Roman" w:hAnsi="Times New Roman"/>
                <w:sz w:val="24"/>
                <w:szCs w:val="24"/>
                <w:lang w:val="en-GB"/>
              </w:rPr>
              <w:t xml:space="preserve"> </w:t>
            </w:r>
            <w:r w:rsidR="0095353C" w:rsidRPr="001235ED">
              <w:rPr>
                <w:rFonts w:ascii="Times New Roman" w:hAnsi="Times New Roman"/>
                <w:sz w:val="24"/>
                <w:szCs w:val="24"/>
                <w:lang w:val="en-US"/>
              </w:rPr>
              <w:t>of that Regulation</w:t>
            </w:r>
            <w:r w:rsidRPr="002A677E">
              <w:rPr>
                <w:rFonts w:ascii="Times New Roman" w:hAnsi="Times New Roman"/>
                <w:sz w:val="24"/>
                <w:szCs w:val="24"/>
                <w:lang w:val="en-GB" w:eastAsia="de-DE"/>
              </w:rPr>
              <w:t xml:space="preserve">, and for each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 xml:space="preserve">event type, 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77777777"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 xml:space="preserve">Institutions that calculate their own funds requirement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accumulated 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765065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(e.g. direct charges</w:t>
            </w:r>
            <w:r w:rsidR="00B83DDE">
              <w:rPr>
                <w:rFonts w:ascii="Times New Roman" w:hAnsi="Times New Roman"/>
                <w:sz w:val="24"/>
                <w:lang w:eastAsia="de-DE"/>
              </w:rPr>
              <w:t>, p</w:t>
            </w:r>
            <w:r w:rsidRPr="002A677E">
              <w:rPr>
                <w:rFonts w:ascii="Times New Roman" w:hAnsi="Times New Roman"/>
                <w:sz w:val="24"/>
                <w:lang w:eastAsia="de-DE"/>
              </w:rPr>
              <w:t>rovisions, settlements). 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054BEE8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5A020C"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05060BFF" w14:textId="77777777" w:rsidR="00FD54FC" w:rsidRPr="002A677E" w:rsidRDefault="00FD54FC" w:rsidP="00FD54FC">
            <w:pPr>
              <w:rPr>
                <w:b/>
                <w:sz w:val="24"/>
                <w:lang w:eastAsia="nl-B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and other risk transfer mechanisms</w:t>
            </w:r>
          </w:p>
          <w:p w14:paraId="22B75DB4" w14:textId="4D0B897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which </w:t>
            </w:r>
            <w:r w:rsidR="00070AF9" w:rsidRPr="002A677E">
              <w:rPr>
                <w:rFonts w:ascii="Times New Roman" w:hAnsi="Times New Roman"/>
                <w:sz w:val="24"/>
                <w:lang w:eastAsia="de-DE"/>
              </w:rPr>
              <w:t xml:space="preserve">are subject to </w:t>
            </w:r>
            <w:r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77777777"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other risk transfer mechanisms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4FC2CB7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Provided that the institution has assigned all its losses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1F6487" w:rsidRPr="002A677E">
              <w:rPr>
                <w:rFonts w:ascii="Times New Roman" w:hAnsi="Times New Roman"/>
                <w:sz w:val="24"/>
                <w:lang w:eastAsia="de-DE"/>
              </w:rPr>
              <w:t>c</w:t>
            </w:r>
            <w:r w:rsidRPr="002A677E">
              <w:rPr>
                <w:rFonts w:ascii="Times New Roman" w:hAnsi="Times New Roman"/>
                <w:sz w:val="24"/>
                <w:lang w:eastAsia="de-DE"/>
              </w:rPr>
              <w:t>orporate items" as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00402284">
              <w:rPr>
                <w:rFonts w:ascii="Times New Roman" w:hAnsi="Times New Roman"/>
                <w:sz w:val="24"/>
                <w:lang w:val="en-US"/>
              </w:rPr>
              <w:t xml:space="preserve"> </w:t>
            </w:r>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480E808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r w:rsidR="001E0C80" w:rsidRPr="002A677E">
              <w:rPr>
                <w:rFonts w:ascii="Times New Roman" w:hAnsi="Times New Roman"/>
                <w:sz w:val="24"/>
                <w:lang w:eastAsia="de-DE"/>
              </w:rPr>
              <w:t xml:space="preserve">of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6F65D40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840) shall be reported. 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lastRenderedPageBreak/>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3084A6C1"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43DC5E56"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w:t>
            </w:r>
            <w:r w:rsidR="00402284">
              <w:rPr>
                <w:rFonts w:ascii="Times New Roman" w:hAnsi="Times New Roman"/>
                <w:sz w:val="24"/>
                <w:lang w:eastAsia="de-DE"/>
              </w:rPr>
              <w:t xml:space="preserve">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 xml:space="preserve">of that Regulation </w:t>
            </w:r>
            <w:r w:rsidRPr="002A677E">
              <w:rPr>
                <w:rFonts w:ascii="Times New Roman" w:hAnsi="Times New Roman"/>
                <w:sz w:val="24"/>
                <w:lang w:eastAsia="de-DE"/>
              </w:rPr>
              <w:t>respectively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0A0EAED2"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AB6610" w:rsidRPr="002A677E">
              <w:rPr>
                <w:rFonts w:ascii="Times New Roman" w:hAnsi="Times New Roman"/>
                <w:sz w:val="24"/>
                <w:lang w:eastAsia="de-DE"/>
              </w:rPr>
              <w:t xml:space="preserve"> 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70556728"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lastRenderedPageBreak/>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recovery from insurance and other risk transfer mechanisms</w:t>
            </w:r>
          </w:p>
          <w:p w14:paraId="105A6F22" w14:textId="5B15CC0A"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 xml:space="preserve">of that Regulation </w:t>
            </w:r>
            <w:r w:rsidRPr="002A677E">
              <w:rPr>
                <w:rFonts w:ascii="Times New Roman" w:hAnsi="Times New Roman"/>
                <w:sz w:val="24"/>
                <w:lang w:eastAsia="de-DE"/>
              </w:rPr>
              <w:t xml:space="preserve">, the total recovery from insurance and other risk transfer mechanisms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and other risk transfer mechanisms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3" w:name="_Toc473561028"/>
      <w:bookmarkStart w:id="584" w:name="_Toc15171448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583"/>
      <w:bookmarkEnd w:id="584"/>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5" w:name="_Toc473561029"/>
      <w:bookmarkStart w:id="586" w:name="_Toc15171448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85"/>
      <w:bookmarkEnd w:id="586"/>
    </w:p>
    <w:p w14:paraId="06D9B602" w14:textId="48980CFB"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157</w:t>
      </w:r>
      <w: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C36D606" w:rsidR="00FD54FC"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158</w:t>
      </w:r>
      <w: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BE08DE">
      <w:pPr>
        <w:pStyle w:val="InstructionsText2"/>
        <w:numPr>
          <w:ilvl w:val="0"/>
          <w:numId w:val="0"/>
        </w:numPr>
        <w:ind w:left="993"/>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BE08DE">
      <w:pPr>
        <w:pStyle w:val="InstructionsText2"/>
        <w:numPr>
          <w:ilvl w:val="0"/>
          <w:numId w:val="0"/>
        </w:numPr>
        <w:ind w:left="993"/>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2EBD59AE" w:rsidR="00F41508" w:rsidRPr="002A677E" w:rsidRDefault="008F3052" w:rsidP="00BE08DE">
      <w:pPr>
        <w:pStyle w:val="InstructionsText2"/>
        <w:numPr>
          <w:ilvl w:val="0"/>
          <w:numId w:val="0"/>
        </w:numPr>
        <w:ind w:left="993"/>
      </w:pPr>
      <w:r>
        <w:fldChar w:fldCharType="begin"/>
      </w:r>
      <w:r>
        <w:instrText>seq paragraphs</w:instrText>
      </w:r>
      <w:r>
        <w:fldChar w:fldCharType="separate"/>
      </w:r>
      <w:r w:rsidR="005E3D5A">
        <w:rPr>
          <w:noProof/>
        </w:rPr>
        <w:t>159</w:t>
      </w:r>
      <w: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BE08DE">
      <w:pPr>
        <w:pStyle w:val="InstructionsText2"/>
        <w:numPr>
          <w:ilvl w:val="0"/>
          <w:numId w:val="0"/>
        </w:numPr>
        <w:ind w:left="993"/>
      </w:pPr>
      <w:r w:rsidRPr="002A677E">
        <w:t>Subject to that threshold</w:t>
      </w:r>
      <w:r w:rsidR="00F41508" w:rsidRPr="002A677E">
        <w:t>:</w:t>
      </w:r>
    </w:p>
    <w:p w14:paraId="503143B8" w14:textId="1D0A0564" w:rsidR="00FD54FC" w:rsidRPr="002A677E" w:rsidRDefault="00125707" w:rsidP="00BE08DE">
      <w:pPr>
        <w:pStyle w:val="InstructionsText2"/>
        <w:numPr>
          <w:ilvl w:val="0"/>
          <w:numId w:val="0"/>
        </w:numPr>
        <w:ind w:left="993"/>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BE08DE">
      <w:pPr>
        <w:pStyle w:val="InstructionsText2"/>
        <w:numPr>
          <w:ilvl w:val="0"/>
          <w:numId w:val="0"/>
        </w:numPr>
        <w:ind w:left="993"/>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BE08DE">
      <w:pPr>
        <w:pStyle w:val="InstructionsText2"/>
        <w:numPr>
          <w:ilvl w:val="0"/>
          <w:numId w:val="0"/>
        </w:numPr>
        <w:ind w:left="993"/>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BE08DE">
      <w:pPr>
        <w:pStyle w:val="InstructionsText2"/>
        <w:numPr>
          <w:ilvl w:val="0"/>
          <w:numId w:val="0"/>
        </w:numPr>
        <w:ind w:left="993"/>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7" w:name="_Toc473561030"/>
      <w:bookmarkStart w:id="588" w:name="_Toc151714484"/>
      <w:r w:rsidRPr="002A677E">
        <w:rPr>
          <w:rFonts w:ascii="Times New Roman" w:hAnsi="Times New Roman" w:cs="Times New Roman"/>
          <w:sz w:val="24"/>
          <w:u w:val="none"/>
          <w:lang w:val="en-GB"/>
        </w:rPr>
        <w:lastRenderedPageBreak/>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87"/>
      <w:bookmarkEnd w:id="588"/>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247D93B0"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Pr="002A677E">
              <w:rPr>
                <w:rFonts w:ascii="Times New Roman" w:hAnsi="Times New Roman"/>
                <w:sz w:val="24"/>
                <w:lang w:eastAsia="de-DE"/>
              </w:rPr>
              <w:t>referred to</w:t>
            </w:r>
            <w:r w:rsidR="00FD54FC" w:rsidRPr="002A677E">
              <w:rPr>
                <w:rFonts w:ascii="Times New Roman" w:hAnsi="Times New Roman"/>
                <w:sz w:val="24"/>
                <w:lang w:eastAsia="de-DE"/>
              </w:rPr>
              <w:t xml:space="preserve"> in Article 324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E4192C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as </w:t>
            </w:r>
            <w:r w:rsidR="00F41508" w:rsidRPr="002A677E">
              <w:rPr>
                <w:rFonts w:ascii="Times New Roman" w:hAnsi="Times New Roman"/>
                <w:sz w:val="24"/>
                <w:lang w:eastAsia="de-DE"/>
              </w:rPr>
              <w:t xml:space="preserve">referred to </w:t>
            </w:r>
            <w:r w:rsidRPr="002A677E">
              <w:rPr>
                <w:rFonts w:ascii="Times New Roman" w:hAnsi="Times New Roman"/>
                <w:sz w:val="24"/>
                <w:lang w:eastAsia="de-DE"/>
              </w:rPr>
              <w:t>in</w:t>
            </w:r>
            <w:r w:rsidR="00F41508"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B6610" w:rsidRPr="002A677E">
              <w:rPr>
                <w:rFonts w:ascii="Times New Roman" w:hAnsi="Times New Roman"/>
                <w:sz w:val="24"/>
                <w:lang w:eastAsia="de-DE"/>
              </w:rPr>
              <w:t>and</w:t>
            </w:r>
            <w:r w:rsidR="0023276A" w:rsidRPr="002A677E">
              <w:rPr>
                <w:rFonts w:ascii="Times New Roman" w:hAnsi="Times New Roman"/>
                <w:sz w:val="24"/>
                <w:lang w:eastAsia="de-DE"/>
              </w:rPr>
              <w:t xml:space="preserve"> </w:t>
            </w:r>
            <w:r w:rsidR="00D24331" w:rsidRPr="002A677E">
              <w:rPr>
                <w:rFonts w:ascii="Times New Roman" w:hAnsi="Times New Roman"/>
                <w:sz w:val="24"/>
                <w:lang w:eastAsia="de-DE"/>
              </w:rPr>
              <w:t>Article 322(3)</w:t>
            </w:r>
            <w:r w:rsidR="00B83DDE">
              <w:rPr>
                <w:rFonts w:ascii="Times New Roman" w:hAnsi="Times New Roman"/>
                <w:sz w:val="24"/>
                <w:lang w:eastAsia="de-DE"/>
              </w:rPr>
              <w:t>, p</w:t>
            </w:r>
            <w:r w:rsidR="00D24331" w:rsidRPr="002A677E">
              <w:rPr>
                <w:rFonts w:ascii="Times New Roman" w:hAnsi="Times New Roman"/>
                <w:sz w:val="24"/>
                <w:lang w:eastAsia="de-DE"/>
              </w:rPr>
              <w:t>oint (b)</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that Regulation</w:t>
            </w:r>
            <w:r w:rsidRPr="002A677E">
              <w:rPr>
                <w:rFonts w:ascii="Times New Roman" w:hAnsi="Times New Roman"/>
                <w:sz w:val="24"/>
                <w:lang w:eastAsia="de-DE"/>
              </w:rPr>
              <w: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lastRenderedPageBreak/>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‘Non-LEI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9" w:name="_Toc295829995"/>
      <w:bookmarkStart w:id="590" w:name="_Toc262566425"/>
      <w:bookmarkStart w:id="591" w:name="_Toc308426671"/>
      <w:bookmarkStart w:id="592" w:name="_Toc310415056"/>
      <w:bookmarkStart w:id="593" w:name="_Toc360188391"/>
      <w:bookmarkStart w:id="594" w:name="_Toc473561031"/>
      <w:bookmarkStart w:id="595" w:name="_Toc151714485"/>
      <w:r w:rsidRPr="002A677E">
        <w:rPr>
          <w:rFonts w:ascii="Times New Roman" w:hAnsi="Times New Roman" w:cs="Times New Roman"/>
          <w:sz w:val="24"/>
          <w:u w:val="none"/>
          <w:lang w:val="en-GB"/>
        </w:rPr>
        <w:t>5.</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Market Risk Templates</w:t>
      </w:r>
      <w:bookmarkEnd w:id="589"/>
      <w:bookmarkEnd w:id="590"/>
      <w:bookmarkEnd w:id="591"/>
      <w:bookmarkEnd w:id="592"/>
      <w:bookmarkEnd w:id="593"/>
      <w:bookmarkEnd w:id="594"/>
      <w:bookmarkEnd w:id="595"/>
    </w:p>
    <w:bookmarkStart w:id="596" w:name="_Toc308426672"/>
    <w:p w14:paraId="3A680559" w14:textId="24DFA75C" w:rsidR="000B0B09" w:rsidRPr="002A677E" w:rsidRDefault="00771068" w:rsidP="00C112F8">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5E3D5A">
        <w:rPr>
          <w:noProof/>
        </w:rPr>
        <w:t>160</w:t>
      </w:r>
      <w:r w:rsidRPr="00624117">
        <w:fldChar w:fldCharType="end"/>
      </w:r>
      <w:r w:rsidR="00125707" w:rsidRPr="002A677E">
        <w:t>.</w:t>
      </w:r>
      <w:r w:rsidR="00125707" w:rsidRPr="002A677E">
        <w:tab/>
      </w:r>
      <w:r w:rsidR="005C14B0" w:rsidRPr="002A677E">
        <w:t xml:space="preserve"> </w:t>
      </w:r>
      <w:r w:rsidR="000B0B09" w:rsidRPr="002A677E">
        <w:t xml:space="preserve">These instructions refer to the templates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w:t>
      </w:r>
      <w:r w:rsidR="00CA21CA" w:rsidRPr="002A677E">
        <w:t>Standardised Approach</w:t>
      </w:r>
      <w:r w:rsidR="000B0B09" w:rsidRPr="002A677E">
        <w:t xml:space="preserve"> for foreign exchange risk (MKR SA FX), commodities risk (MKR SA COM)</w:t>
      </w:r>
      <w:r w:rsidR="00F41508" w:rsidRPr="002A677E">
        <w:t>,</w:t>
      </w:r>
      <w:r w:rsidR="000B0B09" w:rsidRPr="002A677E">
        <w:t xml:space="preserve"> interest rate risk (MKR SA TDI, MKR SA SEC, MKR SA CTP) and equity risk (MKR SA EQU). Additionally, instructions for the template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internal models approach (MKR IM) are included in this part. </w:t>
      </w:r>
    </w:p>
    <w:p w14:paraId="43A205D1" w14:textId="33242DD1" w:rsidR="000B0B09"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161</w:t>
      </w:r>
      <w:r>
        <w:fldChar w:fldCharType="end"/>
      </w:r>
      <w:r w:rsidR="00125707" w:rsidRPr="002A677E">
        <w:t>.</w:t>
      </w:r>
      <w:r w:rsidR="00125707" w:rsidRPr="002A677E">
        <w:tab/>
      </w:r>
      <w:r w:rsidR="005C14B0" w:rsidRPr="002A677E">
        <w:t xml:space="preserve"> </w:t>
      </w:r>
      <w:r w:rsidR="000B0B09" w:rsidRPr="002A677E">
        <w:t xml:space="preserve">The position risk on a traded debt instrument or equity (or debt or equity derivative) shall be divided into two components in order to calculate the capital required against it. The first shall be its specific-risk component — </w:t>
      </w:r>
      <w:r w:rsidR="00F41508" w:rsidRPr="002A677E">
        <w:t>that</w:t>
      </w:r>
      <w:r w:rsidR="000B0B09" w:rsidRPr="002A677E">
        <w:t xml:space="preserve"> is the risk of a price change in the instrument concerned due to factors related to its issuer or, in the case of a derivative, the issuer of the underlying instrument. The second component shall cover its general risk — th</w:t>
      </w:r>
      <w:r w:rsidR="00F41508" w:rsidRPr="002A677E">
        <w:t>at</w:t>
      </w:r>
      <w:r w:rsidR="000B0B09" w:rsidRPr="002A677E">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6"/>
      <w:r w:rsidR="000B0B09" w:rsidRPr="002A677E">
        <w:t xml:space="preserve">The general treatment of specific instruments and netting procedures can be found in Articles 326 to 333 </w:t>
      </w:r>
      <w:r w:rsidR="007062FD" w:rsidRPr="001235ED">
        <w:rPr>
          <w:lang w:val="en-US"/>
        </w:rPr>
        <w:t>of Regulation (EU) No 575/2013</w:t>
      </w:r>
      <w:r w:rsidR="000B0B09" w:rsidRPr="002A677E">
        <w:t xml:space="preserv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7" w:name="_Toc239157393"/>
      <w:bookmarkStart w:id="598" w:name="_Toc262566426"/>
      <w:bookmarkStart w:id="599" w:name="_Toc295829996"/>
      <w:bookmarkStart w:id="600" w:name="_Toc308426673"/>
      <w:bookmarkStart w:id="601" w:name="_Toc310415057"/>
      <w:bookmarkStart w:id="602" w:name="_Toc360188392"/>
      <w:bookmarkStart w:id="603" w:name="_Toc473561032"/>
      <w:bookmarkStart w:id="604" w:name="_Toc151714486"/>
      <w:r w:rsidRPr="002A677E">
        <w:rPr>
          <w:rFonts w:ascii="Times New Roman" w:hAnsi="Times New Roman" w:cs="Times New Roman"/>
          <w:sz w:val="24"/>
          <w:u w:val="none"/>
          <w:lang w:val="en-GB"/>
        </w:rPr>
        <w:t>5.1.</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18.00 </w:t>
      </w:r>
      <w:r w:rsidR="000B0B09" w:rsidRPr="002A677E">
        <w:rPr>
          <w:rFonts w:ascii="Times New Roman" w:hAnsi="Times New Roman" w:cs="Times New Roman"/>
          <w:sz w:val="24"/>
          <w:lang w:val="en-GB"/>
        </w:rPr>
        <w:t>– Market Risk: Standardised Approach for Position Risks in Traded Debt Instruments</w:t>
      </w:r>
      <w:bookmarkEnd w:id="597"/>
      <w:bookmarkEnd w:id="598"/>
      <w:bookmarkEnd w:id="599"/>
      <w:bookmarkEnd w:id="600"/>
      <w:bookmarkEnd w:id="601"/>
      <w:bookmarkEnd w:id="602"/>
      <w:r w:rsidR="008B73EE" w:rsidRPr="002A677E">
        <w:rPr>
          <w:rFonts w:ascii="Times New Roman" w:hAnsi="Times New Roman" w:cs="Times New Roman"/>
          <w:sz w:val="24"/>
          <w:lang w:val="en-GB"/>
        </w:rPr>
        <w:t xml:space="preserve"> (MKR SA TDI)</w:t>
      </w:r>
      <w:bookmarkEnd w:id="603"/>
      <w:bookmarkEnd w:id="604"/>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5" w:name="_Toc262566427"/>
      <w:bookmarkStart w:id="606" w:name="_Toc295829997"/>
      <w:bookmarkStart w:id="607" w:name="_Toc308426674"/>
      <w:bookmarkStart w:id="608" w:name="_Toc310415058"/>
      <w:bookmarkStart w:id="609" w:name="_Toc360188393"/>
      <w:bookmarkStart w:id="610" w:name="_Toc473561033"/>
      <w:bookmarkStart w:id="611" w:name="_Toc151714487"/>
      <w:r w:rsidRPr="002A677E">
        <w:rPr>
          <w:rFonts w:ascii="Times New Roman" w:hAnsi="Times New Roman" w:cs="Times New Roman"/>
          <w:sz w:val="24"/>
          <w:u w:val="none"/>
          <w:lang w:val="en-GB"/>
        </w:rPr>
        <w:t>5.1.1.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05"/>
      <w:bookmarkEnd w:id="606"/>
      <w:bookmarkEnd w:id="607"/>
      <w:bookmarkEnd w:id="608"/>
      <w:bookmarkEnd w:id="609"/>
      <w:bookmarkEnd w:id="610"/>
      <w:bookmarkEnd w:id="611"/>
    </w:p>
    <w:p w14:paraId="0D010E09" w14:textId="0DFE8A03" w:rsidR="000B0B09"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162</w:t>
      </w:r>
      <w:r>
        <w:fldChar w:fldCharType="end"/>
      </w:r>
      <w:r w:rsidR="00125707" w:rsidRPr="002A677E">
        <w:t>.</w:t>
      </w:r>
      <w:r w:rsidR="00125707" w:rsidRPr="002A677E">
        <w:tab/>
      </w:r>
      <w:r w:rsidR="005C14B0" w:rsidRPr="002A677E">
        <w:t xml:space="preserve"> </w:t>
      </w:r>
      <w:r w:rsidR="000B0B09" w:rsidRPr="002A677E">
        <w:t xml:space="preserve">This template captures the positions and the related own funds requirements for position risks on traded debt instruments under the </w:t>
      </w:r>
      <w:r w:rsidR="00CA21CA" w:rsidRPr="002A677E">
        <w:t>Standardised Approach</w:t>
      </w:r>
      <w:r w:rsidR="000B0B09" w:rsidRPr="002A677E">
        <w:t xml:space="preserve"> (Article </w:t>
      </w:r>
      <w:r w:rsidR="00EE2CD5" w:rsidRPr="002A677E">
        <w:t>325 (2)</w:t>
      </w:r>
      <w:r w:rsidR="00B83DDE">
        <w:t>, p</w:t>
      </w:r>
      <w:r w:rsidR="00D24331" w:rsidRPr="002A677E">
        <w:t>oint (a)</w:t>
      </w:r>
      <w:r w:rsidR="00CF5957">
        <w:t>,</w:t>
      </w:r>
      <w:r w:rsidR="00D24331" w:rsidRPr="002A677E">
        <w:t xml:space="preserve"> </w:t>
      </w:r>
      <w:r w:rsidR="007062FD" w:rsidRPr="001235ED">
        <w:rPr>
          <w:lang w:val="en-US"/>
        </w:rPr>
        <w:t>of Regulation (EU) No 575/2013</w:t>
      </w:r>
      <w:r w:rsidR="000B0B09" w:rsidRPr="002A677E">
        <w:t xml:space="preserve">). The different risks and methods available under </w:t>
      </w:r>
      <w:r w:rsidR="007062FD" w:rsidRPr="001235ED">
        <w:rPr>
          <w:lang w:val="en-US"/>
        </w:rPr>
        <w:t>of Regulation (EU) No 575/2013</w:t>
      </w:r>
      <w:r w:rsidR="000B0B09" w:rsidRPr="002A677E">
        <w:t xml:space="preserve"> are considered by rows. The specific risk associated with exposures included in MKR SA SEC and MKR SA CTP has </w:t>
      </w:r>
      <w:r w:rsidR="00F41508" w:rsidRPr="002A677E">
        <w:t xml:space="preserve">only </w:t>
      </w:r>
      <w:r w:rsidR="000B0B09" w:rsidRPr="002A677E">
        <w:t xml:space="preserve">to be reported in the Total template of the MKR SA TDI. The own funds requirements reported in those templates </w:t>
      </w:r>
      <w:r w:rsidR="00C93697" w:rsidRPr="002A677E">
        <w:t>shall</w:t>
      </w:r>
      <w:r w:rsidR="000B0B09" w:rsidRPr="002A677E">
        <w:t xml:space="preserve"> be transferred to cell {</w:t>
      </w:r>
      <w:r w:rsidR="00EE2CD5" w:rsidRPr="002A677E">
        <w:t>0</w:t>
      </w:r>
      <w:r w:rsidR="000B0B09" w:rsidRPr="002A677E">
        <w:t>325;</w:t>
      </w:r>
      <w:r w:rsidR="00EE2CD5" w:rsidRPr="002A677E">
        <w:t>0</w:t>
      </w:r>
      <w:r w:rsidR="000B0B09" w:rsidRPr="002A677E">
        <w:t>060} (securitisations) and {</w:t>
      </w:r>
      <w:r w:rsidR="00EE2CD5" w:rsidRPr="002A677E">
        <w:t>0</w:t>
      </w:r>
      <w:r w:rsidR="000B0B09" w:rsidRPr="002A677E">
        <w:t>330;</w:t>
      </w:r>
      <w:r w:rsidR="00EE2CD5" w:rsidRPr="002A677E">
        <w:t>0</w:t>
      </w:r>
      <w:r w:rsidR="000B0B09" w:rsidRPr="002A677E">
        <w:t>060} (CTP) respectively.</w:t>
      </w:r>
    </w:p>
    <w:p w14:paraId="7C8420A5" w14:textId="7848E1B2" w:rsidR="000B0B09" w:rsidRPr="002A677E" w:rsidRDefault="008F3052" w:rsidP="00C112F8">
      <w:pPr>
        <w:pStyle w:val="InstructionsText2"/>
        <w:numPr>
          <w:ilvl w:val="0"/>
          <w:numId w:val="0"/>
        </w:numPr>
        <w:ind w:left="993"/>
      </w:pPr>
      <w:r>
        <w:lastRenderedPageBreak/>
        <w:fldChar w:fldCharType="begin"/>
      </w:r>
      <w:r>
        <w:instrText>seq paragraphs</w:instrText>
      </w:r>
      <w:r>
        <w:fldChar w:fldCharType="separate"/>
      </w:r>
      <w:r w:rsidR="005E3D5A">
        <w:rPr>
          <w:noProof/>
        </w:rPr>
        <w:t>163</w:t>
      </w:r>
      <w: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pre-defined list of following currencies: </w:t>
      </w:r>
      <w:bookmarkStart w:id="612" w:name="OLE_LINK1"/>
      <w:r w:rsidR="00DE0157" w:rsidRPr="002A677E">
        <w:t>EUR, ALL, BGN, CZK, DKK, EGP, GBP, HUF, ISK, JPY, MKD, NOK</w:t>
      </w:r>
      <w:r w:rsidR="00B83DDE">
        <w:t xml:space="preserve">, </w:t>
      </w:r>
      <w:r w:rsidR="00D177A5">
        <w:t>P</w:t>
      </w:r>
      <w:r w:rsidR="00DE0157" w:rsidRPr="002A677E">
        <w:t xml:space="preserve">LN, RON, RUB, RSD, SEK, CHF, TRY, UAH, USD </w:t>
      </w:r>
      <w:bookmarkEnd w:id="612"/>
      <w:r w:rsidR="00DE0157" w:rsidRPr="002A677E">
        <w:t xml:space="preserve">and </w:t>
      </w:r>
      <w:r w:rsidR="000B0B09" w:rsidRPr="002A677E">
        <w:t xml:space="preserve">one residual </w:t>
      </w:r>
      <w:r w:rsidR="00480A69" w:rsidRPr="002A677E">
        <w:t>template</w:t>
      </w:r>
      <w:r w:rsidR="000B0B09" w:rsidRPr="002A677E">
        <w:t xml:space="preserve"> for all other currencies.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3" w:name="_Toc262566428"/>
      <w:bookmarkStart w:id="614" w:name="_Toc295829998"/>
      <w:bookmarkStart w:id="615" w:name="_Toc308426675"/>
      <w:bookmarkStart w:id="616" w:name="_Toc310415059"/>
      <w:bookmarkStart w:id="617" w:name="_Toc360188394"/>
      <w:bookmarkStart w:id="618" w:name="_Toc473561034"/>
      <w:bookmarkStart w:id="619" w:name="_Toc151714488"/>
      <w:r w:rsidRPr="002A677E">
        <w:rPr>
          <w:rFonts w:ascii="Times New Roman" w:hAnsi="Times New Roman" w:cs="Times New Roman"/>
          <w:sz w:val="24"/>
          <w:u w:val="none"/>
          <w:lang w:val="en-GB"/>
        </w:rPr>
        <w:t>5.1.2.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13"/>
      <w:bookmarkEnd w:id="614"/>
      <w:bookmarkEnd w:id="615"/>
      <w:bookmarkEnd w:id="616"/>
      <w:bookmarkEnd w:id="617"/>
      <w:bookmarkEnd w:id="618"/>
      <w:bookmarkEnd w:id="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EC2E9B"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0C799784" w14:textId="11C18BEB"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Article 102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2A677E">
              <w:rPr>
                <w:rFonts w:ascii="Times New Roman" w:hAnsi="Times New Roman"/>
                <w:sz w:val="24"/>
                <w:lang w:eastAsia="de-DE"/>
              </w:rPr>
              <w:t xml:space="preserve">in accordance with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first subparagraph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Regarding the distinction between Long and Short positions, also applicable to these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38649486" w14:textId="21B59DB4" w:rsidR="000B0B09" w:rsidRPr="002A677E" w:rsidRDefault="000B0B09" w:rsidP="005B04C9">
            <w:pPr>
              <w:rPr>
                <w:rFonts w:ascii="Times New Roman" w:hAnsi="Times New Roman"/>
                <w:sz w:val="24"/>
                <w:lang w:eastAsia="nl-BE"/>
              </w:rPr>
            </w:pPr>
            <w:r w:rsidRPr="002A677E">
              <w:rPr>
                <w:rFonts w:ascii="Times New Roman" w:hAnsi="Times New Roman"/>
                <w:sz w:val="24"/>
                <w:lang w:eastAsia="de-DE"/>
              </w:rPr>
              <w:t xml:space="preserve">Articles 327 to 329 and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 xml:space="preserve">334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Regarding the distinction between Long and Short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76B658E5" w14:textId="104F8165" w:rsidR="000B0B09" w:rsidRPr="002A677E" w:rsidRDefault="000B0B09" w:rsidP="007079CE">
            <w:pPr>
              <w:rPr>
                <w:rFonts w:ascii="Times New Roman" w:hAnsi="Times New Roman"/>
                <w:b/>
                <w:bCs/>
                <w:sz w:val="24"/>
                <w:u w:val="single"/>
                <w:lang w:eastAsia="nl-B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receive a capital charge.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55F3618B" w14:textId="3706C532"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r w:rsidR="004239CE">
              <w:rPr>
                <w:rFonts w:ascii="Times New Roman" w:hAnsi="Times New Roman"/>
                <w:b/>
                <w:bCs/>
                <w:sz w:val="24"/>
                <w:u w:val="single"/>
                <w:lang w:eastAsia="nl-BE"/>
              </w:rPr>
              <w:t xml:space="preserve"> BEFORE APPLICATION OF SCALING FACTORS</w:t>
            </w:r>
          </w:p>
          <w:p w14:paraId="74F1F61F" w14:textId="1F07526B" w:rsidR="000B0B09" w:rsidRPr="002A677E" w:rsidRDefault="000B0B09" w:rsidP="005B04C9">
            <w:pPr>
              <w:rPr>
                <w:rFonts w:ascii="Times New Roman" w:hAnsi="Times New Roman"/>
                <w:b/>
                <w:bCs/>
                <w:sz w:val="24"/>
                <w:u w:val="single"/>
                <w:lang w:eastAsia="nl-BE"/>
              </w:rPr>
            </w:pPr>
            <w:r w:rsidRPr="002A677E">
              <w:rPr>
                <w:rFonts w:ascii="Times New Roman" w:hAnsi="Times New Roman"/>
                <w:sz w:val="24"/>
                <w:lang w:eastAsia="de-DE"/>
              </w:rPr>
              <w:t xml:space="preserve">The </w:t>
            </w:r>
            <w:r w:rsidR="00BB6834">
              <w:rPr>
                <w:rFonts w:ascii="Times New Roman" w:hAnsi="Times New Roman"/>
                <w:sz w:val="24"/>
                <w:lang w:eastAsia="de-DE"/>
              </w:rPr>
              <w:t>own funds requirement</w:t>
            </w:r>
            <w:r w:rsidRPr="002A677E">
              <w:rPr>
                <w:rFonts w:ascii="Times New Roman" w:hAnsi="Times New Roman"/>
                <w:sz w:val="24"/>
                <w:lang w:eastAsia="de-DE"/>
              </w:rPr>
              <w:t xml:space="preserv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Part Three, Title IV, Chapter 2</w:t>
            </w:r>
            <w:r w:rsidR="00BB6834">
              <w:rPr>
                <w:rFonts w:ascii="Times New Roman" w:hAnsi="Times New Roman"/>
                <w:sz w:val="24"/>
                <w:lang w:eastAsia="de-DE"/>
              </w:rPr>
              <w:t>,</w:t>
            </w:r>
            <w:r w:rsidR="00402284">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4239CE">
              <w:rPr>
                <w:rFonts w:ascii="Times New Roman" w:hAnsi="Times New Roman"/>
                <w:sz w:val="24"/>
                <w:lang w:val="en-US"/>
              </w:rPr>
              <w:t>, before the application of the scaling factors stipulated in Article 325</w:t>
            </w:r>
            <w:r w:rsidR="00435524">
              <w:rPr>
                <w:rFonts w:ascii="Times New Roman" w:hAnsi="Times New Roman"/>
                <w:sz w:val="24"/>
                <w:lang w:val="en-US"/>
              </w:rPr>
              <w:t>(2), point (a), of that Regulation</w:t>
            </w:r>
            <w:r w:rsidRPr="002A677E">
              <w:rPr>
                <w:rFonts w:ascii="Times New Roman" w:hAnsi="Times New Roman"/>
                <w:sz w:val="24"/>
                <w:lang w:eastAsia="de-DE"/>
              </w:rPr>
              <w:t>.</w:t>
            </w:r>
          </w:p>
        </w:tc>
      </w:tr>
      <w:tr w:rsidR="000B0B09" w:rsidRPr="002A677E" w14:paraId="56717AD1" w14:textId="77777777" w:rsidTr="00672D2A">
        <w:tc>
          <w:tcPr>
            <w:tcW w:w="988" w:type="dxa"/>
          </w:tcPr>
          <w:p w14:paraId="0D4A61CE" w14:textId="76F183F2"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w:t>
            </w:r>
            <w:r w:rsidR="00D16076">
              <w:rPr>
                <w:rFonts w:ascii="Times New Roman" w:hAnsi="Times New Roman"/>
                <w:sz w:val="24"/>
                <w:lang w:eastAsia="nl-BE"/>
              </w:rPr>
              <w:t>1</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2B71E9D1" w14:textId="77777777" w:rsidR="000C566F" w:rsidRDefault="000B0B09" w:rsidP="00D24331">
            <w:pPr>
              <w:rPr>
                <w:rFonts w:ascii="Times New Roman" w:hAnsi="Times New Roman"/>
                <w:sz w:val="24"/>
                <w:lang w:val="en-US"/>
              </w:rPr>
            </w:pPr>
            <w:r w:rsidRPr="002A677E">
              <w:rPr>
                <w:rFonts w:ascii="Times New Roman" w:hAnsi="Times New Roman"/>
                <w:sz w:val="24"/>
                <w:lang w:eastAsia="de-DE"/>
              </w:rPr>
              <w:t>Article 92(4)</w:t>
            </w:r>
            <w:r w:rsidR="00D24331" w:rsidRPr="002A677E">
              <w:rPr>
                <w:rFonts w:ascii="Times New Roman" w:hAnsi="Times New Roman"/>
                <w:sz w:val="24"/>
                <w:lang w:eastAsia="de-DE"/>
              </w:rPr>
              <w:t>,</w:t>
            </w:r>
            <w:r w:rsidR="00BE1277">
              <w:rPr>
                <w:rFonts w:ascii="Times New Roman" w:hAnsi="Times New Roman"/>
                <w:sz w:val="24"/>
                <w:lang w:eastAsia="de-DE"/>
              </w:rPr>
              <w:t xml:space="preserve"> </w:t>
            </w:r>
            <w:r w:rsidR="00D24331" w:rsidRPr="002A677E">
              <w:rPr>
                <w:rFonts w:ascii="Times New Roman" w:hAnsi="Times New Roman"/>
                <w:sz w:val="24"/>
                <w:lang w:eastAsia="de-DE"/>
              </w:rPr>
              <w:t>p</w:t>
            </w:r>
            <w:r w:rsidR="00D24331" w:rsidRPr="002A677E">
              <w:rPr>
                <w:rFonts w:ascii="Times New Roman" w:hAnsi="Times New Roman"/>
                <w:sz w:val="24"/>
              </w:rPr>
              <w:t>oint (b)</w:t>
            </w:r>
            <w:r w:rsidR="000C566F">
              <w:rPr>
                <w:rFonts w:ascii="Times New Roman" w:hAnsi="Times New Roman"/>
                <w:sz w:val="24"/>
              </w:rPr>
              <w:t>(i</w:t>
            </w:r>
            <w:r w:rsidR="00D24331" w:rsidRPr="002A677E">
              <w:rPr>
                <w:rFonts w:ascii="Times New Roman" w:hAnsi="Times New Roman"/>
                <w:sz w:val="24"/>
              </w:rPr>
              <w:t>)</w:t>
            </w:r>
            <w:r w:rsidR="00BE1277">
              <w:rPr>
                <w:rFonts w:ascii="Times New Roman" w:hAnsi="Times New Roman"/>
                <w:sz w:val="24"/>
              </w:rPr>
              <w:t>,</w:t>
            </w:r>
            <w:r w:rsidR="00D24331" w:rsidRPr="002A677E">
              <w:rPr>
                <w:rFonts w:ascii="Times New Roman" w:hAnsi="Times New Roman"/>
                <w:sz w:val="24"/>
              </w:rPr>
              <w:t xml:space="preserve"> </w:t>
            </w:r>
            <w:r w:rsidR="007062FD" w:rsidRPr="001235ED">
              <w:rPr>
                <w:rFonts w:ascii="Times New Roman" w:hAnsi="Times New Roman"/>
                <w:sz w:val="24"/>
                <w:lang w:val="en-US"/>
              </w:rPr>
              <w:t>of Regulation (EU) No 575/2013</w:t>
            </w:r>
          </w:p>
          <w:p w14:paraId="2C4B0E54" w14:textId="3A408167"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w:t>
            </w:r>
            <w:r w:rsidR="000C566F">
              <w:rPr>
                <w:rFonts w:ascii="Times New Roman" w:hAnsi="Times New Roman"/>
                <w:sz w:val="24"/>
                <w:lang w:eastAsia="de-DE"/>
              </w:rPr>
              <w:t xml:space="preserve"> </w:t>
            </w:r>
            <w:r w:rsidRPr="002A677E">
              <w:rPr>
                <w:rFonts w:ascii="Times New Roman" w:hAnsi="Times New Roman"/>
                <w:sz w:val="24"/>
                <w:lang w:eastAsia="de-DE"/>
              </w:rPr>
              <w:t>by 12</w:t>
            </w:r>
            <w:r w:rsidR="00F41508" w:rsidRPr="002A677E">
              <w:rPr>
                <w:rFonts w:ascii="Times New Roman" w:hAnsi="Times New Roman"/>
                <w:sz w:val="24"/>
                <w:lang w:eastAsia="de-DE"/>
              </w:rPr>
              <w:t>,</w:t>
            </w:r>
            <w:r w:rsidRPr="002A677E">
              <w:rPr>
                <w:rFonts w:ascii="Times New Roman" w:hAnsi="Times New Roman"/>
                <w:sz w:val="24"/>
                <w:lang w:eastAsia="de-DE"/>
              </w:rPr>
              <w:t>5</w:t>
            </w:r>
            <w:r w:rsidR="000C566F">
              <w:rPr>
                <w:rFonts w:ascii="Times New Roman" w:hAnsi="Times New Roman"/>
                <w:sz w:val="24"/>
                <w:lang w:eastAsia="de-DE"/>
              </w:rPr>
              <w:t xml:space="preserve"> in accordance with Article 92</w:t>
            </w:r>
            <w:r w:rsidR="009F4D25">
              <w:rPr>
                <w:rFonts w:ascii="Times New Roman" w:hAnsi="Times New Roman"/>
                <w:sz w:val="24"/>
                <w:lang w:eastAsia="de-DE"/>
              </w:rPr>
              <w:t>(</w:t>
            </w:r>
            <w:r w:rsidR="000C566F">
              <w:rPr>
                <w:rFonts w:ascii="Times New Roman" w:hAnsi="Times New Roman"/>
                <w:sz w:val="24"/>
                <w:lang w:eastAsia="de-DE"/>
              </w:rPr>
              <w:t>7), point (b)</w:t>
            </w:r>
            <w:r w:rsidR="00435524">
              <w:rPr>
                <w:rFonts w:ascii="Times New Roman" w:hAnsi="Times New Roman"/>
                <w:sz w:val="24"/>
                <w:lang w:eastAsia="de-DE"/>
              </w:rPr>
              <w:t xml:space="preserve">, </w:t>
            </w:r>
            <w:r w:rsidR="009F4D25">
              <w:rPr>
                <w:rFonts w:ascii="Times New Roman" w:hAnsi="Times New Roman"/>
                <w:sz w:val="24"/>
                <w:lang w:eastAsia="de-DE"/>
              </w:rPr>
              <w:t>of Regulation (EU) No 575/2013,</w:t>
            </w:r>
            <w:r w:rsidR="00435524">
              <w:rPr>
                <w:rFonts w:ascii="Times New Roman" w:hAnsi="Times New Roman"/>
                <w:sz w:val="24"/>
                <w:lang w:eastAsia="de-DE"/>
              </w:rPr>
              <w:t xml:space="preserve"> and </w:t>
            </w:r>
            <w:r w:rsidR="00760D23">
              <w:rPr>
                <w:rFonts w:ascii="Times New Roman" w:hAnsi="Times New Roman"/>
                <w:sz w:val="24"/>
                <w:lang w:eastAsia="de-DE"/>
              </w:rPr>
              <w:t xml:space="preserve">by </w:t>
            </w:r>
            <w:r w:rsidR="00435524">
              <w:rPr>
                <w:rFonts w:ascii="Times New Roman" w:hAnsi="Times New Roman"/>
                <w:sz w:val="24"/>
                <w:lang w:eastAsia="de-DE"/>
              </w:rPr>
              <w:t>the applicable scaling factor in accordance with Article 325</w:t>
            </w:r>
            <w:r w:rsidR="00AC279D">
              <w:rPr>
                <w:rFonts w:ascii="Times New Roman" w:hAnsi="Times New Roman"/>
                <w:sz w:val="24"/>
                <w:lang w:eastAsia="de-DE"/>
              </w:rPr>
              <w:t>(2)</w:t>
            </w:r>
            <w:r w:rsidR="0025582E">
              <w:rPr>
                <w:rFonts w:ascii="Times New Roman" w:hAnsi="Times New Roman"/>
                <w:sz w:val="24"/>
                <w:lang w:eastAsia="de-DE"/>
              </w:rPr>
              <w:t>, point</w:t>
            </w:r>
            <w:r w:rsidR="0047449F">
              <w:rPr>
                <w:rFonts w:ascii="Times New Roman" w:hAnsi="Times New Roman"/>
                <w:sz w:val="24"/>
                <w:lang w:eastAsia="de-DE"/>
              </w:rPr>
              <w:t>s</w:t>
            </w:r>
            <w:r w:rsidR="0025582E">
              <w:rPr>
                <w:rFonts w:ascii="Times New Roman" w:hAnsi="Times New Roman"/>
                <w:sz w:val="24"/>
                <w:lang w:eastAsia="de-DE"/>
              </w:rPr>
              <w:t xml:space="preserve"> (a)(i)</w:t>
            </w:r>
            <w:r w:rsidR="0047449F">
              <w:rPr>
                <w:rFonts w:ascii="Times New Roman" w:hAnsi="Times New Roman"/>
                <w:sz w:val="24"/>
                <w:lang w:eastAsia="de-DE"/>
              </w:rPr>
              <w:t xml:space="preserve"> and (d</w:t>
            </w:r>
            <w:r w:rsidR="0025582E">
              <w:rPr>
                <w:rFonts w:ascii="Times New Roman" w:hAnsi="Times New Roman"/>
                <w:sz w:val="24"/>
                <w:lang w:eastAsia="de-DE"/>
              </w:rPr>
              <w:t>),</w:t>
            </w:r>
            <w:r w:rsidR="00AC279D">
              <w:rPr>
                <w:rFonts w:ascii="Times New Roman" w:hAnsi="Times New Roman"/>
                <w:sz w:val="24"/>
                <w:lang w:eastAsia="de-DE"/>
              </w:rPr>
              <w:t xml:space="preserve"> of that Regulation</w:t>
            </w:r>
            <w:r w:rsidRPr="002A677E">
              <w:rPr>
                <w:rFonts w:ascii="Times New Roman" w:hAnsi="Times New Roman"/>
                <w:sz w:val="24"/>
                <w:lang w:eastAsia="de-DE"/>
              </w:rPr>
              <w:t xml:space="preserve">.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 IN TRADING BOOK</w:t>
            </w:r>
          </w:p>
          <w:p w14:paraId="12C841B7" w14:textId="57B11C97"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Positions in traded debt instruments in Trading Book and their correspondent own funds requirements for position risk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w:t>
            </w:r>
            <w:r w:rsidR="003903BE">
              <w:rPr>
                <w:rFonts w:ascii="Times New Roman" w:hAnsi="Times New Roman"/>
                <w:sz w:val="24"/>
                <w:lang w:eastAsia="de-DE"/>
              </w:rPr>
              <w:t>4</w:t>
            </w:r>
            <w:r w:rsidRPr="002A677E">
              <w:rPr>
                <w:rFonts w:ascii="Times New Roman" w:hAnsi="Times New Roman"/>
                <w:sz w:val="24"/>
                <w:lang w:eastAsia="de-DE"/>
              </w:rPr>
              <w:t>)</w:t>
            </w:r>
            <w:r w:rsidR="00B83DDE">
              <w:rPr>
                <w:rFonts w:ascii="Times New Roman" w:hAnsi="Times New Roman"/>
                <w:sz w:val="24"/>
                <w:lang w:eastAsia="de-DE"/>
              </w:rPr>
              <w:t>, p</w:t>
            </w:r>
            <w:r w:rsidR="00D24331" w:rsidRPr="002A677E">
              <w:rPr>
                <w:rFonts w:ascii="Times New Roman" w:hAnsi="Times New Roman"/>
                <w:sz w:val="24"/>
                <w:lang w:eastAsia="de-DE"/>
              </w:rPr>
              <w:t xml:space="preserve">oint (b)(i)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w:t>
            </w:r>
            <w:r w:rsidR="00F41508" w:rsidRPr="002A677E">
              <w:rPr>
                <w:rFonts w:ascii="Times New Roman" w:hAnsi="Times New Roman"/>
                <w:sz w:val="24"/>
                <w:lang w:eastAsia="de-DE"/>
              </w:rPr>
              <w:t xml:space="preserve">of of </w:t>
            </w:r>
            <w:r w:rsidR="00097A17" w:rsidRPr="002A677E">
              <w:rPr>
                <w:rFonts w:ascii="Times New Roman" w:hAnsi="Times New Roman"/>
                <w:sz w:val="24"/>
                <w:lang w:eastAsia="de-DE"/>
              </w:rPr>
              <w:t>Part Three</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Chapter 2, Title IV </w:t>
            </w:r>
            <w:r w:rsidR="007062FD" w:rsidRPr="001235ED">
              <w:rPr>
                <w:rFonts w:ascii="Times New Roman" w:hAnsi="Times New Roman"/>
                <w:sz w:val="24"/>
                <w:lang w:val="en-US"/>
              </w:rPr>
              <w:lastRenderedPageBreak/>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depending on risk category, maturity and approach used.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b/>
                <w:bCs/>
                <w:sz w:val="24"/>
                <w:u w:val="single"/>
                <w:lang w:eastAsia="nl-BE"/>
              </w:rPr>
              <w:t xml:space="preserve">GENERAL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Derivatives</w:t>
            </w:r>
          </w:p>
          <w:p w14:paraId="06C530F0" w14:textId="7A78F919"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Derivatives included in the calculation of interest rate risk of trading book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taking into account Articles 328 to 331</w:t>
            </w:r>
            <w:r w:rsidR="00F41508"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w:t>
            </w:r>
          </w:p>
          <w:p w14:paraId="665719C9" w14:textId="77777777"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 xml:space="preserve">Instruments other than derivatives included in the calculation of interest rate risk of trading book positions.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MATURITY BASED APPROACH</w:t>
            </w:r>
          </w:p>
          <w:p w14:paraId="644A7531" w14:textId="609558C7"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Positions in traded debt instruments subject to the maturity-based approach</w:t>
            </w:r>
            <w:r w:rsidR="00402284">
              <w:rPr>
                <w:rFonts w:ascii="Times New Roman" w:hAnsi="Times New Roman"/>
                <w:sz w:val="24"/>
                <w:lang w:eastAsia="de-DE"/>
              </w:rPr>
              <w:t xml:space="preserve">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Article 339</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339(9)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 and th</w:t>
            </w:r>
            <w:r w:rsidR="00F41508" w:rsidRPr="002A677E">
              <w:rPr>
                <w:rFonts w:ascii="Times New Roman" w:hAnsi="Times New Roman"/>
                <w:sz w:val="24"/>
                <w:lang w:eastAsia="de-DE"/>
              </w:rPr>
              <w:t>o</w:t>
            </w:r>
            <w:r w:rsidRPr="002A677E">
              <w:rPr>
                <w:rFonts w:ascii="Times New Roman" w:hAnsi="Times New Roman"/>
                <w:sz w:val="24"/>
                <w:lang w:eastAsia="de-DE"/>
              </w:rPr>
              <w:t>se</w:t>
            </w:r>
            <w:r w:rsidR="00F41508" w:rsidRPr="002A677E">
              <w:rPr>
                <w:rFonts w:ascii="Times New Roman" w:hAnsi="Times New Roman"/>
                <w:sz w:val="24"/>
                <w:lang w:eastAsia="de-DE"/>
              </w:rPr>
              <w:t xml:space="preserve"> zones</w:t>
            </w:r>
            <w:r w:rsidR="0023276A" w:rsidRPr="002A677E">
              <w:rPr>
                <w:rFonts w:ascii="Times New Roman" w:hAnsi="Times New Roman"/>
                <w:sz w:val="24"/>
                <w:lang w:eastAsia="de-DE"/>
              </w:rPr>
              <w:t xml:space="preserve"> shall be split</w:t>
            </w:r>
            <w:r w:rsidRPr="002A677E">
              <w:rPr>
                <w:rFonts w:ascii="Times New Roman" w:hAnsi="Times New Roman"/>
                <w:sz w:val="24"/>
                <w:lang w:eastAsia="de-DE"/>
              </w:rPr>
              <w:t xml:space="preserve"> by the maturity of the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GENERAL RISK. DURATION BASED APPROACH</w:t>
            </w:r>
          </w:p>
          <w:p w14:paraId="08171DB1" w14:textId="1FFC6791"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duration-based approach </w:t>
            </w:r>
            <w:r w:rsidR="00F41508" w:rsidRPr="002A677E">
              <w:rPr>
                <w:rFonts w:ascii="Times New Roman" w:hAnsi="Times New Roman"/>
                <w:sz w:val="24"/>
                <w:lang w:eastAsia="de-DE"/>
              </w:rPr>
              <w:t>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340</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6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340(7)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SPECIFIC RISK</w:t>
            </w:r>
          </w:p>
          <w:p w14:paraId="29C6E3D0" w14:textId="77777777"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Sum of amounts reported in rows </w:t>
            </w:r>
            <w:r w:rsidR="00EE2CD5" w:rsidRPr="002A677E">
              <w:rPr>
                <w:rFonts w:ascii="Times New Roman" w:hAnsi="Times New Roman"/>
                <w:sz w:val="24"/>
                <w:lang w:eastAsia="de-DE"/>
              </w:rPr>
              <w:t>0</w:t>
            </w:r>
            <w:r w:rsidRPr="002A677E">
              <w:rPr>
                <w:rFonts w:ascii="Times New Roman" w:hAnsi="Times New Roman"/>
                <w:sz w:val="24"/>
                <w:lang w:eastAsia="de-DE"/>
              </w:rPr>
              <w:t xml:space="preserve">251, </w:t>
            </w:r>
            <w:r w:rsidR="00EE2CD5" w:rsidRPr="002A677E">
              <w:rPr>
                <w:rFonts w:ascii="Times New Roman" w:hAnsi="Times New Roman"/>
                <w:sz w:val="24"/>
                <w:lang w:eastAsia="de-DE"/>
              </w:rPr>
              <w:t>0</w:t>
            </w:r>
            <w:r w:rsidRPr="002A677E">
              <w:rPr>
                <w:rFonts w:ascii="Times New Roman" w:hAnsi="Times New Roman"/>
                <w:sz w:val="24"/>
                <w:lang w:eastAsia="de-DE"/>
              </w:rPr>
              <w:t xml:space="preserve">325 and </w:t>
            </w:r>
            <w:r w:rsidR="00EE2CD5" w:rsidRPr="002A677E">
              <w:rPr>
                <w:rFonts w:ascii="Times New Roman" w:hAnsi="Times New Roman"/>
                <w:sz w:val="24"/>
                <w:lang w:eastAsia="de-DE"/>
              </w:rPr>
              <w:t>0</w:t>
            </w:r>
            <w:r w:rsidRPr="002A677E">
              <w:rPr>
                <w:rFonts w:ascii="Times New Roman" w:hAnsi="Times New Roman"/>
                <w:sz w:val="24"/>
                <w:lang w:eastAsia="de-DE"/>
              </w:rPr>
              <w:t xml:space="preserve">330. </w:t>
            </w:r>
          </w:p>
          <w:p w14:paraId="4E1E5CA2" w14:textId="697820BB"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specific risk capital </w:t>
            </w:r>
            <w:r w:rsidR="0023276A" w:rsidRPr="002A677E">
              <w:rPr>
                <w:rFonts w:ascii="Times New Roman" w:hAnsi="Times New Roman"/>
                <w:sz w:val="24"/>
                <w:lang w:eastAsia="de-DE"/>
              </w:rPr>
              <w:t xml:space="preserve">requirements </w:t>
            </w:r>
            <w:r w:rsidRPr="002A677E">
              <w:rPr>
                <w:rFonts w:ascii="Times New Roman" w:hAnsi="Times New Roman"/>
                <w:sz w:val="24"/>
                <w:lang w:eastAsia="de-DE"/>
              </w:rPr>
              <w:t>and their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capital </w:t>
            </w:r>
            <w:r w:rsidR="0023276A" w:rsidRPr="002A677E">
              <w:rPr>
                <w:rFonts w:ascii="Times New Roman" w:hAnsi="Times New Roman"/>
                <w:sz w:val="24"/>
                <w:lang w:eastAsia="de-DE"/>
              </w:rPr>
              <w:t xml:space="preserve">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w:t>
            </w:r>
            <w:r w:rsidR="0049305B">
              <w:rPr>
                <w:rFonts w:ascii="Times New Roman" w:hAnsi="Times New Roman"/>
                <w:sz w:val="24"/>
                <w:lang w:eastAsia="de-DE"/>
              </w:rPr>
              <w:t>4</w:t>
            </w:r>
            <w:r w:rsidRPr="002A677E">
              <w:rPr>
                <w:rFonts w:ascii="Times New Roman" w:hAnsi="Times New Roman"/>
                <w:sz w:val="24"/>
                <w:lang w:eastAsia="de-DE"/>
              </w:rPr>
              <w:t>)</w:t>
            </w:r>
            <w:r w:rsidR="00B83DDE">
              <w:rPr>
                <w:rFonts w:ascii="Times New Roman" w:hAnsi="Times New Roman"/>
                <w:sz w:val="24"/>
                <w:lang w:eastAsia="de-DE"/>
              </w:rPr>
              <w:t>, p</w:t>
            </w:r>
            <w:r w:rsidR="00D24331" w:rsidRPr="002A677E">
              <w:rPr>
                <w:rFonts w:ascii="Times New Roman" w:hAnsi="Times New Roman"/>
                <w:sz w:val="24"/>
              </w:rPr>
              <w:t>oint (b)</w:t>
            </w:r>
            <w:r w:rsidR="00CB38DD">
              <w:rPr>
                <w:rFonts w:ascii="Times New Roman" w:hAnsi="Times New Roman"/>
                <w:sz w:val="24"/>
              </w:rPr>
              <w:t>,</w:t>
            </w:r>
            <w:r w:rsidR="00D24331" w:rsidRPr="002A677E">
              <w:rPr>
                <w:rFonts w:ascii="Times New Roman" w:hAnsi="Times New Roman"/>
                <w:sz w:val="24"/>
              </w:rPr>
              <w:t xml:space="preserve"> </w:t>
            </w:r>
            <w:r w:rsidRPr="002A677E">
              <w:rPr>
                <w:rFonts w:ascii="Times New Roman" w:hAnsi="Times New Roman"/>
                <w:sz w:val="24"/>
                <w:lang w:eastAsia="de-DE"/>
              </w:rPr>
              <w:t xml:space="preserve">and </w:t>
            </w:r>
            <w:r w:rsidR="00D21B29" w:rsidRPr="002A677E">
              <w:rPr>
                <w:rFonts w:ascii="Times New Roman" w:hAnsi="Times New Roman"/>
                <w:sz w:val="24"/>
                <w:lang w:eastAsia="de-DE"/>
              </w:rPr>
              <w:t xml:space="preserve">Article </w:t>
            </w:r>
            <w:r w:rsidRPr="002A677E">
              <w:rPr>
                <w:rFonts w:ascii="Times New Roman" w:hAnsi="Times New Roman"/>
                <w:sz w:val="24"/>
                <w:lang w:eastAsia="de-DE"/>
              </w:rPr>
              <w:t xml:space="preserve">335,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336</w:t>
            </w:r>
            <w:r w:rsidR="00CB38DD">
              <w:rPr>
                <w:rFonts w:ascii="Times New Roman" w:hAnsi="Times New Roman"/>
                <w:sz w:val="24"/>
                <w:lang w:eastAsia="de-DE"/>
              </w:rPr>
              <w:t>(</w:t>
            </w:r>
            <w:r w:rsidR="00D24331" w:rsidRPr="002A677E">
              <w:rPr>
                <w:rFonts w:ascii="Times New Roman" w:hAnsi="Times New Roman"/>
                <w:sz w:val="24"/>
                <w:lang w:eastAsia="de-DE"/>
              </w:rPr>
              <w:t>1</w:t>
            </w:r>
            <w:r w:rsidR="00CB38DD">
              <w:rPr>
                <w:rFonts w:ascii="Times New Roman" w:hAnsi="Times New Roman"/>
                <w:sz w:val="24"/>
                <w:lang w:eastAsia="de-DE"/>
              </w:rPr>
              <w:t>)</w:t>
            </w:r>
            <w:r w:rsidR="00D24331" w:rsidRPr="002A677E">
              <w:rPr>
                <w:rFonts w:ascii="Times New Roman" w:hAnsi="Times New Roman"/>
                <w:sz w:val="24"/>
                <w:lang w:eastAsia="de-DE"/>
              </w:rPr>
              <w:t xml:space="preserve">, </w:t>
            </w:r>
            <w:r w:rsidR="00CB38DD">
              <w:rPr>
                <w:rFonts w:ascii="Times New Roman" w:hAnsi="Times New Roman"/>
                <w:sz w:val="24"/>
                <w:lang w:eastAsia="de-DE"/>
              </w:rPr>
              <w:t>(</w:t>
            </w:r>
            <w:r w:rsidR="00D24331" w:rsidRPr="002A677E">
              <w:rPr>
                <w:rFonts w:ascii="Times New Roman" w:hAnsi="Times New Roman"/>
                <w:sz w:val="24"/>
                <w:lang w:eastAsia="de-DE"/>
              </w:rPr>
              <w:t>2</w:t>
            </w:r>
            <w:r w:rsidR="00CB38DD">
              <w:rPr>
                <w:rFonts w:ascii="Times New Roman" w:hAnsi="Times New Roman"/>
                <w:sz w:val="24"/>
                <w:lang w:eastAsia="de-DE"/>
              </w:rPr>
              <w:t>)</w:t>
            </w:r>
            <w:r w:rsidR="00D24331" w:rsidRPr="002A677E">
              <w:rPr>
                <w:rFonts w:ascii="Times New Roman" w:hAnsi="Times New Roman"/>
                <w:sz w:val="24"/>
                <w:lang w:eastAsia="de-DE"/>
              </w:rPr>
              <w:t xml:space="preserve"> and </w:t>
            </w:r>
            <w:r w:rsidR="00CB38DD">
              <w:rPr>
                <w:rFonts w:ascii="Times New Roman" w:hAnsi="Times New Roman"/>
                <w:sz w:val="24"/>
                <w:lang w:eastAsia="de-DE"/>
              </w:rPr>
              <w:t>(</w:t>
            </w:r>
            <w:r w:rsidR="00D24331" w:rsidRPr="002A677E">
              <w:rPr>
                <w:rFonts w:ascii="Times New Roman" w:hAnsi="Times New Roman"/>
                <w:sz w:val="24"/>
                <w:lang w:eastAsia="de-DE"/>
              </w:rPr>
              <w:t>3</w:t>
            </w:r>
            <w:r w:rsidR="00CB38DD">
              <w:rPr>
                <w:rFonts w:ascii="Times New Roman" w:hAnsi="Times New Roman"/>
                <w:sz w:val="24"/>
                <w:lang w:eastAsia="de-DE"/>
              </w:rPr>
              <w:t>),</w:t>
            </w:r>
            <w:r w:rsidR="00D24331" w:rsidRPr="002A677E">
              <w:rPr>
                <w:rFonts w:ascii="Times New Roman" w:hAnsi="Times New Roman"/>
                <w:sz w:val="24"/>
                <w:lang w:eastAsia="de-DE"/>
              </w:rPr>
              <w:t xml:space="preserve"> </w:t>
            </w:r>
            <w:r w:rsidR="00F41508" w:rsidRPr="002A677E">
              <w:rPr>
                <w:rFonts w:ascii="Times New Roman" w:hAnsi="Times New Roman"/>
                <w:sz w:val="24"/>
                <w:lang w:eastAsia="de-DE"/>
              </w:rPr>
              <w:t>and Articles</w:t>
            </w:r>
            <w:r w:rsidRPr="002A677E">
              <w:rPr>
                <w:rFonts w:ascii="Times New Roman" w:hAnsi="Times New Roman"/>
                <w:sz w:val="24"/>
                <w:lang w:eastAsia="de-DE"/>
              </w:rPr>
              <w:t xml:space="preserve"> 337 and 338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Be also aware of </w:t>
            </w:r>
            <w:r w:rsidR="00705025" w:rsidRPr="002A677E">
              <w:rPr>
                <w:rFonts w:ascii="Times New Roman" w:hAnsi="Times New Roman"/>
                <w:sz w:val="24"/>
                <w:lang w:eastAsia="de-DE"/>
              </w:rPr>
              <w:t xml:space="preserve">the </w:t>
            </w:r>
            <w:r w:rsidRPr="002A677E">
              <w:rPr>
                <w:rFonts w:ascii="Times New Roman" w:hAnsi="Times New Roman"/>
                <w:sz w:val="24"/>
                <w:lang w:eastAsia="de-DE"/>
              </w:rPr>
              <w:t xml:space="preserve">last sentence in Article 327(1)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251-</w:t>
            </w:r>
            <w:r w:rsidRPr="002A677E">
              <w:rPr>
                <w:rFonts w:ascii="Times New Roman" w:hAnsi="Times New Roman"/>
                <w:sz w:val="24"/>
                <w:lang w:eastAsia="nl-BE"/>
              </w:rPr>
              <w:t>0</w:t>
            </w:r>
            <w:r w:rsidR="000B0B09" w:rsidRPr="002A677E">
              <w:rPr>
                <w:rFonts w:ascii="Times New Roman" w:hAnsi="Times New Roman"/>
                <w:sz w:val="24"/>
                <w:lang w:eastAsia="nl-BE"/>
              </w:rPr>
              <w:t>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Own funds requirement for non-securitisation debt instruments</w:t>
            </w:r>
          </w:p>
          <w:p w14:paraId="19437B35" w14:textId="77777777" w:rsidR="000B0B09" w:rsidRPr="002A677E" w:rsidRDefault="000B0B09" w:rsidP="007B2F85">
            <w:pPr>
              <w:rPr>
                <w:rFonts w:ascii="Times New Roman" w:hAnsi="Times New Roman"/>
                <w:sz w:val="24"/>
                <w:lang w:eastAsia="de-DE"/>
              </w:rPr>
            </w:pPr>
            <w:r w:rsidRPr="002A677E">
              <w:rPr>
                <w:rFonts w:ascii="Times New Roman" w:hAnsi="Times New Roman"/>
                <w:sz w:val="24"/>
                <w:lang w:eastAsia="de-DE"/>
              </w:rPr>
              <w:t>Sum of the amounts reported in rows 260 to 321.</w:t>
            </w:r>
          </w:p>
          <w:p w14:paraId="4CDA5DEB" w14:textId="3E49784D"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The own funds requirement of the n-th to default credit derivatives which are not rated externally </w:t>
            </w:r>
            <w:r w:rsidR="00F41508" w:rsidRPr="002A677E">
              <w:rPr>
                <w:rFonts w:ascii="Times New Roman" w:hAnsi="Times New Roman"/>
                <w:sz w:val="24"/>
                <w:lang w:eastAsia="de-DE"/>
              </w:rPr>
              <w:t>shall</w:t>
            </w:r>
            <w:r w:rsidRPr="002A677E">
              <w:rPr>
                <w:rFonts w:ascii="Times New Roman" w:hAnsi="Times New Roman"/>
                <w:sz w:val="24"/>
                <w:lang w:eastAsia="de-DE"/>
              </w:rPr>
              <w:t xml:space="preserve"> be c</w:t>
            </w:r>
            <w:r w:rsidR="00F41508" w:rsidRPr="002A677E">
              <w:rPr>
                <w:rFonts w:ascii="Times New Roman" w:hAnsi="Times New Roman"/>
                <w:sz w:val="24"/>
                <w:lang w:eastAsia="de-DE"/>
              </w:rPr>
              <w:t>alculated</w:t>
            </w:r>
            <w:r w:rsidRPr="002A677E">
              <w:rPr>
                <w:rFonts w:ascii="Times New Roman" w:hAnsi="Times New Roman"/>
                <w:sz w:val="24"/>
                <w:lang w:eastAsia="de-DE"/>
              </w:rPr>
              <w:t xml:space="preserve"> by summing up the risk weights of the reference entities (</w:t>
            </w:r>
            <w:r w:rsidR="0019088A" w:rsidRPr="002A677E">
              <w:rPr>
                <w:rFonts w:ascii="Times New Roman" w:hAnsi="Times New Roman"/>
                <w:sz w:val="24"/>
                <w:lang w:eastAsia="de-DE"/>
              </w:rPr>
              <w:t>Article 332(1)</w:t>
            </w:r>
            <w:r w:rsidR="00B83DDE">
              <w:rPr>
                <w:rFonts w:ascii="Times New Roman" w:hAnsi="Times New Roman"/>
                <w:sz w:val="24"/>
                <w:lang w:eastAsia="de-DE"/>
              </w:rPr>
              <w:t>, p</w:t>
            </w:r>
            <w:r w:rsidR="00D24331" w:rsidRPr="002A677E">
              <w:rPr>
                <w:rFonts w:ascii="Times New Roman" w:hAnsi="Times New Roman"/>
                <w:sz w:val="24"/>
                <w:lang w:eastAsia="de-DE"/>
              </w:rPr>
              <w:t>oint (e)</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19088A" w:rsidRPr="002A677E">
              <w:rPr>
                <w:rFonts w:ascii="Times New Roman" w:hAnsi="Times New Roman"/>
                <w:sz w:val="24"/>
                <w:lang w:eastAsia="de-DE"/>
              </w:rPr>
              <w:t xml:space="preserve"> and the </w:t>
            </w:r>
            <w:r w:rsidR="007B2F85" w:rsidRPr="002A677E">
              <w:rPr>
                <w:rFonts w:ascii="Times New Roman" w:hAnsi="Times New Roman"/>
                <w:sz w:val="24"/>
                <w:lang w:eastAsia="de-DE"/>
              </w:rPr>
              <w:t>second subparagraph of</w:t>
            </w:r>
            <w:r w:rsidR="00705025" w:rsidRPr="002A677E">
              <w:rPr>
                <w:rFonts w:ascii="Times New Roman" w:hAnsi="Times New Roman"/>
                <w:sz w:val="24"/>
                <w:lang w:eastAsia="de-DE"/>
              </w:rPr>
              <w:t xml:space="preserve"> </w:t>
            </w:r>
            <w:r w:rsidRPr="002A677E">
              <w:rPr>
                <w:rFonts w:ascii="Times New Roman" w:hAnsi="Times New Roman"/>
                <w:sz w:val="24"/>
                <w:lang w:eastAsia="de-DE"/>
              </w:rPr>
              <w:t xml:space="preserve">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 “look-through”). N-th-to-default credit derivatives which are rated externally (</w:t>
            </w:r>
            <w:r w:rsidR="000F11B2" w:rsidRPr="002A677E">
              <w:rPr>
                <w:rFonts w:ascii="Times New Roman" w:hAnsi="Times New Roman"/>
                <w:sz w:val="24"/>
                <w:lang w:eastAsia="de-DE"/>
              </w:rPr>
              <w:t xml:space="preserve">the </w:t>
            </w:r>
            <w:r w:rsidR="00F41508" w:rsidRPr="002A677E">
              <w:rPr>
                <w:rFonts w:ascii="Times New Roman" w:hAnsi="Times New Roman"/>
                <w:sz w:val="24"/>
                <w:lang w:eastAsia="de-DE"/>
              </w:rPr>
              <w:t>third sub</w:t>
            </w:r>
            <w:r w:rsidR="00705025" w:rsidRPr="002A677E">
              <w:rPr>
                <w:rFonts w:ascii="Times New Roman" w:hAnsi="Times New Roman"/>
                <w:sz w:val="24"/>
                <w:lang w:eastAsia="de-DE"/>
              </w:rPr>
              <w:t xml:space="preserve">paragraph of 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reported separately in line 321. </w:t>
            </w:r>
          </w:p>
          <w:p w14:paraId="7051ED04" w14:textId="663FE04C"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Reporting of positions subject to Article 336</w:t>
            </w:r>
            <w:r w:rsidR="001E0C80" w:rsidRPr="002A677E">
              <w:rPr>
                <w:rFonts w:ascii="Times New Roman" w:hAnsi="Times New Roman"/>
                <w:sz w:val="24"/>
                <w:lang w:eastAsia="de-DE"/>
              </w:rPr>
              <w:t>(</w:t>
            </w:r>
            <w:r w:rsidRPr="002A677E">
              <w:rPr>
                <w:rFonts w:ascii="Times New Roman" w:hAnsi="Times New Roman"/>
                <w:sz w:val="24"/>
                <w:lang w:eastAsia="de-DE"/>
              </w:rPr>
              <w:t xml:space="preserve">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r w:rsidR="001A741B" w:rsidRPr="002A677E">
              <w:rPr>
                <w:rFonts w:ascii="Times New Roman" w:hAnsi="Times New Roman"/>
                <w:sz w:val="24"/>
                <w:lang w:eastAsia="de-DE"/>
              </w:rPr>
              <w:t xml:space="preserve"> </w:t>
            </w:r>
            <w:r w:rsidRPr="002A677E">
              <w:rPr>
                <w:rFonts w:ascii="Times New Roman" w:hAnsi="Times New Roman"/>
                <w:sz w:val="24"/>
                <w:lang w:eastAsia="de-DE"/>
              </w:rPr>
              <w:t>There is a special treatment for bonds which qualify for a 10</w:t>
            </w:r>
            <w:r w:rsidR="00B856D5">
              <w:t> </w:t>
            </w:r>
            <w:r w:rsidRPr="002A677E">
              <w:rPr>
                <w:rFonts w:ascii="Times New Roman" w:hAnsi="Times New Roman"/>
                <w:sz w:val="24"/>
                <w:lang w:eastAsia="de-DE"/>
              </w:rPr>
              <w:t xml:space="preserve">% risk weight in the banking book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129(3) </w:t>
            </w:r>
            <w:r w:rsidR="007062FD" w:rsidRPr="001235ED">
              <w:rPr>
                <w:rFonts w:ascii="Times New Roman" w:hAnsi="Times New Roman"/>
                <w:sz w:val="24"/>
                <w:lang w:val="en-US"/>
              </w:rPr>
              <w:t xml:space="preserve">of Regulation (EU) </w:t>
            </w:r>
            <w:r w:rsidR="007062FD" w:rsidRPr="001235ED">
              <w:rPr>
                <w:rFonts w:ascii="Times New Roman" w:hAnsi="Times New Roman"/>
                <w:sz w:val="24"/>
                <w:lang w:val="en-US"/>
              </w:rPr>
              <w:lastRenderedPageBreak/>
              <w:t>No 575/2013</w:t>
            </w:r>
            <w:r w:rsidRPr="002A677E">
              <w:rPr>
                <w:rFonts w:ascii="Times New Roman" w:hAnsi="Times New Roman"/>
                <w:sz w:val="24"/>
                <w:lang w:eastAsia="de-DE"/>
              </w:rPr>
              <w:t xml:space="preserve"> (covered bonds). The specific own funds requirements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half of the percentage of the second category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w:t>
            </w:r>
            <w:r w:rsidR="00E92C04" w:rsidRPr="002A677E">
              <w:rPr>
                <w:rFonts w:ascii="Times New Roman" w:hAnsi="Times New Roman"/>
                <w:sz w:val="24"/>
                <w:lang w:eastAsia="de-DE"/>
              </w:rPr>
              <w:t>Article 336</w:t>
            </w:r>
            <w:r w:rsidR="00D24331" w:rsidRPr="002A677E">
              <w:rPr>
                <w:rFonts w:ascii="Times New Roman" w:hAnsi="Times New Roman"/>
                <w:sz w:val="24"/>
                <w:lang w:eastAsia="de-DE"/>
              </w:rPr>
              <w:t>,</w:t>
            </w:r>
            <w:r w:rsidR="00E92C04" w:rsidRPr="002A677E">
              <w:rPr>
                <w:rFonts w:ascii="Times New Roman" w:hAnsi="Times New Roman"/>
                <w:sz w:val="24"/>
                <w:lang w:eastAsia="de-DE"/>
              </w:rPr>
              <w:t xml:space="preserve"> </w:t>
            </w:r>
            <w:r w:rsidR="00D24331" w:rsidRPr="002A677E">
              <w:rPr>
                <w:rFonts w:ascii="Times New Roman" w:hAnsi="Times New Roman"/>
                <w:sz w:val="24"/>
                <w:lang w:eastAsia="de-DE"/>
              </w:rPr>
              <w:t>Table 1</w:t>
            </w:r>
            <w:r w:rsidR="007062FD" w:rsidRPr="001235ED">
              <w:rPr>
                <w:rFonts w:ascii="Times New Roman" w:hAnsi="Times New Roman"/>
                <w:sz w:val="24"/>
                <w:lang w:val="en-US"/>
              </w:rPr>
              <w:t xml:space="preserve"> of Regulation (EU) No 575/2013</w:t>
            </w:r>
            <w:r w:rsidR="00E92C04" w:rsidRPr="002A677E">
              <w:rPr>
                <w:rFonts w:ascii="Times New Roman" w:hAnsi="Times New Roman"/>
                <w:sz w:val="24"/>
                <w:lang w:eastAsia="de-DE"/>
              </w:rPr>
              <w:t xml:space="preserve">. Those positions have to be assigned to rows </w:t>
            </w:r>
            <w:r w:rsidR="00EE2CD5" w:rsidRPr="002A677E">
              <w:rPr>
                <w:rFonts w:ascii="Times New Roman" w:hAnsi="Times New Roman"/>
                <w:sz w:val="24"/>
                <w:lang w:eastAsia="de-DE"/>
              </w:rPr>
              <w:t>0</w:t>
            </w:r>
            <w:r w:rsidR="00E92C04" w:rsidRPr="002A677E">
              <w:rPr>
                <w:rFonts w:ascii="Times New Roman" w:hAnsi="Times New Roman"/>
                <w:sz w:val="24"/>
                <w:lang w:eastAsia="de-DE"/>
              </w:rPr>
              <w:t>280-</w:t>
            </w:r>
            <w:r w:rsidR="00EE2CD5" w:rsidRPr="002A677E">
              <w:rPr>
                <w:rFonts w:ascii="Times New Roman" w:hAnsi="Times New Roman"/>
                <w:sz w:val="24"/>
                <w:lang w:eastAsia="de-DE"/>
              </w:rPr>
              <w:t>0</w:t>
            </w:r>
            <w:r w:rsidR="00E92C04" w:rsidRPr="002A677E">
              <w:rPr>
                <w:rFonts w:ascii="Times New Roman" w:hAnsi="Times New Roman"/>
                <w:sz w:val="24"/>
                <w:lang w:eastAsia="de-DE"/>
              </w:rPr>
              <w:t xml:space="preserve">300 </w:t>
            </w:r>
            <w:r w:rsidR="00BB22D4" w:rsidRPr="002A677E">
              <w:rPr>
                <w:rFonts w:ascii="Times New Roman" w:hAnsi="Times New Roman"/>
                <w:sz w:val="24"/>
                <w:lang w:eastAsia="de-DE"/>
              </w:rPr>
              <w:t>in accordance with</w:t>
            </w:r>
            <w:r w:rsidR="00E92C04" w:rsidRPr="002A677E">
              <w:rPr>
                <w:rFonts w:ascii="Times New Roman" w:hAnsi="Times New Roman"/>
                <w:sz w:val="24"/>
                <w:lang w:eastAsia="de-DE"/>
              </w:rPr>
              <w:t xml:space="preserve"> the residual term to final maturity.</w:t>
            </w:r>
          </w:p>
          <w:p w14:paraId="11FE9AD5" w14:textId="13EA9F09" w:rsidR="000B0B09" w:rsidRPr="002A677E" w:rsidRDefault="00F41508" w:rsidP="0002267E">
            <w:pPr>
              <w:rPr>
                <w:rFonts w:ascii="Times New Roman" w:hAnsi="Times New Roman"/>
                <w:b/>
                <w:bCs/>
                <w:sz w:val="24"/>
                <w:u w:val="single"/>
                <w:lang w:eastAsia="nl-BE"/>
              </w:rPr>
            </w:pPr>
            <w:r w:rsidRPr="002A677E">
              <w:rPr>
                <w:rFonts w:ascii="Times New Roman" w:hAnsi="Times New Roman"/>
                <w:sz w:val="24"/>
                <w:lang w:eastAsia="de-DE"/>
              </w:rPr>
              <w:t>Where</w:t>
            </w:r>
            <w:r w:rsidR="000B0B09" w:rsidRPr="002A677E">
              <w:rPr>
                <w:rFonts w:ascii="Times New Roman" w:hAnsi="Times New Roman"/>
                <w:sz w:val="24"/>
                <w:lang w:eastAsia="de-DE"/>
              </w:rPr>
              <w:t xml:space="preserve"> the general risk of interest rate positions is hedged by a credit derivative, Articles 346 and 347 </w:t>
            </w:r>
            <w:r w:rsidR="007062FD" w:rsidRPr="001235ED">
              <w:rPr>
                <w:rFonts w:ascii="Times New Roman" w:hAnsi="Times New Roman"/>
                <w:sz w:val="24"/>
                <w:lang w:val="en-US"/>
              </w:rPr>
              <w:t>of Regulation (EU) No 575/2013</w:t>
            </w:r>
            <w:r w:rsidR="001A741B" w:rsidRPr="002A677E">
              <w:rPr>
                <w:rFonts w:ascii="Times New Roman" w:hAnsi="Times New Roman"/>
                <w:sz w:val="24"/>
                <w:lang w:eastAsia="de-DE"/>
              </w:rPr>
              <w:t xml:space="preserve"> </w:t>
            </w:r>
            <w:r w:rsidR="000B0B09" w:rsidRPr="002A677E">
              <w:rPr>
                <w:rFonts w:ascii="Times New Roman" w:hAnsi="Times New Roman"/>
                <w:sz w:val="24"/>
                <w:lang w:eastAsia="de-DE"/>
              </w:rPr>
              <w:t xml:space="preserve">shall be applied.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securitisation instruments</w:t>
            </w:r>
          </w:p>
          <w:p w14:paraId="7BA68AB7"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60</w:t>
            </w:r>
            <w:r w:rsidR="00EE2CD5" w:rsidRPr="002A677E">
              <w:rPr>
                <w:rFonts w:ascii="Times New Roman" w:hAnsi="Times New Roman"/>
                <w:sz w:val="24"/>
                <w:lang w:eastAsia="de-DE"/>
              </w:rPr>
              <w:t>1</w:t>
            </w:r>
            <w:r w:rsidRPr="002A677E">
              <w:rPr>
                <w:rFonts w:ascii="Times New Roman" w:hAnsi="Times New Roman"/>
                <w:sz w:val="24"/>
                <w:lang w:eastAsia="de-DE"/>
              </w:rPr>
              <w:t xml:space="preserve"> of template MKR SA SEC.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the correlation trading portfolio</w:t>
            </w:r>
          </w:p>
          <w:p w14:paraId="104F8330"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 xml:space="preserve">450 of template MKR SA CTP.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350-</w:t>
            </w:r>
            <w:r w:rsidRPr="002A677E">
              <w:rPr>
                <w:rFonts w:ascii="Times New Roman" w:hAnsi="Times New Roman"/>
                <w:sz w:val="24"/>
                <w:lang w:eastAsia="nl-BE"/>
              </w:rPr>
              <w:t>0</w:t>
            </w:r>
            <w:r w:rsidR="000B0B09" w:rsidRPr="002A677E">
              <w:rPr>
                <w:rFonts w:ascii="Times New Roman" w:hAnsi="Times New Roman"/>
                <w:sz w:val="24"/>
                <w:lang w:eastAsia="nl-BE"/>
              </w:rPr>
              <w:t>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ADDITIONAL REQUIREMENTS FOR OPTIONS (NON-DELTA RISKS) </w:t>
            </w:r>
          </w:p>
          <w:p w14:paraId="3B19069A" w14:textId="2AE3D272"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Article 329(3)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p w14:paraId="4A1F04EE" w14:textId="77777777" w:rsidR="000B0B09" w:rsidRPr="002A677E" w:rsidRDefault="000B0B09" w:rsidP="0002267E">
            <w:pPr>
              <w:rPr>
                <w:rFonts w:ascii="Times New Roman" w:hAnsi="Times New Roman"/>
                <w:bCs/>
                <w:sz w:val="24"/>
                <w:lang w:eastAsia="nl-BE"/>
              </w:rPr>
            </w:pPr>
            <w:r w:rsidRPr="002A677E">
              <w:rPr>
                <w:rFonts w:ascii="Times New Roman" w:hAnsi="Times New Roman"/>
                <w:sz w:val="24"/>
                <w:lang w:eastAsia="de-DE"/>
              </w:rPr>
              <w:t xml:space="preserve">The additional requirements for options related to non-delta risks shall be reported </w:t>
            </w:r>
            <w:r w:rsidR="001A741B" w:rsidRPr="002A677E">
              <w:rPr>
                <w:rFonts w:ascii="Times New Roman" w:hAnsi="Times New Roman"/>
                <w:sz w:val="24"/>
                <w:lang w:eastAsia="de-DE"/>
              </w:rPr>
              <w:t>broken down by the</w:t>
            </w:r>
            <w:r w:rsidRPr="002A677E">
              <w:rPr>
                <w:rFonts w:ascii="Times New Roman" w:hAnsi="Times New Roman"/>
                <w:sz w:val="24"/>
                <w:lang w:eastAsia="de-DE"/>
              </w:rPr>
              <w:t xml:space="preserve"> method used for </w:t>
            </w:r>
            <w:r w:rsidR="00DE73B4" w:rsidRPr="002A677E">
              <w:rPr>
                <w:rFonts w:ascii="Times New Roman" w:hAnsi="Times New Roman"/>
                <w:sz w:val="24"/>
                <w:lang w:eastAsia="de-DE"/>
              </w:rPr>
              <w:t>their</w:t>
            </w:r>
            <w:r w:rsidRPr="002A677E">
              <w:rPr>
                <w:rFonts w:ascii="Times New Roman" w:hAnsi="Times New Roman"/>
                <w:sz w:val="24"/>
                <w:lang w:eastAsia="de-DE"/>
              </w:rPr>
              <w:t xml:space="preserve"> calculation.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0" w:name="_Toc294172370"/>
      <w:bookmarkStart w:id="621" w:name="_Toc295829999"/>
      <w:bookmarkStart w:id="622" w:name="_Toc308426676"/>
      <w:bookmarkStart w:id="623" w:name="_Toc310415060"/>
      <w:bookmarkStart w:id="624" w:name="_Toc360188395"/>
      <w:bookmarkStart w:id="625" w:name="_Toc473561035"/>
      <w:bookmarkStart w:id="626" w:name="_Toc151714489"/>
      <w:r w:rsidRPr="002A677E">
        <w:rPr>
          <w:rFonts w:ascii="Times New Roman" w:hAnsi="Times New Roman" w:cs="Times New Roman"/>
          <w:sz w:val="24"/>
          <w:u w:val="none"/>
          <w:lang w:val="en-GB"/>
        </w:rPr>
        <w:t>5.2.</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19.00 - </w:t>
      </w:r>
      <w:r w:rsidR="000B0B09" w:rsidRPr="002A677E">
        <w:rPr>
          <w:rFonts w:ascii="Times New Roman" w:hAnsi="Times New Roman" w:cs="Times New Roman"/>
          <w:sz w:val="24"/>
          <w:lang w:val="en-GB"/>
        </w:rPr>
        <w:t>MARKET RISK: STANDARDISED APPROACH FOR SPECIFIC RISK IN SECURITISATIONS (MKR SA SEC)</w:t>
      </w:r>
      <w:bookmarkEnd w:id="620"/>
      <w:bookmarkEnd w:id="621"/>
      <w:bookmarkEnd w:id="622"/>
      <w:bookmarkEnd w:id="623"/>
      <w:bookmarkEnd w:id="624"/>
      <w:bookmarkEnd w:id="625"/>
      <w:bookmarkEnd w:id="626"/>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7" w:name="_Toc294172371"/>
      <w:bookmarkStart w:id="628" w:name="_Toc295830000"/>
      <w:bookmarkStart w:id="629" w:name="_Toc308426677"/>
      <w:bookmarkStart w:id="630" w:name="_Toc310415061"/>
      <w:bookmarkStart w:id="631" w:name="_Toc360188396"/>
      <w:bookmarkStart w:id="632" w:name="_Toc473561036"/>
      <w:bookmarkStart w:id="633" w:name="_Toc151714490"/>
      <w:r w:rsidRPr="002A677E">
        <w:rPr>
          <w:rFonts w:ascii="Times New Roman" w:hAnsi="Times New Roman" w:cs="Times New Roman"/>
          <w:sz w:val="24"/>
          <w:u w:val="none"/>
          <w:lang w:val="en-GB"/>
        </w:rPr>
        <w:t>5.2.1.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27"/>
      <w:bookmarkEnd w:id="628"/>
      <w:bookmarkEnd w:id="629"/>
      <w:bookmarkEnd w:id="630"/>
      <w:bookmarkEnd w:id="631"/>
      <w:bookmarkEnd w:id="632"/>
      <w:bookmarkEnd w:id="633"/>
    </w:p>
    <w:bookmarkStart w:id="634" w:name="_Toc294172372"/>
    <w:bookmarkStart w:id="635" w:name="_Toc295830001"/>
    <w:bookmarkStart w:id="636" w:name="_Toc308426678"/>
    <w:bookmarkStart w:id="637" w:name="_Toc310415062"/>
    <w:bookmarkStart w:id="638" w:name="_Toc360188397"/>
    <w:bookmarkStart w:id="639" w:name="_Toc473561037"/>
    <w:p w14:paraId="7E5893C5" w14:textId="408C91FB" w:rsidR="00FC6275" w:rsidRPr="002A677E" w:rsidRDefault="00771068" w:rsidP="00C112F8">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5E3D5A">
        <w:rPr>
          <w:noProof/>
        </w:rPr>
        <w:t>164</w:t>
      </w:r>
      <w:r w:rsidRPr="00624117">
        <w:fldChar w:fldCharType="end"/>
      </w:r>
      <w:r w:rsidR="00FC6275" w:rsidRPr="002A677E">
        <w:t>.</w:t>
      </w:r>
      <w:r w:rsidR="00FC6275" w:rsidRPr="002A677E">
        <w:tab/>
      </w:r>
      <w:r w:rsidR="005C14B0" w:rsidRPr="002A677E">
        <w:t xml:space="preserve"> </w:t>
      </w:r>
      <w:r w:rsidR="00FC6275" w:rsidRPr="002A677E">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A677E">
        <w:t>Standardised Approach</w:t>
      </w:r>
      <w:r w:rsidR="00FC6275" w:rsidRPr="002A677E">
        <w:t xml:space="preserve">. </w:t>
      </w:r>
    </w:p>
    <w:p w14:paraId="2729DF95" w14:textId="6BC9212C" w:rsidR="00FC6275"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165</w:t>
      </w:r>
      <w:r>
        <w:fldChar w:fldCharType="end"/>
      </w:r>
      <w:r w:rsidR="00FC6275" w:rsidRPr="002A677E">
        <w:t>.</w:t>
      </w:r>
      <w:r w:rsidR="00FC6275" w:rsidRPr="002A677E">
        <w:tab/>
      </w:r>
      <w:r w:rsidR="005C14B0" w:rsidRPr="002A677E">
        <w:t xml:space="preserve"> </w:t>
      </w:r>
      <w:r w:rsidR="00FC6275" w:rsidRPr="002A677E">
        <w:t xml:space="preserve">The MKR SA SEC template </w:t>
      </w:r>
      <w:r w:rsidR="00770D40" w:rsidRPr="002A677E">
        <w:t xml:space="preserve">presents </w:t>
      </w:r>
      <w:r w:rsidR="00FC6275" w:rsidRPr="002A677E">
        <w:t xml:space="preserve">the own funds requirement only for the specific risk of securitisation positions </w:t>
      </w:r>
      <w:r w:rsidR="00BB22D4" w:rsidRPr="002A677E">
        <w:t>in accordance with</w:t>
      </w:r>
      <w:r w:rsidR="00FC6275" w:rsidRPr="002A677E">
        <w:t xml:space="preserve"> Article 335 </w:t>
      </w:r>
      <w:r w:rsidR="007062FD" w:rsidRPr="001235ED">
        <w:rPr>
          <w:lang w:val="en-US"/>
        </w:rPr>
        <w:t>of Regulation (EU) No 575/2013</w:t>
      </w:r>
      <w:r w:rsidR="00532026" w:rsidRPr="002A677E">
        <w:t xml:space="preserve"> </w:t>
      </w:r>
      <w:r w:rsidR="00FC6275" w:rsidRPr="002A677E">
        <w:t xml:space="preserve">in connection with 337 </w:t>
      </w:r>
      <w:r w:rsidR="007062FD" w:rsidRPr="001235ED">
        <w:rPr>
          <w:lang w:val="en-US"/>
        </w:rPr>
        <w:t>of that Regulation</w:t>
      </w:r>
      <w:r w:rsidR="00FC6275" w:rsidRPr="002A677E">
        <w:t xml:space="preserve">. </w:t>
      </w:r>
      <w:r w:rsidR="00532026" w:rsidRPr="002A677E">
        <w:t>Where</w:t>
      </w:r>
      <w:r w:rsidR="00FC6275" w:rsidRPr="002A677E">
        <w:t xml:space="preserve"> securitisation positions of the trading book are hedged by credit derivatives, Articles 346 and 347 </w:t>
      </w:r>
      <w:r w:rsidR="007062FD" w:rsidRPr="001235ED">
        <w:rPr>
          <w:lang w:val="en-US"/>
        </w:rPr>
        <w:t>of Regulation (EU) No 575/2013</w:t>
      </w:r>
      <w:r w:rsidR="00FC6275" w:rsidRPr="002A677E">
        <w:t xml:space="preserve"> apply. There is only one template for all positions of the trading book, irrespective of the </w:t>
      </w:r>
      <w:r w:rsidR="00664361" w:rsidRPr="002A677E">
        <w:t>a</w:t>
      </w:r>
      <w:r w:rsidR="00FC6275" w:rsidRPr="002A677E">
        <w:t xml:space="preserve">pproach </w:t>
      </w:r>
      <w:r w:rsidR="00664361" w:rsidRPr="002A677E">
        <w:t xml:space="preserve">institutions apply </w:t>
      </w:r>
      <w:r w:rsidR="00FC6275" w:rsidRPr="002A677E">
        <w:t xml:space="preserve">to determine the risk weight for each of the positions </w:t>
      </w:r>
      <w:r w:rsidR="00BB22D4" w:rsidRPr="002A677E">
        <w:t>in accordance with</w:t>
      </w:r>
      <w:r w:rsidR="00FC6275" w:rsidRPr="002A677E">
        <w:t xml:space="preserve"> Part Three</w:t>
      </w:r>
      <w:r w:rsidR="00F372AF" w:rsidRPr="002A677E">
        <w:t>,</w:t>
      </w:r>
      <w:r w:rsidR="00FC6275" w:rsidRPr="002A677E">
        <w:t xml:space="preserve"> </w:t>
      </w:r>
      <w:r w:rsidR="00F372AF" w:rsidRPr="002A677E">
        <w:t xml:space="preserve">Title II, Chapter 5 </w:t>
      </w:r>
      <w:r w:rsidR="007062FD" w:rsidRPr="001235ED">
        <w:rPr>
          <w:lang w:val="en-US"/>
        </w:rPr>
        <w:t>of Regulation (EU) No 575/2013</w:t>
      </w:r>
      <w:r w:rsidR="00FC6275" w:rsidRPr="002A677E">
        <w:t>. The own funds requirements of the general risk of th</w:t>
      </w:r>
      <w:r w:rsidR="00532026" w:rsidRPr="002A677E">
        <w:t>o</w:t>
      </w:r>
      <w:r w:rsidR="00FC6275" w:rsidRPr="002A677E">
        <w:t xml:space="preserve">se positions </w:t>
      </w:r>
      <w:r w:rsidR="00532026" w:rsidRPr="002A677E">
        <w:t>shall be</w:t>
      </w:r>
      <w:r w:rsidR="00FC6275" w:rsidRPr="002A677E">
        <w:t xml:space="preserve"> </w:t>
      </w:r>
      <w:r w:rsidR="00770D40" w:rsidRPr="002A677E">
        <w:t xml:space="preserve">reported </w:t>
      </w:r>
      <w:r w:rsidR="00FC6275" w:rsidRPr="002A677E">
        <w:t>in the MKR SA TDI or the MKR IM template.</w:t>
      </w:r>
    </w:p>
    <w:p w14:paraId="0C732A14" w14:textId="1E0A90C5" w:rsidR="00FC6275"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166</w:t>
      </w:r>
      <w:r>
        <w:fldChar w:fldCharType="end"/>
      </w:r>
      <w:r w:rsidR="00FC6275" w:rsidRPr="002A677E">
        <w:t>.</w:t>
      </w:r>
      <w:r w:rsidR="005C14B0" w:rsidRPr="002A677E">
        <w:t xml:space="preserve"> </w:t>
      </w:r>
      <w:r w:rsidR="00FC6275" w:rsidRPr="002A677E">
        <w:t>Positions which receive a risk weight of 1</w:t>
      </w:r>
      <w:r w:rsidR="006A66C9" w:rsidRPr="002A677E">
        <w:t xml:space="preserve"> </w:t>
      </w:r>
      <w:r w:rsidR="00FC6275" w:rsidRPr="002A677E">
        <w:t>250</w:t>
      </w:r>
      <w:r w:rsidR="00B856D5">
        <w:t> </w:t>
      </w:r>
      <w:r w:rsidR="00FC6275" w:rsidRPr="002A677E">
        <w:t>% can alternatively be deducted from CET1 (see Article 244(1)</w:t>
      </w:r>
      <w:r w:rsidR="00B83DDE">
        <w:t>, p</w:t>
      </w:r>
      <w:r w:rsidR="00D24331" w:rsidRPr="002A677E">
        <w:t xml:space="preserve">oint (b), </w:t>
      </w:r>
      <w:r w:rsidR="00705025" w:rsidRPr="002A677E">
        <w:t xml:space="preserve">Article </w:t>
      </w:r>
      <w:r w:rsidR="00FC6275" w:rsidRPr="002A677E">
        <w:t>245(1)</w:t>
      </w:r>
      <w:r w:rsidR="00B83DDE">
        <w:t>, p</w:t>
      </w:r>
      <w:r w:rsidR="00D24331" w:rsidRPr="002A677E">
        <w:t xml:space="preserve">oint (b), </w:t>
      </w:r>
      <w:r w:rsidR="00FC6275" w:rsidRPr="002A677E">
        <w:t xml:space="preserve">and </w:t>
      </w:r>
      <w:r w:rsidR="00705025" w:rsidRPr="002A677E">
        <w:t xml:space="preserve">Article </w:t>
      </w:r>
      <w:r w:rsidR="00FC6275" w:rsidRPr="002A677E">
        <w:t xml:space="preserve">253 </w:t>
      </w:r>
      <w:r w:rsidR="007062FD" w:rsidRPr="001235ED">
        <w:rPr>
          <w:lang w:val="en-US"/>
        </w:rPr>
        <w:t>of Regulation (EU) No 575/2013</w:t>
      </w:r>
      <w:r w:rsidR="00FC6275" w:rsidRPr="002A677E">
        <w:t xml:space="preserve">). </w:t>
      </w:r>
      <w:r w:rsidR="00532026" w:rsidRPr="002A677E">
        <w:t>Where</w:t>
      </w:r>
      <w:r w:rsidR="00FC6275" w:rsidRPr="002A677E">
        <w:t xml:space="preserve"> this is the case, those positions have to be reported in row </w:t>
      </w:r>
      <w:r w:rsidR="00EE2CD5" w:rsidRPr="002A677E">
        <w:t>0</w:t>
      </w:r>
      <w:r w:rsidR="00FC6275" w:rsidRPr="002A677E">
        <w:t>460 of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0" w:name="_Toc151714491"/>
      <w:r w:rsidRPr="002A677E">
        <w:rPr>
          <w:rFonts w:ascii="Times New Roman" w:hAnsi="Times New Roman" w:cs="Times New Roman"/>
          <w:sz w:val="24"/>
          <w:u w:val="none"/>
          <w:lang w:val="en-GB"/>
        </w:rPr>
        <w:lastRenderedPageBreak/>
        <w:t>5.2.2.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34"/>
      <w:bookmarkEnd w:id="635"/>
      <w:bookmarkEnd w:id="636"/>
      <w:bookmarkEnd w:id="637"/>
      <w:bookmarkEnd w:id="638"/>
      <w:bookmarkEnd w:id="639"/>
      <w:bookmarkEnd w:id="6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503F4241" w14:textId="5A1E85D7" w:rsidR="00C55547" w:rsidRPr="002A677E" w:rsidRDefault="00C55547" w:rsidP="007062FD">
            <w:pPr>
              <w:rPr>
                <w:rFonts w:ascii="Times New Roman" w:hAnsi="Times New Roman"/>
                <w:sz w:val="24"/>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102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in con</w:t>
            </w:r>
            <w:r w:rsidR="00E64BFE" w:rsidRPr="002A677E">
              <w:rPr>
                <w:rStyle w:val="InstructionsTabelleText"/>
                <w:rFonts w:ascii="Times New Roman" w:hAnsi="Times New Roman"/>
                <w:sz w:val="24"/>
              </w:rPr>
              <w:t xml:space="preserve">junction </w:t>
            </w:r>
            <w:r w:rsidRPr="002A677E">
              <w:rPr>
                <w:rStyle w:val="InstructionsTabelleText"/>
                <w:rFonts w:ascii="Times New Roman" w:hAnsi="Times New Roman"/>
                <w:sz w:val="24"/>
              </w:rPr>
              <w:t xml:space="preserve">with Article 337 </w:t>
            </w:r>
            <w:r w:rsidR="007062FD"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(securitisation positions). Regarding the distinction between Long and Short positions, also applicable to th</w:t>
            </w:r>
            <w:r w:rsidR="00532026" w:rsidRPr="002A677E">
              <w:rPr>
                <w:rStyle w:val="InstructionsTabelleText"/>
                <w:rFonts w:ascii="Times New Roman" w:hAnsi="Times New Roman"/>
                <w:sz w:val="24"/>
              </w:rPr>
              <w:t>o</w:t>
            </w:r>
            <w:r w:rsidRPr="002A677E">
              <w:rPr>
                <w:rStyle w:val="InstructionsTabelleText"/>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w:t>
            </w:r>
            <w:r w:rsidRPr="002A677E">
              <w:rPr>
                <w:rFonts w:ascii="Times New Roman" w:hAnsi="Times New Roman"/>
                <w:b/>
                <w:bCs/>
                <w:sz w:val="24"/>
                <w:u w:val="single"/>
                <w:lang w:eastAsia="nl-BE"/>
              </w:rPr>
              <w:t xml:space="preserve"> (LONG AND SHORT)</w:t>
            </w:r>
          </w:p>
          <w:p w14:paraId="1429CBFE" w14:textId="010B8175" w:rsidR="00C55547" w:rsidRPr="002A677E" w:rsidRDefault="00705025" w:rsidP="00D24331">
            <w:pPr>
              <w:rPr>
                <w:rStyle w:val="InstructionsTabelleText"/>
                <w:rFonts w:ascii="Times New Roman" w:hAnsi="Times New Roman"/>
                <w:sz w:val="24"/>
              </w:rPr>
            </w:pPr>
            <w:r w:rsidRPr="002A677E">
              <w:rPr>
                <w:rStyle w:val="InstructionsTabelleText"/>
                <w:rFonts w:ascii="Times New Roman" w:hAnsi="Times New Roman"/>
                <w:sz w:val="24"/>
              </w:rPr>
              <w:t xml:space="preserve"> Article 244(1)</w:t>
            </w:r>
            <w:r w:rsidR="00B83DDE">
              <w:rPr>
                <w:rStyle w:val="InstructionsTabelleText"/>
                <w:rFonts w:ascii="Times New Roman" w:hAnsi="Times New Roman"/>
                <w:sz w:val="24"/>
              </w:rPr>
              <w:t>, p</w:t>
            </w:r>
            <w:r w:rsidRPr="002A677E">
              <w:rPr>
                <w:rStyle w:val="InstructionsTabelleText"/>
                <w:rFonts w:ascii="Times New Roman" w:hAnsi="Times New Roman"/>
                <w:sz w:val="24"/>
              </w:rPr>
              <w:t>oint (b)</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Article 245(1)</w:t>
            </w:r>
            <w:r w:rsidR="00B83DDE">
              <w:rPr>
                <w:rStyle w:val="InstructionsTabelleText"/>
                <w:rFonts w:ascii="Times New Roman" w:hAnsi="Times New Roman"/>
                <w:sz w:val="24"/>
              </w:rPr>
              <w:t>, p</w:t>
            </w:r>
            <w:r w:rsidR="00D24331" w:rsidRPr="002A677E">
              <w:rPr>
                <w:rStyle w:val="InstructionsTabelleText"/>
                <w:rFonts w:ascii="Times New Roman" w:hAnsi="Times New Roman"/>
                <w:sz w:val="24"/>
              </w:rPr>
              <w:t xml:space="preserve">oint (b) </w:t>
            </w:r>
            <w:r w:rsidRPr="002A677E">
              <w:rPr>
                <w:rStyle w:val="InstructionsTabelleText"/>
                <w:rFonts w:ascii="Times New Roman" w:hAnsi="Times New Roman"/>
                <w:sz w:val="24"/>
              </w:rPr>
              <w:t xml:space="preserve">and Article 253 </w:t>
            </w:r>
            <w:r w:rsidR="007062FD" w:rsidRPr="001235ED">
              <w:rPr>
                <w:rFonts w:ascii="Times New Roman" w:hAnsi="Times New Roman"/>
                <w:sz w:val="24"/>
                <w:lang w:val="en-US"/>
              </w:rPr>
              <w:t>of Regulation (EU) No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w:t>
            </w:r>
            <w:r w:rsidRPr="002A677E">
              <w:rPr>
                <w:rFonts w:ascii="Times New Roman" w:hAnsi="Times New Roman"/>
                <w:b/>
                <w:bCs/>
                <w:sz w:val="24"/>
                <w:u w:val="single"/>
                <w:lang w:eastAsia="nl-BE"/>
              </w:rPr>
              <w:t xml:space="preserve"> (LONG AND SHORT)</w:t>
            </w:r>
          </w:p>
          <w:p w14:paraId="54C14D76" w14:textId="7E4CA859" w:rsidR="00C55547" w:rsidRPr="002A677E" w:rsidRDefault="00C55547" w:rsidP="003073B2">
            <w:pPr>
              <w:rPr>
                <w:rStyle w:val="InstructionsTabelleText"/>
                <w:rFonts w:ascii="Times New Roman" w:hAnsi="Times New Roman"/>
                <w:sz w:val="24"/>
              </w:rPr>
            </w:pPr>
            <w:r w:rsidRPr="002A677E">
              <w:rPr>
                <w:rFonts w:ascii="Times New Roman" w:hAnsi="Times New Roman"/>
                <w:sz w:val="24"/>
                <w:lang w:eastAsia="de-DE"/>
              </w:rPr>
              <w:t>Articles</w:t>
            </w:r>
            <w:r w:rsidRPr="002A677E">
              <w:rPr>
                <w:rStyle w:val="InstructionsTabelleText"/>
                <w:rFonts w:ascii="Times New Roman" w:hAnsi="Times New Roman"/>
                <w:sz w:val="24"/>
              </w:rPr>
              <w:t xml:space="preserve"> 327</w:t>
            </w:r>
            <w:r w:rsidR="00532026" w:rsidRPr="002A677E">
              <w:rPr>
                <w:rStyle w:val="InstructionsTabelleText"/>
                <w:rFonts w:ascii="Times New Roman" w:hAnsi="Times New Roman"/>
                <w:sz w:val="24"/>
              </w:rPr>
              <w:t>, 328,</w:t>
            </w:r>
            <w:r w:rsidRPr="002A677E">
              <w:rPr>
                <w:rStyle w:val="InstructionsTabelleText"/>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Regarding the distinction between </w:t>
            </w:r>
            <w:r w:rsidR="00532026" w:rsidRPr="002A677E">
              <w:rPr>
                <w:rStyle w:val="InstructionsTabelleText"/>
                <w:rFonts w:ascii="Times New Roman" w:hAnsi="Times New Roman"/>
                <w:sz w:val="24"/>
              </w:rPr>
              <w:t>l</w:t>
            </w:r>
            <w:r w:rsidRPr="002A677E">
              <w:rPr>
                <w:rStyle w:val="InstructionsTabelleText"/>
                <w:rFonts w:ascii="Times New Roman" w:hAnsi="Times New Roman"/>
                <w:sz w:val="24"/>
              </w:rPr>
              <w:t xml:space="preserve">ong and </w:t>
            </w:r>
            <w:r w:rsidR="00532026" w:rsidRPr="002A677E">
              <w:rPr>
                <w:rStyle w:val="InstructionsTabelleText"/>
                <w:rFonts w:ascii="Times New Roman" w:hAnsi="Times New Roman"/>
                <w:sz w:val="24"/>
              </w:rPr>
              <w:t>s</w:t>
            </w:r>
            <w:r w:rsidRPr="002A677E">
              <w:rPr>
                <w:rStyle w:val="InstructionsTabelleText"/>
                <w:rFonts w:ascii="Times New Roman" w:hAnsi="Times New Roman"/>
                <w:sz w:val="24"/>
              </w:rPr>
              <w:t>hort positions</w:t>
            </w:r>
            <w:r w:rsidR="00532026"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061-</w:t>
            </w:r>
            <w:r w:rsidRPr="002A677E">
              <w:rPr>
                <w:rFonts w:ascii="Times New Roman" w:hAnsi="Times New Roman"/>
                <w:sz w:val="24"/>
                <w:lang w:eastAsia="nl-BE"/>
              </w:rPr>
              <w:t>0</w:t>
            </w:r>
            <w:r w:rsidR="00543964" w:rsidRPr="002A677E">
              <w:rPr>
                <w:rFonts w:ascii="Times New Roman" w:hAnsi="Times New Roman"/>
                <w:sz w:val="24"/>
                <w:lang w:eastAsia="nl-BE"/>
              </w:rPr>
              <w:t>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C3548F"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RISK WEIGHTS</w:t>
            </w:r>
          </w:p>
          <w:p w14:paraId="3ECFC065" w14:textId="41D71775" w:rsidR="00C3548F"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Article</w:t>
            </w:r>
            <w:r w:rsidR="00133396"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w:t>
            </w:r>
            <w:r w:rsidR="00133396" w:rsidRPr="002A677E">
              <w:rPr>
                <w:rStyle w:val="InstructionsTabelleText"/>
                <w:rFonts w:ascii="Times New Roman" w:hAnsi="Times New Roman"/>
                <w:sz w:val="24"/>
              </w:rPr>
              <w:t xml:space="preserve"> to</w:t>
            </w:r>
            <w:r w:rsidRPr="002A677E">
              <w:rPr>
                <w:rStyle w:val="InstructionsTabelleText"/>
                <w:rFonts w:ascii="Times New Roman" w:hAnsi="Times New Roman"/>
                <w:sz w:val="24"/>
              </w:rPr>
              <w:t xml:space="preserve"> 262,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263, </w:t>
            </w:r>
            <w:r w:rsidR="00D24331" w:rsidRPr="002A677E">
              <w:rPr>
                <w:rStyle w:val="InstructionsTabelleText"/>
                <w:rFonts w:ascii="Times New Roman" w:hAnsi="Times New Roman"/>
                <w:sz w:val="24"/>
              </w:rPr>
              <w:t xml:space="preserve">Tables 1 and 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264</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D24331"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 xml:space="preserve">The breakdown </w:t>
            </w:r>
            <w:r w:rsidR="00037FCC"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done separately for long and short positions.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133396"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APPROACHES</w:t>
            </w:r>
          </w:p>
          <w:p w14:paraId="683DE902" w14:textId="55DF04AD" w:rsidR="00C55547" w:rsidRPr="002A677E" w:rsidRDefault="00C55547" w:rsidP="003073B2">
            <w:pPr>
              <w:rPr>
                <w:rFonts w:ascii="Times New Roman" w:hAnsi="Times New Roman"/>
                <w:b/>
                <w:bCs/>
                <w:sz w:val="24"/>
                <w:u w:val="single"/>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41A48A7C" w14:textId="67C34C11"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259 and 260 </w:t>
            </w:r>
            <w:r w:rsidR="007062FD" w:rsidRPr="001235ED">
              <w:rPr>
                <w:rFonts w:ascii="Times New Roman" w:hAnsi="Times New Roman"/>
                <w:sz w:val="24"/>
                <w:lang w:val="en-US"/>
              </w:rPr>
              <w:t>of Regulation (EU) No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lang w:eastAsia="nl-BE"/>
              </w:rPr>
            </w:pPr>
            <w:r w:rsidRPr="002A677E">
              <w:rPr>
                <w:rStyle w:val="InstructionsTabelleText"/>
                <w:rFonts w:ascii="Times New Roman" w:hAnsi="Times New Roman"/>
                <w:sz w:val="24"/>
              </w:rPr>
              <w:t xml:space="preserve">Article 261 and 262 </w:t>
            </w:r>
            <w:r w:rsidR="007062FD" w:rsidRPr="001235ED">
              <w:rPr>
                <w:rFonts w:ascii="Times New Roman" w:hAnsi="Times New Roman"/>
                <w:sz w:val="24"/>
                <w:lang w:val="en-US"/>
              </w:rPr>
              <w:t>of Regulation (EU) No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2250A6DF" w14:textId="199187B3"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263 and 264 </w:t>
            </w:r>
            <w:r w:rsidR="007062FD" w:rsidRPr="001235ED">
              <w:rPr>
                <w:rFonts w:ascii="Times New Roman" w:hAnsi="Times New Roman"/>
                <w:sz w:val="24"/>
                <w:lang w:val="en-US"/>
              </w:rPr>
              <w:t>of Regulation (EU) No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5354C48C" w14:textId="67E47F49" w:rsidR="00C55547" w:rsidRPr="002A677E" w:rsidRDefault="00C55547" w:rsidP="007062FD">
            <w:pPr>
              <w:rPr>
                <w:rFonts w:ascii="Times New Roman" w:hAnsi="Times New Roman"/>
                <w:bCs/>
                <w:sz w:val="24"/>
                <w:u w:val="single"/>
                <w:lang w:eastAsia="nl-BE"/>
              </w:rPr>
            </w:pPr>
            <w:r w:rsidRPr="002A677E">
              <w:rPr>
                <w:rStyle w:val="InstructionsTabelleText"/>
                <w:rFonts w:ascii="Times New Roman" w:hAnsi="Times New Roman"/>
                <w:sz w:val="24"/>
              </w:rPr>
              <w:t>Articles 254</w:t>
            </w:r>
            <w:r w:rsidR="00A97C62">
              <w:rPr>
                <w:rStyle w:val="InstructionsTabelleText"/>
                <w:rFonts w:ascii="Times New Roman" w:hAnsi="Times New Roman"/>
                <w:sz w:val="24"/>
              </w:rPr>
              <w:t xml:space="preserve">, </w:t>
            </w:r>
            <w:r w:rsidRPr="002A677E">
              <w:rPr>
                <w:rStyle w:val="InstructionsTabelleText"/>
                <w:rFonts w:ascii="Times New Roman" w:hAnsi="Times New Roman"/>
                <w:sz w:val="24"/>
              </w:rPr>
              <w:t>265</w:t>
            </w:r>
            <w:r w:rsidR="00532026"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and 266(5) </w:t>
            </w:r>
            <w:r w:rsidR="007062FD" w:rsidRPr="001235ED">
              <w:rPr>
                <w:rFonts w:ascii="Times New Roman" w:hAnsi="Times New Roman"/>
                <w:sz w:val="24"/>
                <w:lang w:val="en-US"/>
              </w:rPr>
              <w:t xml:space="preserve">of </w:t>
            </w:r>
            <w:r w:rsidR="00A97C62" w:rsidRPr="00B763CB">
              <w:rPr>
                <w:rFonts w:ascii="Times New Roman" w:hAnsi="Times New Roman"/>
                <w:sz w:val="24"/>
                <w:lang w:val="en-US"/>
              </w:rPr>
              <w:t>Regulation (EU) No 575/2013</w:t>
            </w:r>
            <w:r w:rsidRPr="002A677E">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7BE744C" w14:textId="0A44FB4D" w:rsidR="0033476C" w:rsidRPr="002A677E" w:rsidRDefault="0033476C" w:rsidP="001235ED">
            <w:pPr>
              <w:rPr>
                <w:rFonts w:ascii="Times New Roman" w:hAnsi="Times New Roman"/>
                <w:b/>
                <w:bCs/>
                <w:sz w:val="24"/>
                <w:u w:val="single"/>
                <w:lang w:eastAsia="nl-BE"/>
              </w:rPr>
            </w:pPr>
            <w:r w:rsidRPr="002A677E">
              <w:rPr>
                <w:rFonts w:ascii="Times New Roman" w:hAnsi="Times New Roman"/>
                <w:sz w:val="24"/>
              </w:rPr>
              <w:t xml:space="preserve">Article 269a(3) </w:t>
            </w:r>
            <w:r w:rsidRPr="00B763CB">
              <w:rPr>
                <w:rFonts w:ascii="Times New Roman" w:hAnsi="Times New Roman"/>
                <w:sz w:val="24"/>
                <w:lang w:val="en-US"/>
              </w:rPr>
              <w:t>of Regulation (EU) No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1684F52F" w14:textId="43F3FE5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530-</w:t>
            </w:r>
            <w:r w:rsidRPr="002A677E">
              <w:rPr>
                <w:rFonts w:ascii="Times New Roman" w:hAnsi="Times New Roman"/>
                <w:sz w:val="24"/>
                <w:lang w:eastAsia="nl-BE"/>
              </w:rPr>
              <w:t>0</w:t>
            </w:r>
            <w:r w:rsidR="00C55547" w:rsidRPr="002A677E">
              <w:rPr>
                <w:rFonts w:ascii="Times New Roman" w:hAnsi="Times New Roman"/>
                <w:sz w:val="24"/>
                <w:lang w:eastAsia="nl-BE"/>
              </w:rPr>
              <w:t>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OVERALL EFFECT (ADJUSTMENT) DUE TO INFRINGEMENT OF CHAPTER 2 OF REGULATION (EU) 2017/2402</w:t>
            </w:r>
          </w:p>
          <w:p w14:paraId="3FBEAE4C" w14:textId="027236B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lastRenderedPageBreak/>
              <w:t xml:space="preserve">Article 270a </w:t>
            </w:r>
            <w:r w:rsidR="007062FD" w:rsidRPr="001235ED">
              <w:rPr>
                <w:rFonts w:ascii="Times New Roman" w:hAnsi="Times New Roman"/>
                <w:sz w:val="24"/>
                <w:lang w:val="en-US"/>
              </w:rPr>
              <w:t>of Regulation (EU) No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BEFORE CAP </w:t>
            </w:r>
          </w:p>
          <w:p w14:paraId="740CD739" w14:textId="19182A93"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without taking into account the discretion of Article</w:t>
            </w:r>
            <w:r w:rsidR="00532026" w:rsidRPr="002A677E">
              <w:rPr>
                <w:rFonts w:ascii="Times New Roman" w:hAnsi="Times New Roman"/>
                <w:bCs/>
                <w:sz w:val="24"/>
                <w:lang w:eastAsia="nl-BE"/>
              </w:rPr>
              <w:t> </w:t>
            </w:r>
            <w:r w:rsidRPr="002A677E">
              <w:rPr>
                <w:rFonts w:ascii="Times New Roman" w:hAnsi="Times New Roman"/>
                <w:bCs/>
                <w:sz w:val="24"/>
                <w:lang w:eastAsia="nl-BE"/>
              </w:rPr>
              <w:t xml:space="preserve">335 </w:t>
            </w:r>
            <w:r w:rsidR="007062FD" w:rsidRPr="001235ED">
              <w:rPr>
                <w:rFonts w:ascii="Times New Roman" w:hAnsi="Times New Roman"/>
                <w:sz w:val="24"/>
                <w:lang w:val="en-US"/>
              </w:rPr>
              <w:t xml:space="preserve">of that Regulation </w:t>
            </w:r>
            <w:r w:rsidR="00532026" w:rsidRPr="002A677E">
              <w:rPr>
                <w:rFonts w:ascii="Times New Roman" w:hAnsi="Times New Roman"/>
                <w:bCs/>
                <w:sz w:val="24"/>
                <w:lang w:eastAsia="nl-BE"/>
              </w:rPr>
              <w:t>which</w:t>
            </w:r>
            <w:r w:rsidRPr="002A677E">
              <w:rPr>
                <w:rFonts w:ascii="Times New Roman" w:hAnsi="Times New Roman"/>
                <w:bCs/>
                <w:sz w:val="24"/>
                <w:lang w:eastAsia="nl-BE"/>
              </w:rPr>
              <w:t xml:space="preserve"> allows an institution to cap the product of the weight and the net position at the maximum possible default-risk related loss</w:t>
            </w:r>
            <w:r w:rsidR="00532026" w:rsidRPr="002A677E">
              <w:rPr>
                <w:rFonts w:ascii="Times New Roman" w:hAnsi="Times New Roman"/>
                <w:bCs/>
                <w:sz w:val="24"/>
                <w:lang w:eastAsia="nl-BE"/>
              </w:rPr>
              <w: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EE079A" w:rsidRPr="002A677E">
              <w:rPr>
                <w:rFonts w:ascii="Times New Roman" w:hAnsi="Times New Roman"/>
                <w:sz w:val="24"/>
                <w:lang w:eastAsia="nl-BE"/>
              </w:rPr>
              <w:t>601</w:t>
            </w:r>
          </w:p>
        </w:tc>
        <w:tc>
          <w:tcPr>
            <w:tcW w:w="7605" w:type="dxa"/>
          </w:tcPr>
          <w:p w14:paraId="78FC9B76" w14:textId="4118CCB3"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AFTER CAP</w:t>
            </w:r>
            <w:r w:rsidR="00EE079A" w:rsidRPr="002A677E">
              <w:rPr>
                <w:rFonts w:ascii="Times New Roman" w:hAnsi="Times New Roman"/>
                <w:b/>
                <w:bCs/>
                <w:sz w:val="24"/>
                <w:u w:val="single"/>
                <w:lang w:eastAsia="nl-BE"/>
              </w:rPr>
              <w:t xml:space="preserve"> / TOTAL OWN FUND REQUIREMENTS</w:t>
            </w:r>
            <w:r w:rsidRPr="002A677E">
              <w:rPr>
                <w:rFonts w:ascii="Times New Roman" w:hAnsi="Times New Roman"/>
                <w:b/>
                <w:bCs/>
                <w:sz w:val="24"/>
                <w:u w:val="single"/>
                <w:lang w:eastAsia="nl-BE"/>
              </w:rPr>
              <w:t xml:space="preserve"> </w:t>
            </w:r>
            <w:r w:rsidR="00050FA1">
              <w:rPr>
                <w:rFonts w:ascii="Times New Roman" w:hAnsi="Times New Roman"/>
                <w:b/>
                <w:bCs/>
                <w:sz w:val="24"/>
                <w:u w:val="single"/>
                <w:lang w:eastAsia="nl-BE"/>
              </w:rPr>
              <w:t>BEFORE APPLICATION OF S</w:t>
            </w:r>
            <w:r w:rsidR="00AE43DC">
              <w:rPr>
                <w:rFonts w:ascii="Times New Roman" w:hAnsi="Times New Roman"/>
                <w:b/>
                <w:bCs/>
                <w:sz w:val="24"/>
                <w:u w:val="single"/>
                <w:lang w:eastAsia="nl-BE"/>
              </w:rPr>
              <w:t>C</w:t>
            </w:r>
            <w:r w:rsidR="00050FA1">
              <w:rPr>
                <w:rFonts w:ascii="Times New Roman" w:hAnsi="Times New Roman"/>
                <w:b/>
                <w:bCs/>
                <w:sz w:val="24"/>
                <w:u w:val="single"/>
                <w:lang w:eastAsia="nl-BE"/>
              </w:rPr>
              <w:t>ALING FACTOR</w:t>
            </w:r>
          </w:p>
          <w:p w14:paraId="0DE4FAED" w14:textId="022355BB"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taking </w:t>
            </w:r>
            <w:r w:rsidRPr="002A677E">
              <w:rPr>
                <w:rStyle w:val="InstructionsTabelleText"/>
                <w:rFonts w:ascii="Times New Roman" w:hAnsi="Times New Roman"/>
                <w:sz w:val="24"/>
              </w:rPr>
              <w:t>into</w:t>
            </w:r>
            <w:r w:rsidRPr="002A677E">
              <w:rPr>
                <w:rFonts w:ascii="Times New Roman" w:hAnsi="Times New Roman"/>
                <w:bCs/>
                <w:sz w:val="24"/>
                <w:lang w:eastAsia="nl-BE"/>
              </w:rPr>
              <w:t xml:space="preserve"> account the discretion of Article 335 </w:t>
            </w:r>
            <w:r w:rsidR="007062FD" w:rsidRPr="001235ED">
              <w:rPr>
                <w:rFonts w:ascii="Times New Roman" w:hAnsi="Times New Roman"/>
                <w:sz w:val="24"/>
                <w:lang w:val="en-US"/>
              </w:rPr>
              <w:t>of that Regulation</w:t>
            </w:r>
            <w:r w:rsidRPr="002A677E">
              <w:rPr>
                <w:rFonts w:ascii="Times New Roman" w:hAnsi="Times New Roman"/>
                <w:bCs/>
                <w:sz w:val="24"/>
                <w:lang w:eastAsia="nl-BE"/>
              </w:rPr>
              <w: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7537" w:type="dxa"/>
          </w:tcPr>
          <w:p w14:paraId="03F7346E" w14:textId="77777777" w:rsidR="00C55547" w:rsidRPr="002A677E" w:rsidRDefault="00C55547" w:rsidP="00E10B85">
            <w:pPr>
              <w:rPr>
                <w:rFonts w:ascii="Times New Roman" w:hAnsi="Times New Roman"/>
                <w:sz w:val="24"/>
                <w:lang w:eastAsia="nl-BE"/>
              </w:rPr>
            </w:pPr>
            <w:r w:rsidRPr="002A677E">
              <w:rPr>
                <w:rStyle w:val="InstructionsTabelleberschrift"/>
                <w:rFonts w:ascii="Times New Roman" w:hAnsi="Times New Roman"/>
                <w:sz w:val="24"/>
              </w:rPr>
              <w:t>TOTAL EXPOSURES</w:t>
            </w:r>
          </w:p>
          <w:p w14:paraId="3DA30B45" w14:textId="77777777" w:rsidR="00C55547" w:rsidRPr="002A677E" w:rsidRDefault="00C55547" w:rsidP="00C3548F">
            <w:pPr>
              <w:autoSpaceDE w:val="0"/>
              <w:autoSpaceDN w:val="0"/>
              <w:adjustRightInd w:val="0"/>
              <w:spacing w:before="0" w:after="0"/>
              <w:rPr>
                <w:rFonts w:ascii="Times New Roman" w:hAnsi="Times New Roman"/>
                <w:sz w:val="24"/>
                <w:lang w:eastAsia="nl-BE"/>
              </w:rPr>
            </w:pPr>
            <w:r w:rsidRPr="002A67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040,</w:t>
            </w:r>
            <w:r w:rsidRPr="002A677E">
              <w:rPr>
                <w:rFonts w:ascii="Times New Roman" w:hAnsi="Times New Roman"/>
                <w:sz w:val="24"/>
                <w:lang w:eastAsia="nl-BE"/>
              </w:rPr>
              <w:t xml:space="preserve"> 0</w:t>
            </w:r>
            <w:r w:rsidR="00C55547" w:rsidRPr="002A677E">
              <w:rPr>
                <w:rFonts w:ascii="Times New Roman" w:hAnsi="Times New Roman"/>
                <w:sz w:val="24"/>
                <w:lang w:eastAsia="nl-BE"/>
              </w:rPr>
              <w:t>070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3073B2" w:rsidRPr="002A677E">
              <w:rPr>
                <w:rStyle w:val="InstructionsTabelleberschrift"/>
                <w:rFonts w:ascii="Times New Roman" w:hAnsi="Times New Roman"/>
                <w:sz w:val="24"/>
              </w:rPr>
              <w:t xml:space="preserve"> </w:t>
            </w:r>
            <w:r w:rsidR="00532026" w:rsidRPr="002A677E">
              <w:rPr>
                <w:rStyle w:val="InstructionsTabelleberschrift"/>
                <w:rFonts w:ascii="Times New Roman" w:hAnsi="Times New Roman"/>
                <w:sz w:val="24"/>
              </w:rPr>
              <w:t>POSITIONS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 xml:space="preserve"> </w:t>
            </w:r>
            <w:r w:rsidR="00C55547" w:rsidRPr="002A677E">
              <w:rPr>
                <w:rFonts w:ascii="Times New Roman" w:hAnsi="Times New Roman"/>
                <w:bCs/>
                <w:sz w:val="24"/>
                <w:lang w:eastAsia="nl-BE"/>
              </w:rPr>
              <w:t>Article 4</w:t>
            </w:r>
            <w:r w:rsidRPr="002A677E">
              <w:rPr>
                <w:rFonts w:ascii="Times New Roman" w:hAnsi="Times New Roman"/>
                <w:bCs/>
                <w:sz w:val="24"/>
                <w:lang w:eastAsia="nl-BE"/>
              </w:rPr>
              <w:t>(1)</w:t>
            </w:r>
            <w:r w:rsidR="00B83DDE">
              <w:rPr>
                <w:rFonts w:ascii="Times New Roman" w:hAnsi="Times New Roman"/>
                <w:bCs/>
                <w:sz w:val="24"/>
                <w:lang w:eastAsia="nl-BE"/>
              </w:rPr>
              <w:t>, p</w:t>
            </w:r>
            <w:r w:rsidR="00D24331" w:rsidRPr="002A677E">
              <w:rPr>
                <w:rFonts w:ascii="Times New Roman" w:hAnsi="Times New Roman"/>
                <w:bCs/>
                <w:sz w:val="24"/>
                <w:lang w:eastAsia="nl-BE"/>
              </w:rPr>
              <w:t>oint (62)</w:t>
            </w:r>
            <w:r w:rsidR="00FF1617">
              <w:rPr>
                <w:rFonts w:ascii="Times New Roman" w:hAnsi="Times New Roman"/>
                <w:bCs/>
                <w:sz w:val="24"/>
                <w:lang w:eastAsia="nl-BE"/>
              </w:rPr>
              <w:t>,</w:t>
            </w:r>
            <w:r w:rsidR="00D24331"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bCs/>
                <w:sz w:val="24"/>
                <w:lang w:eastAsia="nl-BE"/>
              </w:rPr>
              <w:t>.</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 xml:space="preserve"> 0</w:t>
            </w:r>
            <w:r w:rsidR="00C55547" w:rsidRPr="002A677E">
              <w:rPr>
                <w:rFonts w:ascii="Times New Roman" w:hAnsi="Times New Roman"/>
                <w:sz w:val="24"/>
                <w:lang w:eastAsia="nl-BE"/>
              </w:rPr>
              <w:t>050,</w:t>
            </w:r>
            <w:r w:rsidRPr="002A677E">
              <w:rPr>
                <w:rFonts w:ascii="Times New Roman" w:hAnsi="Times New Roman"/>
                <w:sz w:val="24"/>
                <w:lang w:eastAsia="nl-BE"/>
              </w:rPr>
              <w:t xml:space="preserve"> 0</w:t>
            </w:r>
            <w:r w:rsidR="00C55547" w:rsidRPr="002A677E">
              <w:rPr>
                <w:rFonts w:ascii="Times New Roman" w:hAnsi="Times New Roman"/>
                <w:sz w:val="24"/>
                <w:lang w:eastAsia="nl-BE"/>
              </w:rPr>
              <w:t>080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RE-SECURITISATIONS</w:t>
            </w:r>
            <w:r w:rsidR="00532026" w:rsidRPr="002A677E">
              <w:rPr>
                <w:rStyle w:val="InstructionsTabelleberschrift"/>
                <w:rFonts w:ascii="Times New Roman" w:hAnsi="Times New Roman"/>
                <w:sz w:val="24"/>
              </w:rPr>
              <w:t xml:space="preserve"> POSITIONS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(64)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041, </w:t>
            </w:r>
            <w:r w:rsidRPr="002A677E">
              <w:rPr>
                <w:rFonts w:ascii="Times New Roman" w:hAnsi="Times New Roman"/>
                <w:sz w:val="24"/>
                <w:lang w:eastAsia="nl-BE"/>
              </w:rPr>
              <w:t>0</w:t>
            </w:r>
            <w:r w:rsidR="00C55547" w:rsidRPr="002A677E">
              <w:rPr>
                <w:rFonts w:ascii="Times New Roman" w:hAnsi="Times New Roman"/>
                <w:sz w:val="24"/>
                <w:lang w:eastAsia="nl-BE"/>
              </w:rPr>
              <w:t xml:space="preserve">071 and </w:t>
            </w:r>
            <w:r w:rsidRPr="002A677E">
              <w:rPr>
                <w:rFonts w:ascii="Times New Roman" w:hAnsi="Times New Roman"/>
                <w:sz w:val="24"/>
                <w:lang w:eastAsia="nl-BE"/>
              </w:rPr>
              <w:t>0</w:t>
            </w:r>
            <w:r w:rsidR="00C55547" w:rsidRPr="002A677E">
              <w:rPr>
                <w:rFonts w:ascii="Times New Roman" w:hAnsi="Times New Roman"/>
                <w:sz w:val="24"/>
                <w:lang w:eastAsia="nl-BE"/>
              </w:rPr>
              <w:t>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FOR DIFFERENTIATED CAPITAL TREATMENT</w:t>
            </w:r>
          </w:p>
          <w:p w14:paraId="775DD0A5" w14:textId="73ABBACB" w:rsidR="00C55547" w:rsidRPr="002A677E" w:rsidRDefault="00C55547" w:rsidP="007062FD">
            <w:pPr>
              <w:rPr>
                <w:rStyle w:val="InstructionsTabelleberschrift"/>
                <w:rFonts w:ascii="Times New Roman" w:hAnsi="Times New Roman"/>
                <w:sz w:val="24"/>
              </w:rPr>
            </w:pPr>
            <w:r w:rsidRPr="001235ED">
              <w:rPr>
                <w:rFonts w:ascii="Times New Roman" w:hAnsi="Times New Roman"/>
                <w:bCs/>
                <w:sz w:val="24"/>
                <w:lang w:eastAsia="nl-BE"/>
              </w:rPr>
              <w:t>Total amount of securit</w:t>
            </w:r>
            <w:r w:rsidR="001E0C80" w:rsidRPr="002A677E">
              <w:rPr>
                <w:rFonts w:ascii="Times New Roman" w:hAnsi="Times New Roman"/>
                <w:bCs/>
                <w:sz w:val="24"/>
                <w:lang w:eastAsia="nl-BE"/>
              </w:rPr>
              <w:t>i</w:t>
            </w:r>
            <w:r w:rsidRPr="002A677E">
              <w:rPr>
                <w:rFonts w:ascii="Times New Roman" w:hAnsi="Times New Roman"/>
                <w:bCs/>
                <w:sz w:val="24"/>
                <w:lang w:eastAsia="nl-BE"/>
              </w:rPr>
              <w:t xml:space="preserve">sation positions which fulfil the criteria of Article 243 </w:t>
            </w:r>
            <w:r w:rsidR="007062FD" w:rsidRPr="001235ED">
              <w:rPr>
                <w:rFonts w:ascii="Times New Roman" w:hAnsi="Times New Roman"/>
                <w:sz w:val="24"/>
                <w:lang w:val="en-US"/>
              </w:rPr>
              <w:t>of Regulation (EU) No 575/2013</w:t>
            </w:r>
            <w:r w:rsidRPr="002A677E">
              <w:rPr>
                <w:rFonts w:ascii="Times New Roman" w:hAnsi="Times New Roman"/>
                <w:bCs/>
                <w:sz w:val="24"/>
                <w:lang w:eastAsia="nl-BE"/>
              </w:rPr>
              <w:t xml:space="preserve"> </w:t>
            </w:r>
            <w:r w:rsidR="00664361" w:rsidRPr="002A677E">
              <w:rPr>
                <w:rFonts w:ascii="Times New Roman" w:hAnsi="Times New Roman"/>
                <w:bCs/>
                <w:sz w:val="24"/>
                <w:lang w:eastAsia="nl-BE"/>
              </w:rPr>
              <w:t xml:space="preserve">or Article 270 </w:t>
            </w:r>
            <w:r w:rsidR="007062FD" w:rsidRPr="001235ED">
              <w:rPr>
                <w:rFonts w:ascii="Times New Roman" w:hAnsi="Times New Roman"/>
                <w:sz w:val="24"/>
                <w:lang w:val="en-US"/>
              </w:rPr>
              <w:t>of that Regulation</w:t>
            </w:r>
            <w:r w:rsidR="00664361" w:rsidRPr="002A677E">
              <w:rPr>
                <w:rFonts w:ascii="Times New Roman" w:hAnsi="Times New Roman"/>
                <w:bCs/>
                <w:sz w:val="24"/>
                <w:lang w:eastAsia="nl-BE"/>
              </w:rPr>
              <w:t xml:space="preserve"> </w:t>
            </w:r>
            <w:r w:rsidRPr="002A677E">
              <w:rPr>
                <w:rFonts w:ascii="Times New Roman" w:hAnsi="Times New Roman"/>
                <w:bCs/>
                <w:sz w:val="24"/>
                <w:lang w:eastAsia="nl-BE"/>
              </w:rPr>
              <w:t>and therefore qualify for differentiated capital treatment.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(13)</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060-</w:t>
            </w:r>
            <w:r w:rsidRPr="002A677E">
              <w:rPr>
                <w:rFonts w:ascii="Times New Roman" w:hAnsi="Times New Roman"/>
                <w:sz w:val="24"/>
                <w:lang w:eastAsia="nl-BE"/>
              </w:rPr>
              <w:t>0</w:t>
            </w:r>
            <w:r w:rsidR="00C55547" w:rsidRPr="002A677E">
              <w:rPr>
                <w:rFonts w:ascii="Times New Roman" w:hAnsi="Times New Roman"/>
                <w:sz w:val="24"/>
                <w:lang w:eastAsia="nl-BE"/>
              </w:rPr>
              <w:t>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2A677E">
              <w:rPr>
                <w:rFonts w:ascii="Times New Roman" w:hAnsi="Times New Roman"/>
                <w:bCs/>
                <w:sz w:val="24"/>
                <w:lang w:eastAsia="nl-BE"/>
              </w:rPr>
              <w: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090-</w:t>
            </w: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A</w:t>
            </w:r>
            <w:r w:rsidR="00C55547" w:rsidRPr="002A677E">
              <w:rPr>
                <w:rStyle w:val="InstructionsTabelleText"/>
                <w:rFonts w:ascii="Times New Roman" w:hAnsi="Times New Roman"/>
                <w:sz w:val="24"/>
              </w:rPr>
              <w:t xml:space="preserve"> sponsor </w:t>
            </w:r>
            <w:r w:rsidRPr="002A677E">
              <w:rPr>
                <w:rStyle w:val="InstructionsTabelleText"/>
                <w:rFonts w:ascii="Times New Roman" w:hAnsi="Times New Roman"/>
                <w:sz w:val="24"/>
              </w:rPr>
              <w:t xml:space="preserve">that </w:t>
            </w:r>
            <w:r w:rsidR="00C55547" w:rsidRPr="002A677E">
              <w:rPr>
                <w:rStyle w:val="InstructionsTabelleText"/>
                <w:rFonts w:ascii="Times New Roman" w:hAnsi="Times New Roman"/>
                <w:sz w:val="24"/>
              </w:rPr>
              <w:t>also securitis</w:t>
            </w:r>
            <w:r w:rsidRPr="002A677E">
              <w:rPr>
                <w:rStyle w:val="InstructionsTabelleText"/>
                <w:rFonts w:ascii="Times New Roman" w:hAnsi="Times New Roman"/>
                <w:sz w:val="24"/>
              </w:rPr>
              <w:t>es</w:t>
            </w:r>
            <w:r w:rsidR="00C55547" w:rsidRPr="002A677E">
              <w:rPr>
                <w:rStyle w:val="InstructionsTabelleText"/>
                <w:rFonts w:ascii="Times New Roman" w:hAnsi="Times New Roman"/>
                <w:sz w:val="24"/>
              </w:rPr>
              <w:t xml:space="preserve"> it</w:t>
            </w:r>
            <w:r w:rsidRPr="002A677E">
              <w:rPr>
                <w:rStyle w:val="InstructionsTabelleText"/>
                <w:rFonts w:ascii="Times New Roman" w:hAnsi="Times New Roman"/>
                <w:sz w:val="24"/>
              </w:rPr>
              <w:t>s</w:t>
            </w:r>
            <w:r w:rsidR="00C55547" w:rsidRPr="002A677E">
              <w:rPr>
                <w:rStyle w:val="InstructionsTabelleText"/>
                <w:rFonts w:ascii="Times New Roman" w:hAnsi="Times New Roman"/>
                <w:sz w:val="24"/>
              </w:rPr>
              <w:t xml:space="preserve"> own assets shall fill in the originator's rows with the information regarding its own securitised assets</w:t>
            </w:r>
            <w:r w:rsidRPr="002A677E">
              <w:rPr>
                <w:rStyle w:val="InstructionsTabelleText"/>
                <w:rFonts w:ascii="Times New Roman" w:hAnsi="Times New Roman"/>
                <w:sz w:val="24"/>
              </w:rPr>
              <w: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1" w:name="_Toc294172373"/>
      <w:bookmarkStart w:id="642" w:name="_Toc295830002"/>
      <w:bookmarkStart w:id="643" w:name="_Toc308426679"/>
      <w:bookmarkStart w:id="644" w:name="_Toc310415063"/>
      <w:bookmarkStart w:id="645" w:name="_Toc360188398"/>
      <w:bookmarkStart w:id="646" w:name="_Toc473561038"/>
      <w:bookmarkStart w:id="647" w:name="_Toc151714492"/>
      <w:r w:rsidRPr="002A677E">
        <w:rPr>
          <w:rFonts w:ascii="Times New Roman" w:hAnsi="Times New Roman" w:cs="Times New Roman"/>
          <w:sz w:val="24"/>
          <w:u w:val="none"/>
          <w:lang w:val="en-GB"/>
        </w:rPr>
        <w:lastRenderedPageBreak/>
        <w:t>5.3.</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20.00 - </w:t>
      </w:r>
      <w:r w:rsidR="000B0B09" w:rsidRPr="002A677E">
        <w:rPr>
          <w:rFonts w:ascii="Times New Roman" w:hAnsi="Times New Roman" w:cs="Times New Roman"/>
          <w:sz w:val="24"/>
          <w:lang w:val="en-GB"/>
        </w:rPr>
        <w:t>MARKET RISK: STANDARDISED APPROACH FOR SPECIFIC RISK FOR POSITIONS ASSIGNED TO THE CORRELATION TRADING PORTFOLIO (MKR SA CTP</w:t>
      </w:r>
      <w:bookmarkEnd w:id="641"/>
      <w:bookmarkEnd w:id="642"/>
      <w:bookmarkEnd w:id="643"/>
      <w:bookmarkEnd w:id="644"/>
      <w:r w:rsidR="000B0B09" w:rsidRPr="002A677E">
        <w:rPr>
          <w:rFonts w:ascii="Times New Roman" w:hAnsi="Times New Roman" w:cs="Times New Roman"/>
          <w:sz w:val="24"/>
          <w:lang w:val="en-GB"/>
        </w:rPr>
        <w:t>)</w:t>
      </w:r>
      <w:bookmarkEnd w:id="645"/>
      <w:bookmarkEnd w:id="646"/>
      <w:bookmarkEnd w:id="647"/>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8" w:name="_Toc294172374"/>
      <w:bookmarkStart w:id="649" w:name="_Toc295830003"/>
      <w:bookmarkStart w:id="650" w:name="_Toc308426680"/>
      <w:bookmarkStart w:id="651" w:name="_Toc310415064"/>
      <w:bookmarkStart w:id="652" w:name="_Toc360188399"/>
      <w:bookmarkStart w:id="653" w:name="_Toc473561039"/>
      <w:bookmarkStart w:id="654" w:name="_Toc151714493"/>
      <w:r w:rsidRPr="002A677E">
        <w:rPr>
          <w:rFonts w:ascii="Times New Roman" w:hAnsi="Times New Roman" w:cs="Times New Roman"/>
          <w:sz w:val="24"/>
          <w:u w:val="none"/>
          <w:lang w:val="en-GB"/>
        </w:rPr>
        <w:t>5.3.1.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48"/>
      <w:bookmarkEnd w:id="649"/>
      <w:bookmarkEnd w:id="650"/>
      <w:bookmarkEnd w:id="651"/>
      <w:bookmarkEnd w:id="652"/>
      <w:bookmarkEnd w:id="653"/>
      <w:bookmarkEnd w:id="654"/>
    </w:p>
    <w:bookmarkStart w:id="655" w:name="_Toc294172375"/>
    <w:bookmarkStart w:id="656" w:name="_Toc295830004"/>
    <w:bookmarkStart w:id="657" w:name="_Toc308426681"/>
    <w:bookmarkStart w:id="658" w:name="_Toc310415065"/>
    <w:bookmarkStart w:id="659" w:name="_Toc360188400"/>
    <w:bookmarkStart w:id="660" w:name="_Toc473561040"/>
    <w:p w14:paraId="6E7E4803" w14:textId="16608BBE" w:rsidR="00C55547" w:rsidRPr="002A677E" w:rsidRDefault="00771068" w:rsidP="00C112F8">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005E3D5A">
        <w:rPr>
          <w:noProof/>
        </w:rPr>
        <w:t>167</w:t>
      </w:r>
      <w:r w:rsidRPr="00624117">
        <w:fldChar w:fldCharType="end"/>
      </w:r>
      <w:r w:rsidR="00C55547" w:rsidRPr="002A677E">
        <w:t>.</w:t>
      </w:r>
      <w:r w:rsidR="005C14B0" w:rsidRPr="002A677E">
        <w:t xml:space="preserve"> </w:t>
      </w:r>
      <w:r w:rsidR="00C55547" w:rsidRPr="002A677E">
        <w:t xml:space="preserve">This template requests information on positions of the </w:t>
      </w:r>
      <w:r w:rsidR="00EF6FD5" w:rsidRPr="002A677E">
        <w:t>Correlation Trading Portfolio (</w:t>
      </w:r>
      <w:r w:rsidR="00C55547" w:rsidRPr="002A677E">
        <w:t>CTP</w:t>
      </w:r>
      <w:r w:rsidR="00EF6FD5" w:rsidRPr="002A677E">
        <w:t>)</w:t>
      </w:r>
      <w:r w:rsidR="00C55547" w:rsidRPr="002A677E">
        <w:t xml:space="preserve"> (comprising securitisations, nth-to-default credit derivatives and other CTP positions included </w:t>
      </w:r>
      <w:r w:rsidR="00BB22D4" w:rsidRPr="002A677E">
        <w:t>in accordance with</w:t>
      </w:r>
      <w:r w:rsidR="00C55547" w:rsidRPr="002A677E">
        <w:t xml:space="preserve"> Article 338(3) </w:t>
      </w:r>
      <w:r w:rsidR="007062FD" w:rsidRPr="001235ED">
        <w:rPr>
          <w:lang w:val="en-US"/>
        </w:rPr>
        <w:t xml:space="preserve">of Regulation (EU) No 575/2013 </w:t>
      </w:r>
      <w:r w:rsidR="00C55547" w:rsidRPr="002A677E">
        <w:t xml:space="preserve">) and the corresponding own funds requirements under the </w:t>
      </w:r>
      <w:r w:rsidR="00CA21CA" w:rsidRPr="002A677E">
        <w:t>Standardised Approach</w:t>
      </w:r>
      <w:r w:rsidR="00C55547" w:rsidRPr="002A677E">
        <w:t>.</w:t>
      </w:r>
    </w:p>
    <w:p w14:paraId="7D9D9B10" w14:textId="10DDB804" w:rsidR="00C55547"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168</w:t>
      </w:r>
      <w:r>
        <w:fldChar w:fldCharType="end"/>
      </w:r>
      <w:r w:rsidR="00C55547" w:rsidRPr="002A677E">
        <w:t>.</w:t>
      </w:r>
      <w:r w:rsidR="00C55547" w:rsidRPr="002A677E">
        <w:tab/>
      </w:r>
      <w:r w:rsidR="005C14B0" w:rsidRPr="002A677E">
        <w:t xml:space="preserve"> </w:t>
      </w:r>
      <w:r w:rsidR="00C55547" w:rsidRPr="002A677E">
        <w:t xml:space="preserve">The MKR SA CTP template </w:t>
      </w:r>
      <w:r w:rsidR="00DE7B41" w:rsidRPr="002A677E">
        <w:t xml:space="preserve">presents </w:t>
      </w:r>
      <w:r w:rsidR="00C55547" w:rsidRPr="002A677E">
        <w:t>the own funds requirement only for the specific risk of positions assigned to the C</w:t>
      </w:r>
      <w:r w:rsidR="00EF6FD5" w:rsidRPr="002A677E">
        <w:t>TP</w:t>
      </w:r>
      <w:r w:rsidR="00C55547" w:rsidRPr="002A677E">
        <w:t xml:space="preserve"> </w:t>
      </w:r>
      <w:r w:rsidR="00BB22D4" w:rsidRPr="002A677E">
        <w:t>in accordance with</w:t>
      </w:r>
      <w:r w:rsidR="00C55547" w:rsidRPr="002A677E">
        <w:t xml:space="preserve"> Article 335 </w:t>
      </w:r>
      <w:r w:rsidR="007062FD" w:rsidRPr="001235ED">
        <w:rPr>
          <w:lang w:val="en-US"/>
        </w:rPr>
        <w:t>of Regulation (EU) No 575/2013</w:t>
      </w:r>
      <w:r w:rsidR="00C55547" w:rsidRPr="002A677E">
        <w:t xml:space="preserve"> in con</w:t>
      </w:r>
      <w:r w:rsidR="00B20317" w:rsidRPr="002A677E">
        <w:t>junction</w:t>
      </w:r>
      <w:r w:rsidR="00C55547" w:rsidRPr="002A677E">
        <w:t xml:space="preserve"> with Article 338</w:t>
      </w:r>
      <w:r w:rsidR="00B83DDE">
        <w:t>, p</w:t>
      </w:r>
      <w:r w:rsidR="00D24331" w:rsidRPr="002A677E">
        <w:t xml:space="preserve">aragraphs 2 and 3 </w:t>
      </w:r>
      <w:r w:rsidR="007062FD" w:rsidRPr="001235ED">
        <w:rPr>
          <w:lang w:val="en-US"/>
        </w:rPr>
        <w:t>of that Regulation</w:t>
      </w:r>
      <w:r w:rsidR="00C55547" w:rsidRPr="002A677E">
        <w:t xml:space="preserve">. If CTP-positions of the trading book are hedged by credit derivatives, Articles 346 and 347 </w:t>
      </w:r>
      <w:r w:rsidR="007062FD" w:rsidRPr="001235ED">
        <w:rPr>
          <w:lang w:val="en-US"/>
        </w:rPr>
        <w:t>of Regulation (EU) No 575/2013</w:t>
      </w:r>
      <w:r w:rsidR="00C55547" w:rsidRPr="002A677E">
        <w:t xml:space="preserve"> apply. There is only one template for all CTP-positions of the trading book, irrespective of the approach institutions apply to determine the risk weight for each of the positions </w:t>
      </w:r>
      <w:r w:rsidR="00BB22D4" w:rsidRPr="002A677E">
        <w:t>in accordance with</w:t>
      </w:r>
      <w:r w:rsidR="00C55547" w:rsidRPr="002A677E">
        <w:t xml:space="preserve"> Part Three</w:t>
      </w:r>
      <w:r w:rsidR="00D24331" w:rsidRPr="002A677E">
        <w:t>,</w:t>
      </w:r>
      <w:r w:rsidR="00C55547" w:rsidRPr="002A677E">
        <w:t xml:space="preserve"> </w:t>
      </w:r>
      <w:r w:rsidR="00D24331" w:rsidRPr="002A677E">
        <w:t xml:space="preserve">Title II, Chapter 5 </w:t>
      </w:r>
      <w:r w:rsidR="007062FD" w:rsidRPr="001235ED">
        <w:rPr>
          <w:lang w:val="en-US"/>
        </w:rPr>
        <w:t>of Regulation (EU) No 575/2013</w:t>
      </w:r>
      <w:r w:rsidR="00C55547" w:rsidRPr="002A677E">
        <w:t xml:space="preserve">. The own funds requirements </w:t>
      </w:r>
      <w:r w:rsidR="00B20317" w:rsidRPr="002A677E">
        <w:t xml:space="preserve">for </w:t>
      </w:r>
      <w:r w:rsidR="00C55547" w:rsidRPr="002A677E">
        <w:t xml:space="preserve">the general risk of these positions </w:t>
      </w:r>
      <w:r w:rsidR="00E64BFE" w:rsidRPr="002A677E">
        <w:t>are reported</w:t>
      </w:r>
      <w:r w:rsidR="00C55547" w:rsidRPr="002A677E">
        <w:t xml:space="preserve"> in the MKR SA TDI or the MKR IM template.</w:t>
      </w:r>
    </w:p>
    <w:p w14:paraId="2252BE4F" w14:textId="24E92994" w:rsidR="00C55547"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169</w:t>
      </w:r>
      <w:r>
        <w:fldChar w:fldCharType="end"/>
      </w:r>
      <w:r w:rsidR="00C55547" w:rsidRPr="002A677E">
        <w:t>.</w:t>
      </w:r>
      <w:r w:rsidR="00C55547" w:rsidRPr="002A677E">
        <w:tab/>
      </w:r>
      <w:r w:rsidR="005C14B0" w:rsidRPr="002A677E">
        <w:t xml:space="preserve"> </w:t>
      </w:r>
      <w:r w:rsidR="00C55547" w:rsidRPr="002A677E">
        <w:t>Th</w:t>
      </w:r>
      <w:r w:rsidR="00E64BFE" w:rsidRPr="002A677E">
        <w:t xml:space="preserve">e </w:t>
      </w:r>
      <w:r w:rsidR="00C55547" w:rsidRPr="002A677E">
        <w:t xml:space="preserve">template separates securitisation positions, n-th to default credit derivatives and other CTP-positions. </w:t>
      </w:r>
      <w:r w:rsidR="00E64BFE" w:rsidRPr="002A677E">
        <w:t>S</w:t>
      </w:r>
      <w:r w:rsidR="00C55547" w:rsidRPr="002A677E">
        <w:t xml:space="preserve">ecuritisation positions shall always be reported in rows </w:t>
      </w:r>
      <w:r w:rsidR="002F79EA" w:rsidRPr="002A677E">
        <w:t>0</w:t>
      </w:r>
      <w:r w:rsidR="00C55547" w:rsidRPr="002A677E">
        <w:t xml:space="preserve">030, </w:t>
      </w:r>
      <w:r w:rsidR="002F79EA" w:rsidRPr="002A677E">
        <w:t>0</w:t>
      </w:r>
      <w:r w:rsidR="00C55547" w:rsidRPr="002A677E">
        <w:t xml:space="preserve">060 or </w:t>
      </w:r>
      <w:r w:rsidR="002F79EA" w:rsidRPr="002A677E">
        <w:t>0</w:t>
      </w:r>
      <w:r w:rsidR="00C55547" w:rsidRPr="002A677E">
        <w:t xml:space="preserve">090 (depending on the role of the institution in the securitisation). N-th to default credit derivatives shall always be reported in row </w:t>
      </w:r>
      <w:r w:rsidR="002F79EA" w:rsidRPr="002A677E">
        <w:t>0</w:t>
      </w:r>
      <w:r w:rsidR="00C55547" w:rsidRPr="002A677E">
        <w:t xml:space="preserve">110. The "other CTP-positions" </w:t>
      </w:r>
      <w:r w:rsidR="00E64BFE" w:rsidRPr="002A677E">
        <w:t xml:space="preserve">are positions that </w:t>
      </w:r>
      <w:r w:rsidR="00C55547" w:rsidRPr="002A677E">
        <w:t xml:space="preserve">are neither securitisation positions nor n-th to default credit derivatives (see Article 338(3) </w:t>
      </w:r>
      <w:r w:rsidR="007062FD" w:rsidRPr="001235ED">
        <w:rPr>
          <w:lang w:val="en-US"/>
        </w:rPr>
        <w:t>of Regulation (EU) No 575/2013</w:t>
      </w:r>
      <w:r w:rsidR="00C55547" w:rsidRPr="002A677E">
        <w:t>), but they are explicitly "linked" to one of th</w:t>
      </w:r>
      <w:r w:rsidR="00EF6FD5" w:rsidRPr="002A677E">
        <w:t>o</w:t>
      </w:r>
      <w:r w:rsidR="00C55547" w:rsidRPr="002A677E">
        <w:t>se two positions</w:t>
      </w:r>
      <w:r w:rsidR="00E64BFE" w:rsidRPr="002A677E">
        <w:t xml:space="preserve"> (because of the hedging intent)</w:t>
      </w:r>
      <w:r w:rsidR="00C55547" w:rsidRPr="002A677E">
        <w:t xml:space="preserve">. </w:t>
      </w:r>
    </w:p>
    <w:p w14:paraId="5B5B9C2A" w14:textId="1FECC81E" w:rsidR="00C55547"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170</w:t>
      </w:r>
      <w:r>
        <w:fldChar w:fldCharType="end"/>
      </w:r>
      <w:r w:rsidR="00C55547" w:rsidRPr="002A677E">
        <w:t>.</w:t>
      </w:r>
      <w:r w:rsidR="00C55547" w:rsidRPr="002A677E">
        <w:tab/>
      </w:r>
      <w:r w:rsidR="005C14B0" w:rsidRPr="002A677E">
        <w:t xml:space="preserve"> </w:t>
      </w:r>
      <w:r w:rsidR="00C55547" w:rsidRPr="002A677E">
        <w:t>Positions which receive a risk weight of 1</w:t>
      </w:r>
      <w:r w:rsidR="006A66C9" w:rsidRPr="002A677E">
        <w:t xml:space="preserve"> </w:t>
      </w:r>
      <w:r w:rsidR="00C55547" w:rsidRPr="002A677E">
        <w:t>250</w:t>
      </w:r>
      <w:r w:rsidR="00B856D5">
        <w:t> </w:t>
      </w:r>
      <w:r w:rsidR="00C55547" w:rsidRPr="002A677E">
        <w:t>% can alternatively be deducted from CET1 (see</w:t>
      </w:r>
      <w:r w:rsidR="00402284">
        <w:t xml:space="preserve"> </w:t>
      </w:r>
      <w:r w:rsidR="00705025" w:rsidRPr="002A677E">
        <w:t>Article 244(1)</w:t>
      </w:r>
      <w:r w:rsidR="00B83DDE">
        <w:t>, p</w:t>
      </w:r>
      <w:r w:rsidR="00705025" w:rsidRPr="002A677E">
        <w:t>oint (b)</w:t>
      </w:r>
      <w:r w:rsidR="00D24331" w:rsidRPr="002A677E">
        <w:t>,</w:t>
      </w:r>
      <w:r w:rsidR="00705025" w:rsidRPr="002A677E">
        <w:t>Article 245(1)</w:t>
      </w:r>
      <w:r w:rsidR="00B83DDE">
        <w:t>, p</w:t>
      </w:r>
      <w:r w:rsidR="00D24331" w:rsidRPr="002A677E">
        <w:t xml:space="preserve">oint (b) </w:t>
      </w:r>
      <w:r w:rsidR="00705025" w:rsidRPr="002A677E">
        <w:t xml:space="preserve">and Article 253 </w:t>
      </w:r>
      <w:r w:rsidR="007062FD" w:rsidRPr="001235ED">
        <w:rPr>
          <w:lang w:val="en-US"/>
        </w:rPr>
        <w:t>of Regulation (EU) No 575/2013</w:t>
      </w:r>
      <w:r w:rsidR="00C55547" w:rsidRPr="002A677E">
        <w:t xml:space="preserve">). </w:t>
      </w:r>
      <w:r w:rsidR="00EF6FD5" w:rsidRPr="002A677E">
        <w:t>Where</w:t>
      </w:r>
      <w:r w:rsidR="00C55547" w:rsidRPr="002A677E">
        <w:t xml:space="preserve"> this is the case, those positions have to be reported in row </w:t>
      </w:r>
      <w:r w:rsidR="002F79EA" w:rsidRPr="002A677E">
        <w:t>0</w:t>
      </w:r>
      <w:r w:rsidR="00C55547" w:rsidRPr="002A677E">
        <w:t>460 of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1" w:name="_Toc151714494"/>
      <w:r w:rsidRPr="002A677E">
        <w:rPr>
          <w:rFonts w:ascii="Times New Roman" w:hAnsi="Times New Roman" w:cs="Times New Roman"/>
          <w:sz w:val="24"/>
          <w:u w:val="none"/>
          <w:lang w:val="en-GB"/>
        </w:rPr>
        <w:t>5.3.2.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55"/>
      <w:bookmarkEnd w:id="656"/>
      <w:bookmarkEnd w:id="657"/>
      <w:bookmarkEnd w:id="658"/>
      <w:bookmarkEnd w:id="659"/>
      <w:bookmarkEnd w:id="660"/>
      <w:bookmarkEnd w:id="661"/>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ALL POSITIONS (LONG AND SHORT)</w:t>
            </w:r>
          </w:p>
          <w:p w14:paraId="4F3CF7CB" w14:textId="017BAB06" w:rsidR="005C14B0" w:rsidRPr="002A677E" w:rsidRDefault="00C55547" w:rsidP="00E10B85">
            <w:pPr>
              <w:rPr>
                <w:rFonts w:ascii="Times New Roman" w:hAnsi="Times New Roman"/>
                <w:sz w:val="24"/>
              </w:rPr>
            </w:pPr>
            <w:r w:rsidRPr="002A677E">
              <w:rPr>
                <w:rFonts w:ascii="Times New Roman" w:hAnsi="Times New Roman"/>
                <w:sz w:val="24"/>
              </w:rPr>
              <w:t xml:space="preserve">Article 102 and </w:t>
            </w:r>
            <w:r w:rsidR="008241B9" w:rsidRPr="002A677E">
              <w:rPr>
                <w:rFonts w:ascii="Times New Roman" w:hAnsi="Times New Roman"/>
                <w:sz w:val="24"/>
              </w:rPr>
              <w:t xml:space="preserve">Article </w:t>
            </w:r>
            <w:r w:rsidRPr="002A677E">
              <w:rPr>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rPr>
              <w:t xml:space="preserve"> in con</w:t>
            </w:r>
            <w:r w:rsidR="00E64BFE" w:rsidRPr="002A677E">
              <w:rPr>
                <w:rFonts w:ascii="Times New Roman" w:hAnsi="Times New Roman"/>
                <w:sz w:val="24"/>
              </w:rPr>
              <w:t xml:space="preserve">junction </w:t>
            </w:r>
            <w:r w:rsidR="00EF6FD5" w:rsidRPr="002A677E">
              <w:rPr>
                <w:rFonts w:ascii="Times New Roman" w:hAnsi="Times New Roman"/>
                <w:sz w:val="24"/>
              </w:rPr>
              <w:t xml:space="preserve">paragraphs </w:t>
            </w:r>
            <w:r w:rsidR="002F79EA" w:rsidRPr="002A677E">
              <w:rPr>
                <w:rFonts w:ascii="Times New Roman" w:hAnsi="Times New Roman"/>
                <w:sz w:val="24"/>
              </w:rPr>
              <w:t>(</w:t>
            </w:r>
            <w:r w:rsidR="00EF6FD5" w:rsidRPr="002A677E">
              <w:rPr>
                <w:rFonts w:ascii="Times New Roman" w:hAnsi="Times New Roman"/>
                <w:sz w:val="24"/>
              </w:rPr>
              <w:t>2</w:t>
            </w:r>
            <w:r w:rsidR="002F79EA" w:rsidRPr="002A677E">
              <w:rPr>
                <w:rFonts w:ascii="Times New Roman" w:hAnsi="Times New Roman"/>
                <w:sz w:val="24"/>
              </w:rPr>
              <w:t>)</w:t>
            </w:r>
            <w:r w:rsidR="00EF6FD5" w:rsidRPr="002A677E">
              <w:rPr>
                <w:rFonts w:ascii="Times New Roman" w:hAnsi="Times New Roman"/>
                <w:sz w:val="24"/>
              </w:rPr>
              <w:t xml:space="preserve"> and </w:t>
            </w:r>
            <w:r w:rsidR="002F79EA" w:rsidRPr="002A677E">
              <w:rPr>
                <w:rFonts w:ascii="Times New Roman" w:hAnsi="Times New Roman"/>
                <w:sz w:val="24"/>
              </w:rPr>
              <w:t>(</w:t>
            </w:r>
            <w:r w:rsidR="00EF6FD5" w:rsidRPr="002A677E">
              <w:rPr>
                <w:rFonts w:ascii="Times New Roman" w:hAnsi="Times New Roman"/>
                <w:sz w:val="24"/>
              </w:rPr>
              <w:t>3</w:t>
            </w:r>
            <w:r w:rsidR="002F79EA" w:rsidRPr="002A677E">
              <w:rPr>
                <w:rFonts w:ascii="Times New Roman" w:hAnsi="Times New Roman"/>
                <w:sz w:val="24"/>
              </w:rPr>
              <w:t>)</w:t>
            </w:r>
            <w:r w:rsidR="00EF6FD5" w:rsidRPr="002A677E">
              <w:rPr>
                <w:rFonts w:ascii="Times New Roman" w:hAnsi="Times New Roman"/>
                <w:sz w:val="24"/>
              </w:rPr>
              <w:t xml:space="preserve"> of </w:t>
            </w:r>
            <w:r w:rsidRPr="002A677E">
              <w:rPr>
                <w:rFonts w:ascii="Times New Roman" w:hAnsi="Times New Roman"/>
                <w:sz w:val="24"/>
              </w:rPr>
              <w:t xml:space="preserve">Article 338 </w:t>
            </w:r>
            <w:r w:rsidR="007062FD" w:rsidRPr="001235ED">
              <w:rPr>
                <w:rFonts w:ascii="Times New Roman" w:hAnsi="Times New Roman"/>
                <w:sz w:val="24"/>
                <w:lang w:val="en-US"/>
              </w:rPr>
              <w:t xml:space="preserve">of that Regulation </w:t>
            </w:r>
            <w:r w:rsidR="00E64BFE" w:rsidRPr="002A677E">
              <w:rPr>
                <w:rFonts w:ascii="Times New Roman" w:hAnsi="Times New Roman"/>
                <w:sz w:val="24"/>
              </w:rPr>
              <w:t>(positions assigned to the Correlation Trading Portfolio)</w:t>
            </w:r>
          </w:p>
          <w:p w14:paraId="70FB0860" w14:textId="005CBA75" w:rsidR="00C55547" w:rsidRPr="002A677E" w:rsidRDefault="00C55547" w:rsidP="0002267E">
            <w:pPr>
              <w:rPr>
                <w:rFonts w:ascii="Times New Roman" w:hAnsi="Times New Roman"/>
                <w:sz w:val="24"/>
                <w:lang w:eastAsia="nl-BE"/>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 also applicable to th</w:t>
            </w:r>
            <w:r w:rsidR="00EF6FD5" w:rsidRPr="002A677E">
              <w:rPr>
                <w:rFonts w:ascii="Times New Roman" w:hAnsi="Times New Roman"/>
                <w:sz w:val="24"/>
              </w:rPr>
              <w:t>o</w:t>
            </w:r>
            <w:r w:rsidRPr="002A677E">
              <w:rPr>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 (LONG AND SHORT)</w:t>
            </w:r>
          </w:p>
          <w:p w14:paraId="56207551" w14:textId="0069D39B" w:rsidR="00C55547" w:rsidRPr="002A677E" w:rsidRDefault="00C55547" w:rsidP="00E64BFE">
            <w:pPr>
              <w:rPr>
                <w:rFonts w:ascii="Times New Roman" w:hAnsi="Times New Roman"/>
                <w:sz w:val="24"/>
              </w:rPr>
            </w:pPr>
            <w:r w:rsidRPr="002A677E">
              <w:rPr>
                <w:rFonts w:ascii="Times New Roman" w:hAnsi="Times New Roman"/>
                <w:sz w:val="24"/>
              </w:rPr>
              <w:lastRenderedPageBreak/>
              <w:t xml:space="preserve">Article 253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 (LONG AND SHORT)</w:t>
            </w:r>
          </w:p>
          <w:p w14:paraId="01BDDE40" w14:textId="76E789A7" w:rsidR="005C14B0" w:rsidRPr="002A677E" w:rsidRDefault="00C55547" w:rsidP="00E10B85">
            <w:pPr>
              <w:rPr>
                <w:rFonts w:ascii="Times New Roman" w:hAnsi="Times New Roman"/>
                <w:sz w:val="24"/>
              </w:rPr>
            </w:pPr>
            <w:r w:rsidRPr="002A677E">
              <w:rPr>
                <w:rFonts w:ascii="Times New Roman" w:hAnsi="Times New Roman"/>
                <w:sz w:val="24"/>
              </w:rPr>
              <w:t>Articles 327</w:t>
            </w:r>
            <w:r w:rsidR="00EF6FD5" w:rsidRPr="002A677E">
              <w:rPr>
                <w:rFonts w:ascii="Times New Roman" w:hAnsi="Times New Roman"/>
                <w:sz w:val="24"/>
              </w:rPr>
              <w:t>,</w:t>
            </w:r>
            <w:r w:rsidRPr="002A677E">
              <w:rPr>
                <w:rFonts w:ascii="Times New Roman" w:hAnsi="Times New Roman"/>
                <w:sz w:val="24"/>
              </w:rPr>
              <w:t xml:space="preserve"> </w:t>
            </w:r>
            <w:r w:rsidR="00EF6FD5" w:rsidRPr="002A677E">
              <w:rPr>
                <w:rFonts w:ascii="Times New Roman" w:hAnsi="Times New Roman"/>
                <w:sz w:val="24"/>
              </w:rPr>
              <w:t>328,</w:t>
            </w:r>
            <w:r w:rsidRPr="002A677E">
              <w:rPr>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p w14:paraId="6C03F093" w14:textId="2B98C3C7" w:rsidR="00C55547" w:rsidRPr="002A677E" w:rsidRDefault="00C55547" w:rsidP="00E64BFE">
            <w:pPr>
              <w:rPr>
                <w:rFonts w:ascii="Times New Roman" w:hAnsi="Times New Roman"/>
                <w:sz w:val="24"/>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w:t>
            </w:r>
            <w:r w:rsidR="00EF6FD5" w:rsidRPr="002A677E">
              <w:rPr>
                <w:rFonts w:ascii="Times New Roman" w:hAnsi="Times New Roman"/>
                <w:sz w:val="24"/>
              </w:rPr>
              <w:t>,</w:t>
            </w:r>
            <w:r w:rsidRPr="002A677E">
              <w:rPr>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071-</w:t>
            </w:r>
            <w:r w:rsidRPr="002A677E">
              <w:rPr>
                <w:rFonts w:ascii="Times New Roman" w:hAnsi="Times New Roman"/>
                <w:sz w:val="24"/>
                <w:lang w:eastAsia="nl-BE"/>
              </w:rPr>
              <w:t>0</w:t>
            </w:r>
            <w:r w:rsidR="00543964" w:rsidRPr="002A677E">
              <w:rPr>
                <w:rFonts w:ascii="Times New Roman" w:hAnsi="Times New Roman"/>
                <w:sz w:val="24"/>
                <w:lang w:eastAsia="nl-BE"/>
              </w:rPr>
              <w:t>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NET POSITIONS </w:t>
            </w:r>
            <w:r w:rsidR="0090036A" w:rsidRPr="002A677E">
              <w:rPr>
                <w:rStyle w:val="InstructionsTabelleberschrift"/>
                <w:rFonts w:ascii="Times New Roman" w:hAnsi="Times New Roman"/>
                <w:sz w:val="24"/>
              </w:rPr>
              <w:t>BY</w:t>
            </w:r>
            <w:r w:rsidRPr="002A677E">
              <w:rPr>
                <w:rStyle w:val="InstructionsTabelleberschrift"/>
                <w:rFonts w:ascii="Times New Roman" w:hAnsi="Times New Roman"/>
                <w:sz w:val="24"/>
              </w:rPr>
              <w:t xml:space="preserve"> RISK WEIGHTS</w:t>
            </w:r>
          </w:p>
          <w:p w14:paraId="691F4414" w14:textId="030DE019" w:rsidR="00C55547" w:rsidRPr="002A677E" w:rsidRDefault="00133396" w:rsidP="001F2389">
            <w:pPr>
              <w:rPr>
                <w:rFonts w:ascii="Times New Roman" w:hAnsi="Times New Roman"/>
                <w:sz w:val="24"/>
              </w:rPr>
            </w:pPr>
            <w:r w:rsidRPr="002A677E">
              <w:rPr>
                <w:rStyle w:val="InstructionsTabelleText"/>
                <w:rFonts w:ascii="Times New Roman" w:hAnsi="Times New Roman"/>
                <w:sz w:val="24"/>
              </w:rPr>
              <w:t xml:space="preserve">Articles 259 to 262, of Article 263, </w:t>
            </w:r>
            <w:r w:rsidR="001F2389" w:rsidRPr="002A677E">
              <w:rPr>
                <w:rStyle w:val="InstructionsTabelleText"/>
                <w:rFonts w:ascii="Times New Roman" w:hAnsi="Times New Roman"/>
                <w:sz w:val="24"/>
              </w:rPr>
              <w:t xml:space="preserve">Tables 1 and 2, </w:t>
            </w:r>
            <w:r w:rsidRPr="002A677E">
              <w:rPr>
                <w:rStyle w:val="InstructionsTabelleText"/>
                <w:rFonts w:ascii="Times New Roman" w:hAnsi="Times New Roman"/>
                <w:sz w:val="24"/>
              </w:rPr>
              <w:t>Article 264</w:t>
            </w:r>
            <w:r w:rsidR="001F238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1F2389"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Article 266 </w:t>
            </w:r>
            <w:r w:rsidR="007062FD" w:rsidRPr="001235ED">
              <w:rPr>
                <w:rFonts w:ascii="Times New Roman" w:hAnsi="Times New Roman"/>
                <w:sz w:val="24"/>
                <w:lang w:val="en-US"/>
              </w:rPr>
              <w:t>of Regulation (EU) No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THE NET POSITION</w:t>
            </w:r>
            <w:r w:rsidR="006B3BAE" w:rsidRPr="002A677E">
              <w:rPr>
                <w:rFonts w:ascii="Times New Roman" w:hAnsi="Times New Roman"/>
                <w:b/>
                <w:bCs/>
                <w:sz w:val="24"/>
                <w:u w:val="single"/>
                <w:lang w:eastAsia="nl-BE"/>
              </w:rPr>
              <w:t>S</w:t>
            </w:r>
            <w:r w:rsidR="00C55547" w:rsidRPr="002A677E">
              <w:rPr>
                <w:rFonts w:ascii="Times New Roman" w:hAnsi="Times New Roman"/>
                <w:b/>
                <w:bCs/>
                <w:sz w:val="24"/>
                <w:u w:val="single"/>
                <w:lang w:eastAsia="nl-BE"/>
              </w:rPr>
              <w:t xml:space="preserve"> </w:t>
            </w:r>
            <w:r w:rsidR="00133396" w:rsidRPr="002A677E">
              <w:rPr>
                <w:rFonts w:ascii="Times New Roman" w:hAnsi="Times New Roman"/>
                <w:b/>
                <w:bCs/>
                <w:sz w:val="24"/>
                <w:u w:val="single"/>
                <w:lang w:eastAsia="nl-BE"/>
              </w:rPr>
              <w:t>BY</w:t>
            </w:r>
            <w:r w:rsidR="00C55547" w:rsidRPr="002A677E">
              <w:rPr>
                <w:rFonts w:ascii="Times New Roman" w:hAnsi="Times New Roman"/>
                <w:b/>
                <w:bCs/>
                <w:sz w:val="24"/>
                <w:u w:val="single"/>
                <w:lang w:eastAsia="nl-BE"/>
              </w:rPr>
              <w:t xml:space="preserve"> APPROACHES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 and 260 </w:t>
            </w:r>
            <w:r w:rsidR="007062FD" w:rsidRPr="001235ED">
              <w:rPr>
                <w:rFonts w:ascii="Times New Roman" w:hAnsi="Times New Roman"/>
                <w:sz w:val="24"/>
                <w:lang w:val="en-US"/>
              </w:rPr>
              <w:t>of Regulation (EU) No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lang w:eastAsia="nl-BE"/>
              </w:rPr>
            </w:pPr>
            <w:r w:rsidRPr="001235ED">
              <w:rPr>
                <w:rFonts w:ascii="Times New Roman" w:hAnsi="Times New Roman"/>
                <w:b/>
                <w:bCs/>
                <w:sz w:val="24"/>
                <w:u w:val="single"/>
                <w:lang w:eastAsia="nl-B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sidRPr="001235ED">
              <w:rPr>
                <w:rStyle w:val="InstructionsTabelleText"/>
                <w:rFonts w:ascii="Times New Roman" w:hAnsi="Times New Roman"/>
                <w:sz w:val="24"/>
              </w:rPr>
              <w:t>Article</w:t>
            </w:r>
            <w:r w:rsidR="005C14B0" w:rsidRPr="001235ED">
              <w:rPr>
                <w:rStyle w:val="InstructionsTabelleText"/>
                <w:rFonts w:ascii="Times New Roman" w:hAnsi="Times New Roman"/>
                <w:sz w:val="24"/>
              </w:rPr>
              <w:t>s</w:t>
            </w:r>
            <w:r w:rsidRPr="001235ED">
              <w:rPr>
                <w:rStyle w:val="InstructionsTabelleText"/>
                <w:rFonts w:ascii="Times New Roman" w:hAnsi="Times New Roman"/>
                <w:sz w:val="24"/>
              </w:rPr>
              <w:t xml:space="preserve"> 261 and 262 </w:t>
            </w:r>
            <w:r w:rsidR="007062FD" w:rsidRPr="001235ED">
              <w:rPr>
                <w:rFonts w:ascii="Times New Roman" w:hAnsi="Times New Roman"/>
                <w:sz w:val="24"/>
                <w:lang w:val="en-US"/>
              </w:rPr>
              <w:t>of Regulation (EU) No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263 and 264 </w:t>
            </w:r>
            <w:r w:rsidR="007062FD" w:rsidRPr="001235ED">
              <w:rPr>
                <w:rFonts w:ascii="Times New Roman" w:hAnsi="Times New Roman"/>
                <w:sz w:val="24"/>
                <w:lang w:val="en-US"/>
              </w:rPr>
              <w:t>of Regulation (EU) No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Articles 254</w:t>
            </w:r>
            <w:r w:rsidR="005F3BBE"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265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266(5)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lang w:eastAsia="nl-BE"/>
              </w:rPr>
            </w:pPr>
            <w:r>
              <w:rPr>
                <w:rFonts w:ascii="Times New Roman" w:hAnsi="Times New Roman"/>
                <w:sz w:val="24"/>
                <w:lang w:eastAsia="nl-BE"/>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lang w:eastAsia="nl-BE"/>
              </w:rPr>
            </w:pPr>
            <w:r w:rsidRPr="002A677E">
              <w:rPr>
                <w:rFonts w:ascii="Times New Roman" w:hAnsi="Times New Roman"/>
                <w:sz w:val="24"/>
              </w:rPr>
              <w:t xml:space="preserve">Article </w:t>
            </w:r>
            <w:r w:rsidRPr="001235ED">
              <w:rPr>
                <w:rStyle w:val="InstructionsTabelleText"/>
                <w:rFonts w:ascii="Times New Roman" w:hAnsi="Times New Roman"/>
                <w:sz w:val="24"/>
              </w:rPr>
              <w:t>269a</w:t>
            </w:r>
            <w:r w:rsidRPr="002A677E">
              <w:rPr>
                <w:rFonts w:ascii="Times New Roman" w:hAnsi="Times New Roman"/>
                <w:sz w:val="24"/>
              </w:rPr>
              <w:t xml:space="preserve">(3) </w:t>
            </w:r>
            <w:r w:rsidRPr="00B763CB">
              <w:rPr>
                <w:rFonts w:ascii="Times New Roman" w:hAnsi="Times New Roman"/>
                <w:sz w:val="24"/>
                <w:lang w:val="en-US"/>
              </w:rPr>
              <w:t>of Regulation (EU) No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410-</w:t>
            </w:r>
            <w:r w:rsidRPr="002A677E">
              <w:rPr>
                <w:rFonts w:ascii="Times New Roman" w:hAnsi="Times New Roman"/>
                <w:sz w:val="24"/>
              </w:rPr>
              <w:t>0</w:t>
            </w:r>
            <w:r w:rsidR="00C55547" w:rsidRPr="002A677E">
              <w:rPr>
                <w:rFonts w:ascii="Times New Roman" w:hAnsi="Times New Roman"/>
                <w:sz w:val="24"/>
              </w:rPr>
              <w:t>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BEFORE CAP - WEIGHTED NET LONG / SHORT POSITIONS</w:t>
            </w:r>
          </w:p>
          <w:p w14:paraId="7E8A31C6" w14:textId="04B0137F"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without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430-</w:t>
            </w:r>
            <w:r w:rsidRPr="002A677E">
              <w:rPr>
                <w:rFonts w:ascii="Times New Roman" w:hAnsi="Times New Roman"/>
                <w:sz w:val="24"/>
              </w:rPr>
              <w:t>0</w:t>
            </w:r>
            <w:r w:rsidR="00C55547" w:rsidRPr="002A677E">
              <w:rPr>
                <w:rFonts w:ascii="Times New Roman" w:hAnsi="Times New Roman"/>
                <w:sz w:val="24"/>
              </w:rPr>
              <w:t>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AFTER CAP - WEIGHTED NET LONG / SHORT POSITIONS</w:t>
            </w:r>
          </w:p>
          <w:p w14:paraId="3304B399" w14:textId="1538540C"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450</w:t>
            </w:r>
          </w:p>
        </w:tc>
        <w:tc>
          <w:tcPr>
            <w:tcW w:w="7874" w:type="dxa"/>
          </w:tcPr>
          <w:p w14:paraId="4210145F" w14:textId="7D6EC5B6"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OWN FUNDS REQUIREMENTS</w:t>
            </w:r>
            <w:r w:rsidR="00AE43DC">
              <w:rPr>
                <w:rStyle w:val="InstructionsTabelleberschrift"/>
                <w:rFonts w:ascii="Times New Roman" w:hAnsi="Times New Roman"/>
                <w:sz w:val="24"/>
              </w:rPr>
              <w:t xml:space="preserve"> BEFORE APPLICATION OF SCALING FACTOR</w:t>
            </w:r>
          </w:p>
          <w:p w14:paraId="7DEA5D32"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own funds requirement is determined as the larger of either (i) the specific risk charge that would apply just to the net long positions (column </w:t>
            </w:r>
            <w:r w:rsidR="002F79EA" w:rsidRPr="002A677E">
              <w:rPr>
                <w:rFonts w:ascii="Times New Roman" w:hAnsi="Times New Roman"/>
                <w:sz w:val="24"/>
              </w:rPr>
              <w:t>0</w:t>
            </w:r>
            <w:r w:rsidRPr="002A677E">
              <w:rPr>
                <w:rFonts w:ascii="Times New Roman" w:hAnsi="Times New Roman"/>
                <w:sz w:val="24"/>
              </w:rPr>
              <w:t xml:space="preserve">430) or (ii) the specific risk charge that would apply just to the net short positions (column </w:t>
            </w:r>
            <w:r w:rsidR="002F79EA" w:rsidRPr="002A677E">
              <w:rPr>
                <w:rFonts w:ascii="Times New Roman" w:hAnsi="Times New Roman"/>
                <w:sz w:val="24"/>
              </w:rPr>
              <w:t>0</w:t>
            </w:r>
            <w:r w:rsidRPr="002A677E">
              <w:rPr>
                <w:rFonts w:ascii="Times New Roman" w:hAnsi="Times New Roman"/>
                <w:sz w:val="24"/>
              </w:rPr>
              <w:t>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p w14:paraId="47BDA358" w14:textId="77777777" w:rsidR="00C55547" w:rsidRPr="002A677E" w:rsidRDefault="00C55547" w:rsidP="00E10B85">
            <w:pPr>
              <w:rPr>
                <w:rFonts w:ascii="Times New Roman" w:hAnsi="Times New Roman"/>
                <w:sz w:val="24"/>
                <w:lang w:eastAsia="nl-BE"/>
              </w:rPr>
            </w:pPr>
            <w:r w:rsidRPr="002A677E">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(13)</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sidRPr="002A677E">
              <w:rPr>
                <w:rFonts w:ascii="Times New Roman" w:hAnsi="Times New Roman"/>
                <w:sz w:val="24"/>
              </w:rPr>
              <w:t>Credit institution that holds a securitisation positions in a securitisation transaction for which it is neither originator, sponsor nor original lender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080-</w:t>
            </w:r>
            <w:r w:rsidRPr="002A677E">
              <w:rPr>
                <w:rFonts w:ascii="Times New Roman" w:hAnsi="Times New Roman"/>
                <w:sz w:val="24"/>
                <w:lang w:eastAsia="nl-BE"/>
              </w:rPr>
              <w:t>0</w:t>
            </w:r>
            <w:r w:rsidR="00C55547" w:rsidRPr="002A677E">
              <w:rPr>
                <w:rFonts w:ascii="Times New Roman" w:hAnsi="Times New Roman"/>
                <w:sz w:val="24"/>
                <w:lang w:eastAsia="nl-BE"/>
              </w:rPr>
              <w:t>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sidRPr="002A677E">
              <w:rPr>
                <w:rFonts w:ascii="Times New Roman" w:hAnsi="Times New Roman"/>
                <w:sz w:val="24"/>
              </w:rPr>
              <w:t xml:space="preserve"> </w:t>
            </w:r>
            <w:r w:rsidR="00C55547"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(14)</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sz w:val="24"/>
              </w:rPr>
              <w:t xml:space="preserve"> </w:t>
            </w:r>
          </w:p>
          <w:p w14:paraId="7911CCA2" w14:textId="77777777" w:rsidR="00C55547" w:rsidRPr="002A677E" w:rsidRDefault="005F3BBE" w:rsidP="005F3BBE">
            <w:pPr>
              <w:rPr>
                <w:rFonts w:ascii="Times New Roman" w:hAnsi="Times New Roman"/>
                <w:sz w:val="24"/>
              </w:rPr>
            </w:pPr>
            <w:r w:rsidRPr="002A677E">
              <w:rPr>
                <w:rFonts w:ascii="Times New Roman" w:hAnsi="Times New Roman"/>
                <w:sz w:val="24"/>
              </w:rPr>
              <w:t xml:space="preserve">A </w:t>
            </w:r>
            <w:r w:rsidR="00C55547" w:rsidRPr="002A677E">
              <w:rPr>
                <w:rFonts w:ascii="Times New Roman" w:hAnsi="Times New Roman"/>
                <w:sz w:val="24"/>
              </w:rPr>
              <w:t xml:space="preserve">sponsor </w:t>
            </w:r>
            <w:r w:rsidRPr="002A677E">
              <w:rPr>
                <w:rFonts w:ascii="Times New Roman" w:hAnsi="Times New Roman"/>
                <w:sz w:val="24"/>
              </w:rPr>
              <w:t>that</w:t>
            </w:r>
            <w:r w:rsidR="00C55547" w:rsidRPr="002A677E">
              <w:rPr>
                <w:rFonts w:ascii="Times New Roman" w:hAnsi="Times New Roman"/>
                <w:sz w:val="24"/>
              </w:rPr>
              <w:t xml:space="preserve"> also securitis</w:t>
            </w:r>
            <w:r w:rsidRPr="002A677E">
              <w:rPr>
                <w:rFonts w:ascii="Times New Roman" w:hAnsi="Times New Roman"/>
                <w:sz w:val="24"/>
              </w:rPr>
              <w:t>es</w:t>
            </w:r>
            <w:r w:rsidR="00C55547" w:rsidRPr="002A677E">
              <w:rPr>
                <w:rFonts w:ascii="Times New Roman" w:hAnsi="Times New Roman"/>
                <w:sz w:val="24"/>
              </w:rPr>
              <w:t xml:space="preserve"> it</w:t>
            </w:r>
            <w:r w:rsidRPr="002A677E">
              <w:rPr>
                <w:rFonts w:ascii="Times New Roman" w:hAnsi="Times New Roman"/>
                <w:sz w:val="24"/>
              </w:rPr>
              <w:t>s</w:t>
            </w:r>
            <w:r w:rsidR="00C55547" w:rsidRPr="002A677E">
              <w:rPr>
                <w:rFonts w:ascii="Times New Roman" w:hAnsi="Times New Roman"/>
                <w:sz w:val="24"/>
              </w:rPr>
              <w:t xml:space="preserve"> own assets shall fill in the originator's rows with the information regarding its own securitised assets</w:t>
            </w:r>
            <w:r w:rsidRPr="002A677E">
              <w:rPr>
                <w:rFonts w:ascii="Times New Roman" w:hAnsi="Times New Roman"/>
                <w:sz w:val="24"/>
              </w:rPr>
              <w: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 xml:space="preserve"> 0</w:t>
            </w:r>
            <w:r w:rsidR="00C55547" w:rsidRPr="002A677E">
              <w:rPr>
                <w:rFonts w:ascii="Times New Roman" w:hAnsi="Times New Roman"/>
                <w:sz w:val="24"/>
                <w:lang w:eastAsia="nl-BE"/>
              </w:rPr>
              <w:t xml:space="preserve">060 and </w:t>
            </w:r>
            <w:r w:rsidRPr="002A677E">
              <w:rPr>
                <w:rFonts w:ascii="Times New Roman" w:hAnsi="Times New Roman"/>
                <w:sz w:val="24"/>
                <w:lang w:eastAsia="nl-BE"/>
              </w:rPr>
              <w:t>0</w:t>
            </w:r>
            <w:r w:rsidR="00C55547" w:rsidRPr="002A677E">
              <w:rPr>
                <w:rFonts w:ascii="Times New Roman" w:hAnsi="Times New Roman"/>
                <w:sz w:val="24"/>
                <w:lang w:eastAsia="nl-BE"/>
              </w:rPr>
              <w:t>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6259C7" w:rsidRPr="002A677E">
              <w:rPr>
                <w:rStyle w:val="InstructionsTabelleberschrift"/>
                <w:rFonts w:ascii="Times New Roman" w:hAnsi="Times New Roman"/>
                <w:sz w:val="24"/>
              </w:rPr>
              <w:t xml:space="preserve"> POSITIONS</w:t>
            </w:r>
          </w:p>
          <w:p w14:paraId="3E2839F4" w14:textId="4835C00E" w:rsidR="00C55547" w:rsidRPr="002A677E" w:rsidRDefault="00C55547" w:rsidP="00E10B85">
            <w:pPr>
              <w:rPr>
                <w:rFonts w:ascii="Times New Roman" w:hAnsi="Times New Roman"/>
                <w:sz w:val="24"/>
                <w:lang w:eastAsia="fr-FR"/>
              </w:rPr>
            </w:pPr>
            <w:r w:rsidRPr="002A677E">
              <w:rPr>
                <w:rFonts w:ascii="Times New Roman" w:hAnsi="Times New Roman"/>
                <w:sz w:val="24"/>
                <w:lang w:eastAsia="fr-FR"/>
              </w:rPr>
              <w:t xml:space="preserve">The correlation trading portfolio </w:t>
            </w:r>
            <w:r w:rsidR="005C14B0" w:rsidRPr="002A677E">
              <w:rPr>
                <w:rFonts w:ascii="Times New Roman" w:hAnsi="Times New Roman"/>
                <w:sz w:val="24"/>
                <w:lang w:eastAsia="fr-FR"/>
              </w:rPr>
              <w:t xml:space="preserve">shall </w:t>
            </w:r>
            <w:r w:rsidRPr="002A677E">
              <w:rPr>
                <w:rFonts w:ascii="Times New Roman" w:hAnsi="Times New Roman"/>
                <w:sz w:val="24"/>
                <w:lang w:eastAsia="fr-FR"/>
              </w:rPr>
              <w:t xml:space="preserve">comprise securitisations, n-th-to-default credit derivatives and possibly other hedging positions that meet the criteria set </w:t>
            </w:r>
            <w:r w:rsidR="005F3BBE" w:rsidRPr="002A677E">
              <w:rPr>
                <w:rFonts w:ascii="Times New Roman" w:hAnsi="Times New Roman"/>
                <w:sz w:val="24"/>
                <w:lang w:eastAsia="fr-FR"/>
              </w:rPr>
              <w:t xml:space="preserve">out </w:t>
            </w:r>
            <w:r w:rsidRPr="002A677E">
              <w:rPr>
                <w:rFonts w:ascii="Times New Roman" w:hAnsi="Times New Roman"/>
                <w:sz w:val="24"/>
                <w:lang w:eastAsia="fr-FR"/>
              </w:rPr>
              <w:t>in Article 338</w:t>
            </w:r>
            <w:r w:rsidR="00B83DDE">
              <w:rPr>
                <w:rFonts w:ascii="Times New Roman" w:hAnsi="Times New Roman"/>
                <w:sz w:val="24"/>
                <w:lang w:eastAsia="fr-FR"/>
              </w:rPr>
              <w:t>, p</w:t>
            </w:r>
            <w:r w:rsidR="001F2389" w:rsidRPr="002A677E">
              <w:rPr>
                <w:rFonts w:ascii="Times New Roman" w:hAnsi="Times New Roman"/>
                <w:sz w:val="24"/>
                <w:lang w:eastAsia="fr-FR"/>
              </w:rPr>
              <w:t xml:space="preserve">aragraphs 2 and 3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284429BF" w14:textId="77777777" w:rsidR="00C55547" w:rsidRPr="002A677E" w:rsidRDefault="00C55547" w:rsidP="00E10B85">
            <w:pPr>
              <w:rPr>
                <w:rFonts w:ascii="Times New Roman" w:hAnsi="Times New Roman"/>
                <w:sz w:val="24"/>
              </w:rPr>
            </w:pPr>
            <w:r w:rsidRPr="002A677E">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N-TH-TO-DEFAULT CREDIT DERIVATIVES</w:t>
            </w:r>
          </w:p>
          <w:p w14:paraId="298FC0AB" w14:textId="5115C116" w:rsidR="00C55547" w:rsidRPr="002A677E" w:rsidRDefault="00C55547" w:rsidP="00E10B85">
            <w:pPr>
              <w:rPr>
                <w:rFonts w:ascii="Times New Roman" w:hAnsi="Times New Roman"/>
                <w:sz w:val="24"/>
              </w:rPr>
            </w:pPr>
            <w:r w:rsidRPr="002A677E">
              <w:rPr>
                <w:rFonts w:ascii="Times New Roman" w:hAnsi="Times New Roman"/>
                <w:sz w:val="24"/>
              </w:rPr>
              <w:t xml:space="preserve">N-th to default credit derivatives that are hedged by n-th-to-default credit derivatives </w:t>
            </w:r>
            <w:r w:rsidR="00BB22D4" w:rsidRPr="002A677E">
              <w:rPr>
                <w:rFonts w:ascii="Times New Roman" w:hAnsi="Times New Roman"/>
                <w:sz w:val="24"/>
              </w:rPr>
              <w:t>in accordance with</w:t>
            </w:r>
            <w:r w:rsidRPr="002A677E">
              <w:rPr>
                <w:rFonts w:ascii="Times New Roman" w:hAnsi="Times New Roman"/>
                <w:sz w:val="24"/>
              </w:rPr>
              <w:t xml:space="preserve"> Article 347 </w:t>
            </w:r>
            <w:r w:rsidR="007062FD" w:rsidRPr="001235ED">
              <w:rPr>
                <w:rFonts w:ascii="Times New Roman" w:hAnsi="Times New Roman"/>
                <w:sz w:val="24"/>
                <w:lang w:val="en-US"/>
              </w:rPr>
              <w:t>of Regulation (EU) No 575/2013</w:t>
            </w:r>
            <w:r w:rsidRPr="002A677E">
              <w:rPr>
                <w:rFonts w:ascii="Times New Roman" w:hAnsi="Times New Roman"/>
                <w:sz w:val="24"/>
              </w:rPr>
              <w:t xml:space="preserve"> shall both be reported here.</w:t>
            </w:r>
          </w:p>
          <w:p w14:paraId="0ADF3C10" w14:textId="77777777" w:rsidR="00C55547" w:rsidRPr="002A677E" w:rsidRDefault="00C55547" w:rsidP="00E10B85">
            <w:pPr>
              <w:rPr>
                <w:rFonts w:ascii="Times New Roman" w:hAnsi="Times New Roman"/>
                <w:sz w:val="24"/>
              </w:rPr>
            </w:pPr>
            <w:r w:rsidRPr="002A677E">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040, </w:t>
            </w:r>
            <w:r w:rsidRPr="002A677E">
              <w:rPr>
                <w:rFonts w:ascii="Times New Roman" w:hAnsi="Times New Roman"/>
                <w:sz w:val="24"/>
                <w:lang w:eastAsia="nl-BE"/>
              </w:rPr>
              <w:t>0</w:t>
            </w:r>
            <w:r w:rsidR="00C55547" w:rsidRPr="002A677E">
              <w:rPr>
                <w:rFonts w:ascii="Times New Roman" w:hAnsi="Times New Roman"/>
                <w:sz w:val="24"/>
                <w:lang w:eastAsia="nl-BE"/>
              </w:rPr>
              <w:t xml:space="preserve">070, </w:t>
            </w:r>
            <w:r w:rsidRPr="002A677E">
              <w:rPr>
                <w:rFonts w:ascii="Times New Roman" w:hAnsi="Times New Roman"/>
                <w:sz w:val="24"/>
                <w:lang w:eastAsia="nl-BE"/>
              </w:rPr>
              <w:t>0</w:t>
            </w:r>
            <w:r w:rsidR="00C55547" w:rsidRPr="002A677E">
              <w:rPr>
                <w:rFonts w:ascii="Times New Roman" w:hAnsi="Times New Roman"/>
                <w:sz w:val="24"/>
                <w:lang w:eastAsia="nl-BE"/>
              </w:rPr>
              <w:t xml:space="preserve">100 and </w:t>
            </w:r>
            <w:r w:rsidRPr="002A677E">
              <w:rPr>
                <w:rFonts w:ascii="Times New Roman" w:hAnsi="Times New Roman"/>
                <w:sz w:val="24"/>
                <w:lang w:eastAsia="nl-BE"/>
              </w:rPr>
              <w:t>0</w:t>
            </w:r>
            <w:r w:rsidR="00C55547" w:rsidRPr="002A677E">
              <w:rPr>
                <w:rFonts w:ascii="Times New Roman" w:hAnsi="Times New Roman"/>
                <w:sz w:val="24"/>
                <w:lang w:eastAsia="nl-BE"/>
              </w:rPr>
              <w:t>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OTHER CTP POSITIONS</w:t>
            </w:r>
          </w:p>
          <w:p w14:paraId="543C28DD"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w:t>
            </w:r>
            <w:r w:rsidR="005F3BBE" w:rsidRPr="002A677E">
              <w:rPr>
                <w:rFonts w:ascii="Times New Roman" w:hAnsi="Times New Roman"/>
                <w:sz w:val="24"/>
              </w:rPr>
              <w:t xml:space="preserve">following </w:t>
            </w:r>
            <w:r w:rsidRPr="002A677E">
              <w:rPr>
                <w:rFonts w:ascii="Times New Roman" w:hAnsi="Times New Roman"/>
                <w:sz w:val="24"/>
              </w:rPr>
              <w:t xml:space="preserve">positions </w:t>
            </w:r>
            <w:r w:rsidR="005F3BBE" w:rsidRPr="002A677E">
              <w:rPr>
                <w:rFonts w:ascii="Times New Roman" w:hAnsi="Times New Roman"/>
                <w:sz w:val="24"/>
              </w:rPr>
              <w:t>are included</w:t>
            </w:r>
            <w:r w:rsidRPr="002A677E">
              <w:rPr>
                <w:rFonts w:ascii="Times New Roman" w:hAnsi="Times New Roman"/>
                <w:sz w:val="24"/>
              </w:rPr>
              <w:t xml:space="preserve">: </w:t>
            </w:r>
          </w:p>
          <w:p w14:paraId="22F89721" w14:textId="77777777"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Derivatives of securitisation exposures that provide a pro-rata share</w:t>
            </w:r>
            <w:r w:rsidR="005F3BBE" w:rsidRPr="002A677E">
              <w:rPr>
                <w:rFonts w:ascii="Times New Roman" w:hAnsi="Times New Roman"/>
                <w:sz w:val="24"/>
                <w:lang w:eastAsia="fr-FR"/>
              </w:rPr>
              <w:t>,</w:t>
            </w:r>
            <w:r w:rsidRPr="002A677E">
              <w:rPr>
                <w:rFonts w:ascii="Times New Roman" w:hAnsi="Times New Roman"/>
                <w:sz w:val="24"/>
                <w:lang w:eastAsia="fr-FR"/>
              </w:rPr>
              <w:t xml:space="preserve"> as well as positions hedging CTP positions;</w:t>
            </w:r>
          </w:p>
          <w:p w14:paraId="35CA9598" w14:textId="4A9D4754"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CTP positions hedged by credit derivatives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346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37D9C26F" w14:textId="0EC62F4B" w:rsidR="00C55547" w:rsidRPr="002A677E" w:rsidRDefault="00C55547" w:rsidP="005F3BBE">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Other positions that satisfy Article 338(3)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fr-FR"/>
              </w:rPr>
              <w: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2" w:name="_Toc262566429"/>
      <w:bookmarkStart w:id="663" w:name="_Toc295830005"/>
      <w:bookmarkStart w:id="664" w:name="_Toc308426682"/>
      <w:bookmarkStart w:id="665" w:name="_Toc310415066"/>
      <w:bookmarkStart w:id="666" w:name="_Toc360188401"/>
      <w:bookmarkStart w:id="667" w:name="_Toc473561041"/>
      <w:bookmarkStart w:id="668" w:name="_Toc151714495"/>
      <w:r w:rsidRPr="002A677E">
        <w:rPr>
          <w:rFonts w:ascii="Times New Roman" w:hAnsi="Times New Roman" w:cs="Times New Roman"/>
          <w:sz w:val="24"/>
          <w:u w:val="none"/>
          <w:lang w:val="en-GB"/>
        </w:rPr>
        <w:lastRenderedPageBreak/>
        <w:t>5.4.</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21.00 - </w:t>
      </w:r>
      <w:r w:rsidR="000B0B09" w:rsidRPr="002A677E">
        <w:rPr>
          <w:rFonts w:ascii="Times New Roman" w:hAnsi="Times New Roman" w:cs="Times New Roman"/>
          <w:sz w:val="24"/>
          <w:lang w:val="en-GB"/>
        </w:rPr>
        <w:t>Market Risk: Standardised Approach for Position Risk in Equities</w:t>
      </w:r>
      <w:bookmarkEnd w:id="662"/>
      <w:bookmarkEnd w:id="663"/>
      <w:bookmarkEnd w:id="664"/>
      <w:bookmarkEnd w:id="665"/>
      <w:bookmarkEnd w:id="666"/>
      <w:r w:rsidR="008B73EE" w:rsidRPr="002A677E">
        <w:rPr>
          <w:rFonts w:ascii="Times New Roman" w:hAnsi="Times New Roman" w:cs="Times New Roman"/>
          <w:sz w:val="24"/>
          <w:lang w:val="en-GB"/>
        </w:rPr>
        <w:t xml:space="preserve"> (MKR SA EQU)</w:t>
      </w:r>
      <w:bookmarkEnd w:id="667"/>
      <w:bookmarkEnd w:id="668"/>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9" w:name="_Toc262566430"/>
      <w:bookmarkStart w:id="670" w:name="_Toc295830006"/>
      <w:bookmarkStart w:id="671" w:name="_Toc308426683"/>
      <w:bookmarkStart w:id="672" w:name="_Toc310415067"/>
      <w:bookmarkStart w:id="673" w:name="_Toc360188402"/>
      <w:bookmarkStart w:id="674" w:name="_Toc473561042"/>
      <w:bookmarkStart w:id="675" w:name="_Toc151714496"/>
      <w:r w:rsidRPr="002A677E">
        <w:rPr>
          <w:rFonts w:ascii="Times New Roman" w:hAnsi="Times New Roman" w:cs="Times New Roman"/>
          <w:sz w:val="24"/>
          <w:u w:val="none"/>
          <w:lang w:val="en-GB"/>
        </w:rPr>
        <w:t>5.4.1.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69"/>
      <w:bookmarkEnd w:id="670"/>
      <w:bookmarkEnd w:id="671"/>
      <w:bookmarkEnd w:id="672"/>
      <w:bookmarkEnd w:id="673"/>
      <w:bookmarkEnd w:id="674"/>
      <w:bookmarkEnd w:id="675"/>
    </w:p>
    <w:p w14:paraId="1BA8EF6D" w14:textId="59C5E6F6" w:rsidR="000B0B09"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171</w:t>
      </w:r>
      <w:r>
        <w:fldChar w:fldCharType="end"/>
      </w:r>
      <w:r w:rsidR="00125707" w:rsidRPr="002A677E">
        <w:t>.</w:t>
      </w:r>
      <w:r w:rsidR="00125707" w:rsidRPr="002A677E">
        <w:tab/>
      </w:r>
      <w:r w:rsidR="005C14B0" w:rsidRPr="002A677E">
        <w:t xml:space="preserve"> </w:t>
      </w:r>
      <w:r w:rsidR="000B0B09" w:rsidRPr="002A677E">
        <w:t xml:space="preserve">This template requests information on the positions and the corresponding own funds requirements for position risk in equities held in the trading book and treated under the </w:t>
      </w:r>
      <w:r w:rsidR="00CA21CA" w:rsidRPr="002A677E">
        <w:t>Standardised Approach</w:t>
      </w:r>
      <w:r w:rsidR="000B0B09" w:rsidRPr="002A677E">
        <w:t>.</w:t>
      </w:r>
    </w:p>
    <w:p w14:paraId="3AF5EC7C" w14:textId="50DA218A" w:rsidR="00B828CC"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172</w:t>
      </w:r>
      <w: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static, pre-defined list of </w:t>
      </w:r>
      <w:r w:rsidR="005F3BBE" w:rsidRPr="002A677E">
        <w:t xml:space="preserve">the </w:t>
      </w:r>
      <w:r w:rsidR="000B0B09" w:rsidRPr="002A677E">
        <w:t>following markets:</w:t>
      </w:r>
      <w:r w:rsidR="00DE0157" w:rsidRPr="002A677E">
        <w:t xml:space="preserve"> Bulgaria, Czech Republic, Denmark, Egypt, Hungary, Iceland, Liechtenstein, Norway, Poland, Romania, Sweden, United Kingdom, Albania, Japan, Former Yugoslav Republic of Macedonia, Russian Federation, Serbia, Switzerland, Turkey, Ukraine, USA</w:t>
      </w:r>
      <w:r w:rsidR="00B431BD" w:rsidRPr="002A677E">
        <w:t>, Euro Area</w:t>
      </w:r>
      <w:r w:rsidR="000B0B09" w:rsidRPr="002A677E">
        <w:t xml:space="preserve"> </w:t>
      </w:r>
      <w:r w:rsidR="00DE0157" w:rsidRPr="002A677E">
        <w:t>plus</w:t>
      </w:r>
      <w:r w:rsidR="000B0B09" w:rsidRPr="002A677E">
        <w:t xml:space="preserve"> one residual </w:t>
      </w:r>
      <w:r w:rsidR="00DE0157" w:rsidRPr="002A677E">
        <w:t>template</w:t>
      </w:r>
      <w:r w:rsidR="000B0B09" w:rsidRPr="002A677E">
        <w:t xml:space="preserve"> for all other markets. For th</w:t>
      </w:r>
      <w:r w:rsidR="00DE0157" w:rsidRPr="002A677E">
        <w:t>e</w:t>
      </w:r>
      <w:r w:rsidR="000B0B09" w:rsidRPr="002A677E">
        <w:t xml:space="preserve"> purpose of th</w:t>
      </w:r>
      <w:r w:rsidR="00DE0157" w:rsidRPr="002A677E">
        <w:t>is</w:t>
      </w:r>
      <w:r w:rsidR="000B0B09" w:rsidRPr="002A677E">
        <w:t xml:space="preserve"> reporting</w:t>
      </w:r>
      <w:r w:rsidR="00DE0157" w:rsidRPr="002A677E">
        <w:t xml:space="preserve"> requirement</w:t>
      </w:r>
      <w:r w:rsidR="005F3BBE" w:rsidRPr="002A677E">
        <w:t>,</w:t>
      </w:r>
      <w:r w:rsidR="000B0B09" w:rsidRPr="002A677E">
        <w:t xml:space="preserve"> the term “market” </w:t>
      </w:r>
      <w:r w:rsidR="00C93697" w:rsidRPr="002A677E">
        <w:t>shall</w:t>
      </w:r>
      <w:r w:rsidR="000B0B09" w:rsidRPr="002A677E">
        <w:t xml:space="preserve"> be read as “country”</w:t>
      </w:r>
      <w:r w:rsidR="00C71B86" w:rsidRPr="002A677E">
        <w:t xml:space="preserve"> (except for countries belonging to the Euro Area, see Commission Delegated Regulation (EU) No 525/2014</w:t>
      </w:r>
      <w:r w:rsidR="00B828CC" w:rsidRPr="002A677E">
        <w:rPr>
          <w:rStyle w:val="FootnoteReference"/>
        </w:rPr>
        <w:footnoteReference w:id="8"/>
      </w:r>
      <w:r w:rsidR="00C71B86" w:rsidRPr="002A677E">
        <w:t>)</w:t>
      </w:r>
      <w:r w:rsidR="000B0B09" w:rsidRPr="002A677E">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6" w:name="_Toc262566431"/>
      <w:bookmarkStart w:id="677" w:name="_Toc295830007"/>
      <w:bookmarkStart w:id="678" w:name="_Toc308426684"/>
      <w:bookmarkStart w:id="679" w:name="_Toc310415068"/>
      <w:bookmarkStart w:id="680" w:name="_Toc360188403"/>
      <w:bookmarkStart w:id="681" w:name="_Toc473561043"/>
      <w:bookmarkStart w:id="682" w:name="_Toc151714497"/>
      <w:r w:rsidRPr="002A677E">
        <w:rPr>
          <w:rFonts w:ascii="Times New Roman" w:hAnsi="Times New Roman" w:cs="Times New Roman"/>
          <w:sz w:val="24"/>
          <w:u w:val="none"/>
          <w:lang w:val="en-GB"/>
        </w:rPr>
        <w:t>5.4.2.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76"/>
      <w:bookmarkEnd w:id="677"/>
      <w:bookmarkEnd w:id="678"/>
      <w:bookmarkEnd w:id="679"/>
      <w:bookmarkEnd w:id="680"/>
      <w:bookmarkEnd w:id="681"/>
      <w:bookmarkEnd w:id="6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754457ED" w14:textId="6411188D" w:rsidR="005C14B0" w:rsidRPr="002A677E" w:rsidRDefault="000B0B09" w:rsidP="005F3BB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Article </w:t>
            </w:r>
            <w:r w:rsidRPr="002A677E">
              <w:rPr>
                <w:rFonts w:ascii="Times New Roman" w:hAnsi="Times New Roman"/>
                <w:sz w:val="24"/>
              </w:rPr>
              <w:t>102</w:t>
            </w:r>
            <w:r w:rsidRPr="002A677E">
              <w:rPr>
                <w:rFonts w:ascii="Times New Roman" w:hAnsi="Times New Roman"/>
                <w:sz w:val="24"/>
                <w:lang w:eastAsia="de-DE"/>
              </w:rPr>
              <w:t xml:space="preserve">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p w14:paraId="59EE061F" w14:textId="7EE7BDEC" w:rsidR="000B0B09" w:rsidRPr="002A677E" w:rsidRDefault="000B0B09" w:rsidP="00E64BFE">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2A677E">
              <w:rPr>
                <w:rFonts w:ascii="Times New Roman" w:hAnsi="Times New Roman"/>
                <w:sz w:val="24"/>
                <w:lang w:eastAsia="de-DE"/>
              </w:rPr>
              <w:t xml:space="preserve">as referred to in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first subparagraph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72A57BC7" w14:textId="1B6E0BBC" w:rsidR="000B0B09" w:rsidRPr="002A677E" w:rsidRDefault="000B0B09" w:rsidP="005F3BBE">
            <w:pPr>
              <w:autoSpaceDE w:val="0"/>
              <w:autoSpaceDN w:val="0"/>
              <w:adjustRightInd w:val="0"/>
              <w:rPr>
                <w:rFonts w:ascii="Times New Roman" w:hAnsi="Times New Roman"/>
                <w:sz w:val="24"/>
                <w:lang w:eastAsia="nl-BE"/>
              </w:rPr>
            </w:pPr>
            <w:r w:rsidRPr="002A677E">
              <w:rPr>
                <w:rFonts w:ascii="Times New Roman" w:hAnsi="Times New Roman"/>
                <w:sz w:val="24"/>
                <w:lang w:eastAsia="de-DE"/>
              </w:rPr>
              <w:t xml:space="preserve">Articles 327, 329, 332, 341 and 345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5B62E698" w14:textId="56A23293"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 The capital charge has to be calculated for each national market separately. </w:t>
            </w:r>
            <w:r w:rsidR="00201F3E" w:rsidRPr="002A677E">
              <w:rPr>
                <w:rFonts w:ascii="Times New Roman" w:hAnsi="Times New Roman"/>
                <w:sz w:val="24"/>
                <w:lang w:eastAsia="de-DE"/>
              </w:rPr>
              <w:t xml:space="preserve">Positions in stock-index futures </w:t>
            </w:r>
            <w:r w:rsidR="00A11C6E" w:rsidRPr="002A677E">
              <w:rPr>
                <w:rFonts w:ascii="Times New Roman" w:hAnsi="Times New Roman"/>
                <w:sz w:val="24"/>
                <w:lang w:eastAsia="de-DE"/>
              </w:rPr>
              <w:t>as referred to in</w:t>
            </w:r>
            <w:r w:rsidR="00201F3E" w:rsidRPr="002A677E">
              <w:rPr>
                <w:rFonts w:ascii="Times New Roman" w:hAnsi="Times New Roman"/>
                <w:sz w:val="24"/>
                <w:lang w:eastAsia="de-DE"/>
              </w:rPr>
              <w:t xml:space="preserve"> the second sentence of Article 344(4) </w:t>
            </w:r>
            <w:r w:rsidR="007062FD" w:rsidRPr="001235ED">
              <w:rPr>
                <w:rFonts w:ascii="Times New Roman" w:hAnsi="Times New Roman"/>
                <w:sz w:val="24"/>
                <w:lang w:val="en-US"/>
              </w:rPr>
              <w:t>of Regulation (EU) No 575/2013</w:t>
            </w:r>
            <w:r w:rsidR="00201F3E" w:rsidRPr="002A677E">
              <w:rPr>
                <w:rFonts w:ascii="Times New Roman" w:hAnsi="Times New Roman"/>
                <w:sz w:val="24"/>
                <w:lang w:eastAsia="de-DE"/>
              </w:rPr>
              <w:t xml:space="preserve"> shall not be included in this column.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3258053C" w14:textId="679461BC"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r w:rsidR="00616CC0">
              <w:rPr>
                <w:rFonts w:ascii="Times New Roman" w:hAnsi="Times New Roman"/>
                <w:b/>
                <w:bCs/>
                <w:sz w:val="24"/>
                <w:u w:val="single"/>
                <w:lang w:eastAsia="nl-BE"/>
              </w:rPr>
              <w:t xml:space="preserve"> BEFORE APPLICATION OF SCALING FACTORS</w:t>
            </w:r>
          </w:p>
          <w:p w14:paraId="75CDA27D" w14:textId="1A5C989D"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w:t>
            </w:r>
            <w:r w:rsidR="00E64BFE"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E64BFE" w:rsidRPr="002A677E">
              <w:rPr>
                <w:rFonts w:ascii="Times New Roman" w:hAnsi="Times New Roman"/>
                <w:sz w:val="24"/>
                <w:lang w:eastAsia="de-DE"/>
              </w:rPr>
              <w:t xml:space="preserve">in accordance with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00E64BFE" w:rsidRPr="002A677E">
              <w:rPr>
                <w:rFonts w:ascii="Times New Roman" w:hAnsi="Times New Roman"/>
                <w:sz w:val="24"/>
                <w:lang w:eastAsia="de-DE"/>
              </w:rPr>
              <w:t xml:space="preserve"> </w:t>
            </w:r>
            <w:r w:rsidRPr="002A677E">
              <w:rPr>
                <w:rFonts w:ascii="Times New Roman" w:hAnsi="Times New Roman"/>
                <w:sz w:val="24"/>
                <w:lang w:eastAsia="de-DE"/>
              </w:rPr>
              <w:t>for any relevant position</w:t>
            </w:r>
            <w:r w:rsidR="00BB6834">
              <w:rPr>
                <w:rFonts w:ascii="Times New Roman" w:hAnsi="Times New Roman"/>
                <w:sz w:val="24"/>
                <w:lang w:eastAsia="de-DE"/>
              </w:rPr>
              <w:t>, before the application of the scaling factors in accordance</w:t>
            </w:r>
            <w:r w:rsidR="00A25173">
              <w:rPr>
                <w:rFonts w:ascii="Times New Roman" w:hAnsi="Times New Roman"/>
                <w:sz w:val="24"/>
                <w:lang w:eastAsia="de-DE"/>
              </w:rPr>
              <w:t xml:space="preserve"> with Article 325(2), point (a), of that Regulation</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5B458D10"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07</w:t>
            </w:r>
            <w:r w:rsidR="009340A2">
              <w:rPr>
                <w:rFonts w:ascii="Times New Roman" w:hAnsi="Times New Roman"/>
                <w:sz w:val="24"/>
                <w:lang w:eastAsia="nl-BE"/>
              </w:rPr>
              <w:t>1</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3E7C378" w14:textId="2CD315CB" w:rsidR="00E64BFE" w:rsidRPr="002A677E" w:rsidRDefault="000B0B09" w:rsidP="005F3BBE">
            <w:pPr>
              <w:tabs>
                <w:tab w:val="left" w:pos="1665"/>
              </w:tabs>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1F2389" w:rsidRPr="002A677E">
              <w:rPr>
                <w:rFonts w:ascii="Times New Roman" w:hAnsi="Times New Roman"/>
                <w:sz w:val="24"/>
              </w:rPr>
              <w:t>oint (b)</w:t>
            </w:r>
            <w:r w:rsidR="00A25173">
              <w:rPr>
                <w:rFonts w:ascii="Times New Roman" w:hAnsi="Times New Roman"/>
                <w:sz w:val="24"/>
              </w:rPr>
              <w:t>(i</w:t>
            </w:r>
            <w:r w:rsidR="001F2389" w:rsidRPr="002A677E">
              <w:rPr>
                <w:rFonts w:ascii="Times New Roman" w:hAnsi="Times New Roman"/>
                <w:sz w:val="24"/>
              </w:rPr>
              <w:t>)</w:t>
            </w:r>
            <w:r w:rsidR="00BE127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5D42B3B3" w14:textId="6B117591"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requirements by 12</w:t>
            </w:r>
            <w:r w:rsidR="005F3BBE" w:rsidRPr="002A677E">
              <w:rPr>
                <w:rFonts w:ascii="Times New Roman" w:hAnsi="Times New Roman"/>
                <w:sz w:val="24"/>
                <w:lang w:eastAsia="de-DE"/>
              </w:rPr>
              <w:t>,</w:t>
            </w:r>
            <w:r w:rsidRPr="002A677E">
              <w:rPr>
                <w:rFonts w:ascii="Times New Roman" w:hAnsi="Times New Roman"/>
                <w:sz w:val="24"/>
                <w:lang w:eastAsia="de-DE"/>
              </w:rPr>
              <w:t>5</w:t>
            </w:r>
            <w:r w:rsidR="00616CC0">
              <w:rPr>
                <w:rFonts w:ascii="Times New Roman" w:hAnsi="Times New Roman"/>
                <w:sz w:val="24"/>
                <w:lang w:eastAsia="de-DE"/>
              </w:rPr>
              <w:t xml:space="preserve"> in accordance with Article 92(7), point (b), of Regulation (EU) No 575/2013, and </w:t>
            </w:r>
            <w:r w:rsidR="00760D23">
              <w:rPr>
                <w:rFonts w:ascii="Times New Roman" w:hAnsi="Times New Roman"/>
                <w:sz w:val="24"/>
                <w:lang w:eastAsia="de-DE"/>
              </w:rPr>
              <w:t xml:space="preserve">by </w:t>
            </w:r>
            <w:r w:rsidR="00616CC0">
              <w:rPr>
                <w:rFonts w:ascii="Times New Roman" w:hAnsi="Times New Roman"/>
                <w:sz w:val="24"/>
                <w:lang w:eastAsia="de-DE"/>
              </w:rPr>
              <w:t>the scaling factor in accordance with Article 325(2), point (a)</w:t>
            </w:r>
            <w:r w:rsidR="000A6613">
              <w:rPr>
                <w:rFonts w:ascii="Times New Roman" w:hAnsi="Times New Roman"/>
                <w:sz w:val="24"/>
                <w:lang w:eastAsia="de-DE"/>
              </w:rPr>
              <w:t>(ii), of that Regulation.</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IN TRADING BOOK</w:t>
            </w:r>
          </w:p>
          <w:p w14:paraId="030F1935" w14:textId="0FC1256C" w:rsidR="000B0B09" w:rsidRPr="002A677E" w:rsidRDefault="000B0B09" w:rsidP="007062FD">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Own funds requirements for position risk </w:t>
            </w:r>
            <w:r w:rsidR="00A11C6E" w:rsidRPr="002A677E">
              <w:rPr>
                <w:rFonts w:ascii="Times New Roman" w:hAnsi="Times New Roman"/>
                <w:sz w:val="24"/>
              </w:rPr>
              <w:t>as referred to in</w:t>
            </w:r>
            <w:r w:rsidR="00402284">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w:t>
            </w:r>
            <w:r w:rsidR="000D3A1F">
              <w:rPr>
                <w:rFonts w:ascii="Times New Roman" w:hAnsi="Times New Roman"/>
                <w:sz w:val="24"/>
              </w:rPr>
              <w:t>4</w:t>
            </w:r>
            <w:r w:rsidRPr="002A677E">
              <w:rPr>
                <w:rFonts w:ascii="Times New Roman" w:hAnsi="Times New Roman"/>
                <w:sz w:val="24"/>
              </w:rPr>
              <w:t>)</w:t>
            </w:r>
            <w:r w:rsidR="000D3A1F">
              <w:rPr>
                <w:rFonts w:ascii="Times New Roman" w:hAnsi="Times New Roman"/>
                <w:sz w:val="24"/>
              </w:rPr>
              <w:t>, point (b)(i),</w:t>
            </w:r>
            <w:r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1F2389" w:rsidRPr="002A677E">
              <w:rPr>
                <w:rFonts w:ascii="Times New Roman" w:hAnsi="Times New Roman"/>
                <w:sz w:val="24"/>
              </w:rPr>
              <w:t xml:space="preserve"> </w:t>
            </w:r>
            <w:r w:rsidRPr="002A677E">
              <w:rPr>
                <w:rFonts w:ascii="Times New Roman" w:hAnsi="Times New Roman"/>
                <w:sz w:val="24"/>
                <w:lang w:eastAsia="de-DE"/>
              </w:rPr>
              <w:t>and</w:t>
            </w:r>
            <w:r w:rsidRPr="002A677E">
              <w:rPr>
                <w:rFonts w:ascii="Times New Roman" w:hAnsi="Times New Roman"/>
                <w:sz w:val="24"/>
              </w:rPr>
              <w:t xml:space="preserve"> </w:t>
            </w:r>
            <w:r w:rsidR="00097A17" w:rsidRPr="002A677E">
              <w:rPr>
                <w:rFonts w:ascii="Times New Roman" w:hAnsi="Times New Roman"/>
                <w:sz w:val="24"/>
              </w:rPr>
              <w:t>Part Three</w:t>
            </w:r>
            <w:r w:rsidR="007C2F65" w:rsidRPr="002A677E">
              <w:rPr>
                <w:rFonts w:ascii="Times New Roman" w:hAnsi="Times New Roman"/>
                <w:sz w:val="24"/>
              </w:rPr>
              <w:t>,</w:t>
            </w:r>
            <w:r w:rsidRPr="002A677E">
              <w:rPr>
                <w:rFonts w:ascii="Times New Roman" w:hAnsi="Times New Roman"/>
                <w:sz w:val="24"/>
              </w:rPr>
              <w:t xml:space="preserve"> </w:t>
            </w:r>
            <w:r w:rsidR="007C2F65" w:rsidRPr="002A677E">
              <w:rPr>
                <w:rFonts w:ascii="Times New Roman" w:hAnsi="Times New Roman"/>
                <w:sz w:val="24"/>
              </w:rPr>
              <w:t>Title IV, Chapter 2, Section 3</w:t>
            </w:r>
            <w:r w:rsidR="000D3A1F">
              <w:rPr>
                <w:rFonts w:ascii="Times New Roman" w:hAnsi="Times New Roman"/>
                <w:sz w:val="24"/>
              </w:rPr>
              <w:t>,</w:t>
            </w:r>
            <w:r w:rsidR="007C2F65" w:rsidRPr="002A677E">
              <w:rPr>
                <w:rFonts w:ascii="Times New Roman" w:hAnsi="Times New Roman"/>
                <w:sz w:val="24"/>
              </w:rPr>
              <w:t xml:space="preserve"> </w:t>
            </w:r>
            <w:r w:rsidR="007062FD" w:rsidRPr="001235ED">
              <w:rPr>
                <w:rFonts w:ascii="Times New Roman" w:hAnsi="Times New Roman"/>
                <w:sz w:val="24"/>
                <w:lang w:val="en-US"/>
              </w:rPr>
              <w:t xml:space="preserve">of that Regulation </w:t>
            </w:r>
            <w:r w:rsidR="005F3BBE" w:rsidRPr="002A677E">
              <w:rPr>
                <w:rFonts w:ascii="Times New Roman" w:hAnsi="Times New Roman"/>
                <w:sz w:val="24"/>
              </w:rPr>
              <w: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GENERAL RISK</w:t>
            </w:r>
          </w:p>
          <w:p w14:paraId="21F94335" w14:textId="276AABDB" w:rsidR="000B0B09" w:rsidRPr="002A677E" w:rsidRDefault="000B0B09" w:rsidP="005F3BBE">
            <w:pPr>
              <w:autoSpaceDE w:val="0"/>
              <w:autoSpaceDN w:val="0"/>
              <w:adjustRightInd w:val="0"/>
              <w:rPr>
                <w:rFonts w:ascii="Times New Roman" w:hAnsi="Times New Roman"/>
                <w:sz w:val="24"/>
              </w:rPr>
            </w:pPr>
            <w:r w:rsidRPr="002A677E">
              <w:rPr>
                <w:rFonts w:ascii="Times New Roman" w:hAnsi="Times New Roman"/>
                <w:sz w:val="24"/>
              </w:rPr>
              <w:t xml:space="preserve">Positions in equities subject to general risk (Article 343 </w:t>
            </w:r>
            <w:r w:rsidR="007062FD" w:rsidRPr="001235ED">
              <w:rPr>
                <w:rFonts w:ascii="Times New Roman" w:hAnsi="Times New Roman"/>
                <w:sz w:val="24"/>
                <w:lang w:val="en-US"/>
              </w:rPr>
              <w:t>of Regulation (EU) No 575/2013</w:t>
            </w:r>
            <w:r w:rsidRPr="002A677E">
              <w:rPr>
                <w:rFonts w:ascii="Times New Roman" w:hAnsi="Times New Roman"/>
                <w:sz w:val="24"/>
              </w:rPr>
              <w:t xml:space="preserve">) and their correspondent own funds requirement </w:t>
            </w:r>
            <w:r w:rsidR="00BB22D4" w:rsidRPr="002A677E">
              <w:rPr>
                <w:rFonts w:ascii="Times New Roman" w:hAnsi="Times New Roman"/>
                <w:sz w:val="24"/>
              </w:rPr>
              <w:t>in accordance with</w:t>
            </w:r>
            <w:r w:rsidRPr="002A677E">
              <w:rPr>
                <w:rFonts w:ascii="Times New Roman" w:hAnsi="Times New Roman"/>
                <w:sz w:val="24"/>
              </w:rPr>
              <w:t xml:space="preserve"> </w:t>
            </w:r>
            <w:r w:rsidR="00F26CE4" w:rsidRPr="002A677E">
              <w:rPr>
                <w:rFonts w:ascii="Times New Roman" w:hAnsi="Times New Roman"/>
                <w:sz w:val="24"/>
              </w:rPr>
              <w:t>Part Three, Title IV, Chapter 2, Section 3</w:t>
            </w:r>
            <w:r w:rsidR="007062FD" w:rsidRPr="001235ED">
              <w:rPr>
                <w:rFonts w:ascii="Times New Roman" w:hAnsi="Times New Roman"/>
                <w:sz w:val="24"/>
                <w:lang w:val="en-US"/>
              </w:rPr>
              <w:t xml:space="preserve">of that Regulation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sidRPr="002A677E">
              <w:rPr>
                <w:rFonts w:ascii="Times New Roman" w:hAnsi="Times New Roman"/>
                <w:sz w:val="24"/>
              </w:rPr>
              <w:t>Both breakdowns (</w:t>
            </w:r>
            <w:r w:rsidR="002F79EA" w:rsidRPr="002A677E">
              <w:rPr>
                <w:rFonts w:ascii="Times New Roman" w:hAnsi="Times New Roman"/>
                <w:sz w:val="24"/>
              </w:rPr>
              <w:t>rows 0</w:t>
            </w:r>
            <w:r w:rsidRPr="002A677E">
              <w:rPr>
                <w:rFonts w:ascii="Times New Roman" w:hAnsi="Times New Roman"/>
                <w:sz w:val="24"/>
              </w:rPr>
              <w:t>021/</w:t>
            </w:r>
            <w:r w:rsidR="002F79EA" w:rsidRPr="002A677E">
              <w:rPr>
                <w:rFonts w:ascii="Times New Roman" w:hAnsi="Times New Roman"/>
                <w:sz w:val="24"/>
              </w:rPr>
              <w:t>0</w:t>
            </w:r>
            <w:r w:rsidRPr="002A677E">
              <w:rPr>
                <w:rFonts w:ascii="Times New Roman" w:hAnsi="Times New Roman"/>
                <w:sz w:val="24"/>
              </w:rPr>
              <w:t xml:space="preserve">022 as well as </w:t>
            </w:r>
            <w:r w:rsidR="002F79EA" w:rsidRPr="002A677E">
              <w:rPr>
                <w:rFonts w:ascii="Times New Roman" w:hAnsi="Times New Roman"/>
                <w:sz w:val="24"/>
              </w:rPr>
              <w:t>rows 0</w:t>
            </w:r>
            <w:r w:rsidRPr="002A677E">
              <w:rPr>
                <w:rFonts w:ascii="Times New Roman" w:hAnsi="Times New Roman"/>
                <w:sz w:val="24"/>
              </w:rPr>
              <w:t>030/</w:t>
            </w:r>
            <w:r w:rsidR="002F79EA" w:rsidRPr="002A677E">
              <w:rPr>
                <w:rFonts w:ascii="Times New Roman" w:hAnsi="Times New Roman"/>
                <w:sz w:val="24"/>
              </w:rPr>
              <w:t>0</w:t>
            </w:r>
            <w:r w:rsidRPr="002A677E">
              <w:rPr>
                <w:rFonts w:ascii="Times New Roman" w:hAnsi="Times New Roman"/>
                <w:sz w:val="24"/>
              </w:rPr>
              <w:t>040) are a breakdown related to all positions subject to general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Rows </w:t>
            </w:r>
            <w:r w:rsidR="002F79EA" w:rsidRPr="002A677E">
              <w:rPr>
                <w:rFonts w:ascii="Times New Roman" w:hAnsi="Times New Roman"/>
                <w:sz w:val="24"/>
              </w:rPr>
              <w:t>0</w:t>
            </w:r>
            <w:r w:rsidRPr="002A677E">
              <w:rPr>
                <w:rFonts w:ascii="Times New Roman" w:hAnsi="Times New Roman"/>
                <w:sz w:val="24"/>
              </w:rPr>
              <w:t xml:space="preserve">021 and </w:t>
            </w:r>
            <w:r w:rsidR="002F79EA" w:rsidRPr="002A677E">
              <w:rPr>
                <w:rFonts w:ascii="Times New Roman" w:hAnsi="Times New Roman"/>
                <w:sz w:val="24"/>
              </w:rPr>
              <w:t>0</w:t>
            </w:r>
            <w:r w:rsidRPr="002A677E">
              <w:rPr>
                <w:rFonts w:ascii="Times New Roman" w:hAnsi="Times New Roman"/>
                <w:sz w:val="24"/>
              </w:rPr>
              <w:t xml:space="preserve">022 request information on the breakdown </w:t>
            </w:r>
            <w:r w:rsidR="004E2725" w:rsidRPr="002A677E">
              <w:rPr>
                <w:rFonts w:ascii="Times New Roman" w:hAnsi="Times New Roman"/>
                <w:sz w:val="24"/>
              </w:rPr>
              <w:t>by</w:t>
            </w:r>
            <w:r w:rsidRPr="002A677E">
              <w:rPr>
                <w:rFonts w:ascii="Times New Roman" w:hAnsi="Times New Roman"/>
                <w:sz w:val="24"/>
              </w:rPr>
              <w:t xml:space="preserve">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Only the breakdown in rows </w:t>
            </w:r>
            <w:r w:rsidR="002F79EA" w:rsidRPr="002A677E">
              <w:rPr>
                <w:rFonts w:ascii="Times New Roman" w:hAnsi="Times New Roman"/>
                <w:sz w:val="24"/>
              </w:rPr>
              <w:t>0</w:t>
            </w:r>
            <w:r w:rsidRPr="002A677E">
              <w:rPr>
                <w:rFonts w:ascii="Times New Roman" w:hAnsi="Times New Roman"/>
                <w:sz w:val="24"/>
              </w:rPr>
              <w:t xml:space="preserve">030 and </w:t>
            </w:r>
            <w:r w:rsidR="002F79EA" w:rsidRPr="002A677E">
              <w:rPr>
                <w:rFonts w:ascii="Times New Roman" w:hAnsi="Times New Roman"/>
                <w:sz w:val="24"/>
              </w:rPr>
              <w:t>0</w:t>
            </w:r>
            <w:r w:rsidRPr="002A677E">
              <w:rPr>
                <w:rFonts w:ascii="Times New Roman" w:hAnsi="Times New Roman"/>
                <w:sz w:val="24"/>
              </w:rPr>
              <w:t xml:space="preserve">040 </w:t>
            </w:r>
            <w:r w:rsidR="005F3BBE" w:rsidRPr="002A677E">
              <w:rPr>
                <w:rFonts w:ascii="Times New Roman" w:hAnsi="Times New Roman"/>
                <w:sz w:val="24"/>
              </w:rPr>
              <w:t>shall be</w:t>
            </w:r>
            <w:r w:rsidRPr="002A677E">
              <w:rPr>
                <w:rFonts w:ascii="Times New Roman" w:hAnsi="Times New Roman"/>
                <w:sz w:val="24"/>
              </w:rPr>
              <w:t xml:space="preserve"> used as a basis for the calculation of own funds requirements.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Derivatives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Derivatives included in the calculation of equity risk of trading book positions taking into account Articles 329 and 332</w:t>
            </w:r>
            <w:r w:rsidR="004E2725"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5F3BBE"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Other assets and liabilities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Instruments other than derivatives included in the calculation of equity risk of trading book positions</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Exchange traded stock-index futures broadly diversified and subject to a particular approach</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sidRPr="002A677E">
              <w:rPr>
                <w:rFonts w:ascii="Times New Roman" w:hAnsi="Times New Roman"/>
                <w:sz w:val="24"/>
              </w:rPr>
              <w:t xml:space="preserve">Exchange traded stock-index futures broadly diversified and subject to a particular approach </w:t>
            </w:r>
            <w:r w:rsidR="00BB22D4" w:rsidRPr="002A677E">
              <w:rPr>
                <w:rFonts w:ascii="Times New Roman" w:hAnsi="Times New Roman"/>
                <w:sz w:val="24"/>
              </w:rPr>
              <w:t>in accordance with</w:t>
            </w:r>
            <w:r w:rsidRPr="002A677E">
              <w:rPr>
                <w:rFonts w:ascii="Times New Roman" w:hAnsi="Times New Roman"/>
                <w:sz w:val="24"/>
              </w:rPr>
              <w:t xml:space="preserve"> </w:t>
            </w:r>
            <w:r w:rsidR="00A11C6E" w:rsidRPr="002A677E">
              <w:rPr>
                <w:rFonts w:ascii="Times New Roman" w:hAnsi="Times New Roman"/>
                <w:sz w:val="24"/>
              </w:rPr>
              <w:t>Commission Implementing Regulation (EU) No 945/2014</w:t>
            </w:r>
            <w:r w:rsidR="00A11C6E" w:rsidRPr="002A677E">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rPr>
              <w:t>Th</w:t>
            </w:r>
            <w:r w:rsidR="005F3BBE" w:rsidRPr="002A677E">
              <w:rPr>
                <w:rFonts w:ascii="Times New Roman" w:hAnsi="Times New Roman"/>
                <w:sz w:val="24"/>
              </w:rPr>
              <w:t>o</w:t>
            </w:r>
            <w:r w:rsidRPr="002A677E">
              <w:rPr>
                <w:rFonts w:ascii="Times New Roman" w:hAnsi="Times New Roman"/>
                <w:sz w:val="24"/>
              </w:rPr>
              <w:t xml:space="preserve">se positions </w:t>
            </w:r>
            <w:r w:rsidR="005C14B0" w:rsidRPr="002A677E">
              <w:rPr>
                <w:rFonts w:ascii="Times New Roman" w:hAnsi="Times New Roman"/>
                <w:sz w:val="24"/>
              </w:rPr>
              <w:t xml:space="preserve">shall be </w:t>
            </w:r>
            <w:r w:rsidRPr="002A677E">
              <w:rPr>
                <w:rFonts w:ascii="Times New Roman" w:hAnsi="Times New Roman"/>
                <w:sz w:val="24"/>
              </w:rPr>
              <w:t xml:space="preserve">only subject to general risk and, accordingly, must not be reported in row </w:t>
            </w:r>
            <w:r w:rsidR="002F79EA" w:rsidRPr="002A677E">
              <w:rPr>
                <w:rFonts w:ascii="Times New Roman" w:hAnsi="Times New Roman"/>
                <w:sz w:val="24"/>
              </w:rPr>
              <w:t>0</w:t>
            </w:r>
            <w:r w:rsidRPr="002A677E">
              <w:rPr>
                <w:rFonts w:ascii="Times New Roman" w:hAnsi="Times New Roman"/>
                <w:sz w:val="24"/>
              </w:rPr>
              <w:t>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Other equities than exchange traded stock-index futures broadly diversified</w:t>
            </w:r>
          </w:p>
          <w:p w14:paraId="17542C2D" w14:textId="0BABB084"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rPr>
              <w:lastRenderedPageBreak/>
              <w:t xml:space="preserve">Other positions in equities subject to specific risk </w:t>
            </w:r>
            <w:r w:rsidR="00A11C6E" w:rsidRPr="002A677E">
              <w:rPr>
                <w:rFonts w:ascii="Times New Roman" w:hAnsi="Times New Roman"/>
                <w:sz w:val="24"/>
              </w:rPr>
              <w:t xml:space="preserve">as well as </w:t>
            </w:r>
            <w:r w:rsidRPr="002A677E">
              <w:rPr>
                <w:rFonts w:ascii="Times New Roman" w:hAnsi="Times New Roman"/>
                <w:sz w:val="24"/>
              </w:rPr>
              <w:t xml:space="preserve">the correspondent own funds requirements </w:t>
            </w:r>
            <w:r w:rsidR="00BB22D4" w:rsidRPr="002A677E">
              <w:rPr>
                <w:rFonts w:ascii="Times New Roman" w:hAnsi="Times New Roman"/>
                <w:sz w:val="24"/>
              </w:rPr>
              <w:t>in accordance with</w:t>
            </w:r>
            <w:r w:rsidRPr="002A677E">
              <w:rPr>
                <w:rFonts w:ascii="Times New Roman" w:hAnsi="Times New Roman"/>
                <w:sz w:val="24"/>
              </w:rPr>
              <w:t xml:space="preserve"> Article 343</w:t>
            </w:r>
            <w:r w:rsidR="00364EBB"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6259C7" w:rsidRPr="002A677E">
              <w:rPr>
                <w:rFonts w:ascii="Times New Roman" w:hAnsi="Times New Roman"/>
                <w:sz w:val="24"/>
              </w:rPr>
              <w:t xml:space="preserve">, including positions in stock index futures </w:t>
            </w:r>
            <w:r w:rsidR="00F2521E" w:rsidRPr="002A677E">
              <w:rPr>
                <w:rFonts w:ascii="Times New Roman" w:hAnsi="Times New Roman"/>
                <w:sz w:val="24"/>
              </w:rPr>
              <w:t xml:space="preserve">treated in accordance with </w:t>
            </w:r>
            <w:r w:rsidR="008241B9" w:rsidRPr="002A677E">
              <w:rPr>
                <w:rFonts w:ascii="Times New Roman" w:hAnsi="Times New Roman"/>
                <w:sz w:val="24"/>
              </w:rPr>
              <w:t xml:space="preserve">Article </w:t>
            </w:r>
            <w:r w:rsidRPr="002A677E">
              <w:rPr>
                <w:rFonts w:ascii="Times New Roman" w:hAnsi="Times New Roman"/>
                <w:sz w:val="24"/>
              </w:rPr>
              <w:t xml:space="preserve">344(3) </w:t>
            </w:r>
            <w:r w:rsidR="007062FD" w:rsidRPr="001235ED">
              <w:rPr>
                <w:rFonts w:ascii="Times New Roman" w:hAnsi="Times New Roman"/>
                <w:sz w:val="24"/>
                <w:lang w:val="en-US"/>
              </w:rPr>
              <w:t>of that Regulation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 xml:space="preserve">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SPECIFIC RISK</w:t>
            </w:r>
          </w:p>
          <w:p w14:paraId="4CFFEA2D" w14:textId="05674FED"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lang w:eastAsia="fr-FR"/>
              </w:rPr>
              <w:t xml:space="preserve">Positions in equities subject to specific risk and the correspondent own funds requirement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342 </w:t>
            </w:r>
            <w:r w:rsidR="007062FD" w:rsidRPr="001235ED">
              <w:rPr>
                <w:rFonts w:ascii="Times New Roman" w:hAnsi="Times New Roman"/>
                <w:sz w:val="24"/>
                <w:lang w:val="en-US"/>
              </w:rPr>
              <w:t>of Regulation (EU) No 575/2013</w:t>
            </w:r>
            <w:r w:rsidR="006259C7" w:rsidRPr="002A677E">
              <w:rPr>
                <w:rFonts w:ascii="Times New Roman" w:hAnsi="Times New Roman"/>
                <w:sz w:val="24"/>
                <w:lang w:eastAsia="fr-FR"/>
              </w:rPr>
              <w:t xml:space="preserve">, </w:t>
            </w:r>
            <w:r w:rsidR="00097A17" w:rsidRPr="002A677E">
              <w:rPr>
                <w:rFonts w:ascii="Times New Roman" w:hAnsi="Times New Roman"/>
                <w:sz w:val="24"/>
                <w:lang w:eastAsia="fr-FR"/>
              </w:rPr>
              <w:t>ex</w:t>
            </w:r>
            <w:r w:rsidR="006259C7" w:rsidRPr="002A677E">
              <w:rPr>
                <w:rFonts w:ascii="Times New Roman" w:hAnsi="Times New Roman"/>
                <w:sz w:val="24"/>
                <w:lang w:eastAsia="fr-FR"/>
              </w:rPr>
              <w:t xml:space="preserve">cluding positions in stock-index futures </w:t>
            </w:r>
            <w:r w:rsidR="00F2521E" w:rsidRPr="002A677E">
              <w:rPr>
                <w:rFonts w:ascii="Times New Roman" w:hAnsi="Times New Roman"/>
                <w:sz w:val="24"/>
              </w:rPr>
              <w:t xml:space="preserve">treated in accordance with </w:t>
            </w:r>
            <w:r w:rsidR="006259C7" w:rsidRPr="002A677E">
              <w:rPr>
                <w:rFonts w:ascii="Times New Roman" w:hAnsi="Times New Roman"/>
                <w:sz w:val="24"/>
              </w:rPr>
              <w:t xml:space="preserve">the </w:t>
            </w:r>
            <w:r w:rsidR="00097A17" w:rsidRPr="002A677E">
              <w:rPr>
                <w:rFonts w:ascii="Times New Roman" w:hAnsi="Times New Roman"/>
                <w:sz w:val="24"/>
              </w:rPr>
              <w:t>second</w:t>
            </w:r>
            <w:r w:rsidR="006259C7" w:rsidRPr="002A677E">
              <w:rPr>
                <w:rFonts w:ascii="Times New Roman" w:hAnsi="Times New Roman"/>
                <w:sz w:val="24"/>
              </w:rPr>
              <w:t xml:space="preserve"> sentence of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344(4) </w:t>
            </w:r>
            <w:r w:rsidR="007062FD" w:rsidRPr="001235ED">
              <w:rPr>
                <w:rFonts w:ascii="Times New Roman" w:hAnsi="Times New Roman"/>
                <w:sz w:val="24"/>
                <w:lang w:val="en-US"/>
              </w:rPr>
              <w:t xml:space="preserve">of that Regulation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Style w:val="InstructionsTabelleberschrift"/>
                <w:rFonts w:ascii="Times New Roman" w:hAnsi="Times New Roman"/>
                <w:sz w:val="24"/>
              </w:rPr>
              <w:t>ADDITIONAL REQUIREMENTS FOR OPTIONS (NON-DELTA RISKS)</w:t>
            </w:r>
          </w:p>
          <w:p w14:paraId="2552C107" w14:textId="2AD28847" w:rsidR="000B0B09" w:rsidRPr="002A677E" w:rsidRDefault="00F2521E" w:rsidP="00F2521E">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of </w:t>
            </w:r>
            <w:r w:rsidR="000B0B09" w:rsidRPr="002A677E">
              <w:rPr>
                <w:rFonts w:ascii="Times New Roman" w:hAnsi="Times New Roman"/>
                <w:sz w:val="24"/>
                <w:lang w:eastAsia="de-DE"/>
              </w:rPr>
              <w:t>Article 329</w:t>
            </w:r>
            <w:r w:rsidR="00B83DDE">
              <w:rPr>
                <w:rFonts w:ascii="Times New Roman" w:hAnsi="Times New Roman"/>
                <w:sz w:val="24"/>
                <w:lang w:eastAsia="de-DE"/>
              </w:rPr>
              <w:t>, p</w:t>
            </w:r>
            <w:r w:rsidR="007C2F65" w:rsidRPr="002A677E">
              <w:rPr>
                <w:rFonts w:ascii="Times New Roman" w:hAnsi="Times New Roman"/>
                <w:sz w:val="24"/>
                <w:lang w:eastAsia="de-DE"/>
              </w:rPr>
              <w:t xml:space="preserve">aragraphs 2 and 3 </w:t>
            </w:r>
            <w:r w:rsidR="007062FD" w:rsidRPr="001235ED">
              <w:rPr>
                <w:rFonts w:ascii="Times New Roman" w:hAnsi="Times New Roman"/>
                <w:sz w:val="24"/>
                <w:lang w:val="en-US"/>
              </w:rPr>
              <w:t>of Regulation (EU) No 575/2013</w:t>
            </w:r>
            <w:r w:rsidR="000B0B09" w:rsidRPr="002A677E">
              <w:rPr>
                <w:rFonts w:ascii="Times New Roman" w:hAnsi="Times New Roman"/>
                <w:sz w:val="24"/>
                <w:lang w:eastAsia="de-DE"/>
              </w:rPr>
              <w:t xml:space="preserve"> </w:t>
            </w:r>
          </w:p>
          <w:p w14:paraId="72C3FAC3" w14:textId="77777777" w:rsidR="000B0B09"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83" w:name="_Toc262566432"/>
      <w:bookmarkStart w:id="684" w:name="_Toc295830008"/>
      <w:bookmarkStart w:id="685" w:name="_Toc308426685"/>
      <w:bookmarkStart w:id="686" w:name="_Toc310415069"/>
      <w:bookmarkStart w:id="687" w:name="_Toc360188404"/>
      <w:bookmarkStart w:id="688" w:name="_Toc473561044"/>
      <w:bookmarkStart w:id="689" w:name="_Toc151714498"/>
      <w:r w:rsidRPr="002A677E">
        <w:rPr>
          <w:rFonts w:ascii="Times New Roman" w:hAnsi="Times New Roman" w:cs="Times New Roman"/>
          <w:sz w:val="24"/>
          <w:u w:val="none"/>
          <w:lang w:val="en-GB"/>
        </w:rPr>
        <w:t>5.5.</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22.00 </w:t>
      </w:r>
      <w:r w:rsidR="000B0B09" w:rsidRPr="002A677E">
        <w:rPr>
          <w:rFonts w:ascii="Times New Roman" w:hAnsi="Times New Roman" w:cs="Times New Roman"/>
          <w:sz w:val="24"/>
          <w:lang w:val="en-GB"/>
        </w:rPr>
        <w:t>- Market Risk: Standardised Approaches for Foreign Exchange Risk</w:t>
      </w:r>
      <w:bookmarkEnd w:id="683"/>
      <w:bookmarkEnd w:id="684"/>
      <w:bookmarkEnd w:id="685"/>
      <w:bookmarkEnd w:id="686"/>
      <w:bookmarkEnd w:id="687"/>
      <w:r w:rsidR="008B73EE" w:rsidRPr="002A677E">
        <w:rPr>
          <w:rFonts w:ascii="Times New Roman" w:hAnsi="Times New Roman" w:cs="Times New Roman"/>
          <w:sz w:val="24"/>
          <w:lang w:val="en-GB"/>
        </w:rPr>
        <w:t xml:space="preserve"> (MKR SA FX)</w:t>
      </w:r>
      <w:bookmarkEnd w:id="688"/>
      <w:bookmarkEnd w:id="689"/>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0" w:name="_Toc262566433"/>
      <w:bookmarkStart w:id="691" w:name="_Toc295830009"/>
      <w:bookmarkStart w:id="692" w:name="_Toc308426686"/>
      <w:bookmarkStart w:id="693" w:name="_Toc310415070"/>
      <w:bookmarkStart w:id="694" w:name="_Toc360188405"/>
      <w:bookmarkStart w:id="695" w:name="_Toc473561045"/>
      <w:bookmarkStart w:id="696" w:name="_Toc151714499"/>
      <w:r w:rsidRPr="002A677E">
        <w:rPr>
          <w:rFonts w:ascii="Times New Roman" w:hAnsi="Times New Roman" w:cs="Times New Roman"/>
          <w:sz w:val="24"/>
          <w:u w:val="none"/>
          <w:lang w:val="en-GB"/>
        </w:rPr>
        <w:t>5.5.1.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90"/>
      <w:bookmarkEnd w:id="691"/>
      <w:bookmarkEnd w:id="692"/>
      <w:bookmarkEnd w:id="693"/>
      <w:bookmarkEnd w:id="694"/>
      <w:bookmarkEnd w:id="695"/>
      <w:bookmarkEnd w:id="696"/>
    </w:p>
    <w:p w14:paraId="3B4750B2" w14:textId="7FC5653D" w:rsidR="00F71DF2"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173</w:t>
      </w:r>
      <w:r>
        <w:fldChar w:fldCharType="end"/>
      </w:r>
      <w:r w:rsidR="00125707" w:rsidRPr="002A677E">
        <w:t>.</w:t>
      </w:r>
      <w:r w:rsidR="005C14B0" w:rsidRPr="002A677E">
        <w:t xml:space="preserve"> </w:t>
      </w:r>
      <w:r w:rsidR="00F1062E" w:rsidRPr="002A677E">
        <w:t>Institutions shall report</w:t>
      </w:r>
      <w:r w:rsidR="000B0B09" w:rsidRPr="002A677E">
        <w:t xml:space="preserve"> information on the positions in each currency (reporting currency included) and the corresponding own funds requirements for foreign exchange</w:t>
      </w:r>
      <w:r w:rsidR="006259C7" w:rsidRPr="002A677E">
        <w:t xml:space="preserve"> risk</w:t>
      </w:r>
      <w:r w:rsidR="000B0B09" w:rsidRPr="002A677E">
        <w:t xml:space="preserve"> treated under the </w:t>
      </w:r>
      <w:r w:rsidR="00CA21CA" w:rsidRPr="002A677E">
        <w:t>Standardised Approach</w:t>
      </w:r>
      <w:r w:rsidR="000B0B09" w:rsidRPr="002A677E">
        <w:t xml:space="preserve">. The position </w:t>
      </w:r>
      <w:r w:rsidR="00F2521E" w:rsidRPr="002A677E">
        <w:t>shall be</w:t>
      </w:r>
      <w:r w:rsidR="000B0B09" w:rsidRPr="002A677E">
        <w:t xml:space="preserve"> calculated for each currency (including </w:t>
      </w:r>
      <w:r w:rsidR="00F2521E" w:rsidRPr="002A677E">
        <w:t>EUR</w:t>
      </w:r>
      <w:r w:rsidR="000B0B09" w:rsidRPr="002A677E">
        <w:t>), gold, and positions to CIUs.</w:t>
      </w:r>
    </w:p>
    <w:p w14:paraId="39EF826C" w14:textId="52C9E087" w:rsidR="000B0B09"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174</w:t>
      </w:r>
      <w:r>
        <w:fldChar w:fldCharType="end"/>
      </w:r>
      <w:r w:rsidR="00125707" w:rsidRPr="002A677E">
        <w:t>.</w:t>
      </w:r>
      <w:r w:rsidR="00125707" w:rsidRPr="002A677E">
        <w:tab/>
      </w:r>
      <w:r w:rsidR="005C14B0" w:rsidRPr="002A677E">
        <w:t xml:space="preserve"> </w:t>
      </w:r>
      <w:r w:rsidR="00B31D8A" w:rsidRPr="002A677E">
        <w:t>R</w:t>
      </w:r>
      <w:r w:rsidR="00F1062E" w:rsidRPr="002A677E">
        <w:t xml:space="preserve">ows </w:t>
      </w:r>
      <w:r w:rsidR="002F79EA" w:rsidRPr="002A677E">
        <w:t>0</w:t>
      </w:r>
      <w:r w:rsidR="00F1062E" w:rsidRPr="002A677E">
        <w:t xml:space="preserve">100 to </w:t>
      </w:r>
      <w:r w:rsidR="002F79EA" w:rsidRPr="002A677E">
        <w:t>0</w:t>
      </w:r>
      <w:r w:rsidR="00F1062E" w:rsidRPr="002A677E">
        <w:t>4</w:t>
      </w:r>
      <w:r w:rsidR="009E2BBD" w:rsidRPr="002A677E">
        <w:t>8</w:t>
      </w:r>
      <w:r w:rsidR="00F1062E" w:rsidRPr="002A677E">
        <w:t>0 of this template</w:t>
      </w:r>
      <w:r w:rsidR="00B31D8A" w:rsidRPr="002A677E">
        <w:t xml:space="preserve"> shall be reported even </w:t>
      </w:r>
      <w:r w:rsidR="00F2521E" w:rsidRPr="002A677E">
        <w:t>where</w:t>
      </w:r>
      <w:r w:rsidR="00B31D8A" w:rsidRPr="002A677E">
        <w:t xml:space="preserve"> institutions are not required to calculate own funds requirements for foreign exchange risk </w:t>
      </w:r>
      <w:r w:rsidR="00BB22D4" w:rsidRPr="002A677E">
        <w:t>in accordance with</w:t>
      </w:r>
      <w:r w:rsidR="00B31D8A" w:rsidRPr="002A677E">
        <w:t xml:space="preserve"> Article 351 </w:t>
      </w:r>
      <w:r w:rsidR="007062FD" w:rsidRPr="001235ED">
        <w:rPr>
          <w:lang w:val="en-US"/>
        </w:rPr>
        <w:t>of Regulation (EU) No 575/2013</w:t>
      </w:r>
      <w:r w:rsidR="00B31D8A" w:rsidRPr="002A677E">
        <w:t>.</w:t>
      </w:r>
      <w:r w:rsidR="00F71DF2" w:rsidRPr="002A677E">
        <w:t xml:space="preserve"> In those memorandum items, all the positions in the reporting currency are included, irrespective of </w:t>
      </w:r>
      <w:r w:rsidR="00F2521E" w:rsidRPr="002A677E">
        <w:t xml:space="preserve">whether </w:t>
      </w:r>
      <w:r w:rsidR="00F71DF2" w:rsidRPr="002A677E">
        <w:t xml:space="preserve">they are considered for the purposes of Article 354 </w:t>
      </w:r>
      <w:r w:rsidR="007062FD" w:rsidRPr="001235ED">
        <w:rPr>
          <w:lang w:val="en-US"/>
        </w:rPr>
        <w:t>of Regulation (EU) No 575/2013</w:t>
      </w:r>
      <w:r w:rsidR="00F71DF2" w:rsidRPr="002A677E">
        <w:t xml:space="preserve">. Rows </w:t>
      </w:r>
      <w:r w:rsidR="002F79EA" w:rsidRPr="002A677E">
        <w:t>0</w:t>
      </w:r>
      <w:r w:rsidR="00F71DF2" w:rsidRPr="002A677E">
        <w:t xml:space="preserve">130 to </w:t>
      </w:r>
      <w:r w:rsidR="002F79EA" w:rsidRPr="002A677E">
        <w:t>0</w:t>
      </w:r>
      <w:r w:rsidR="00F71DF2" w:rsidRPr="002A677E">
        <w:t>480 of the</w:t>
      </w:r>
      <w:r w:rsidR="000B0B09" w:rsidRPr="002A677E">
        <w:t xml:space="preserve"> memorandum items of the template </w:t>
      </w:r>
      <w:r w:rsidR="00C93697" w:rsidRPr="002A677E">
        <w:t>shall</w:t>
      </w:r>
      <w:r w:rsidR="000B0B09" w:rsidRPr="002A677E">
        <w:t xml:space="preserve"> be filled out separately for </w:t>
      </w:r>
      <w:r w:rsidR="00F71DF2" w:rsidRPr="002A677E">
        <w:t>a</w:t>
      </w:r>
      <w:r w:rsidR="000B0B09" w:rsidRPr="002A677E">
        <w:t xml:space="preserve">ll currencies of the </w:t>
      </w:r>
      <w:r w:rsidR="002F79EA" w:rsidRPr="002A677E">
        <w:t>M</w:t>
      </w:r>
      <w:r w:rsidR="000B0B09" w:rsidRPr="002A677E">
        <w:t xml:space="preserve">ember </w:t>
      </w:r>
      <w:r w:rsidR="002F79EA" w:rsidRPr="002A677E">
        <w:t>S</w:t>
      </w:r>
      <w:r w:rsidR="000B0B09" w:rsidRPr="002A677E">
        <w:t>tates of the Union</w:t>
      </w:r>
      <w:r w:rsidR="00A11C6E" w:rsidRPr="002A677E">
        <w:t xml:space="preserve">, </w:t>
      </w:r>
      <w:r w:rsidR="000B0B09" w:rsidRPr="002A677E">
        <w:t xml:space="preserve">the currencies </w:t>
      </w:r>
      <w:r w:rsidR="002F79EA" w:rsidRPr="002A677E">
        <w:t xml:space="preserve">GBP, </w:t>
      </w:r>
      <w:r w:rsidR="000B0B09" w:rsidRPr="002A677E">
        <w:t>USD, CHF, JPY, RUB, TRY, AUD, CAD, RSD, ALL, UAH, MKD, EGP, ARS, BRL, MXN, HKD, ICK, TWD, NZD, NOK, SGD, KRW, CNY and all other currencies.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7" w:name="_Toc262566434"/>
      <w:bookmarkStart w:id="698" w:name="_Toc295830010"/>
      <w:bookmarkStart w:id="699" w:name="_Toc308426687"/>
      <w:bookmarkStart w:id="700" w:name="_Toc310415071"/>
      <w:bookmarkStart w:id="701" w:name="_Toc360188406"/>
      <w:bookmarkStart w:id="702" w:name="_Toc473561046"/>
      <w:bookmarkStart w:id="703" w:name="_Toc151714500"/>
      <w:r w:rsidRPr="002A677E">
        <w:rPr>
          <w:rFonts w:ascii="Times New Roman" w:hAnsi="Times New Roman" w:cs="Times New Roman"/>
          <w:sz w:val="24"/>
          <w:u w:val="none"/>
          <w:lang w:val="en-GB"/>
        </w:rPr>
        <w:t>5.5.2.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97"/>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Gross positions due to assets, amounts to be received and similar items referred to in Article 352(1) </w:t>
            </w:r>
            <w:r w:rsidR="007062FD" w:rsidRPr="001235ED">
              <w:rPr>
                <w:rFonts w:ascii="Times New Roman" w:hAnsi="Times New Roman"/>
                <w:sz w:val="24"/>
                <w:lang w:val="en-US"/>
              </w:rPr>
              <w:t>of Regulation (EU) No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accordance with</w:t>
            </w:r>
            <w:r w:rsidR="006D35FC" w:rsidRPr="002A677E">
              <w:rPr>
                <w:rFonts w:ascii="Times New Roman" w:hAnsi="Times New Roman"/>
                <w:sz w:val="24"/>
                <w:lang w:eastAsia="de-DE"/>
              </w:rPr>
              <w:t xml:space="preserve"> Article 352(2) </w:t>
            </w:r>
            <w:r w:rsidR="007062FD" w:rsidRPr="001235ED">
              <w:rPr>
                <w:rFonts w:ascii="Times New Roman" w:hAnsi="Times New Roman"/>
                <w:sz w:val="24"/>
                <w:lang w:val="en-US"/>
              </w:rPr>
              <w:t>of Regulation (EU) No 575/2013</w:t>
            </w:r>
            <w:r w:rsidR="00F23247" w:rsidRPr="002A677E">
              <w:rPr>
                <w:rFonts w:ascii="Times New Roman" w:hAnsi="Times New Roman"/>
                <w:sz w:val="24"/>
                <w:lang w:eastAsia="de-DE"/>
              </w:rPr>
              <w:t xml:space="preserve"> </w:t>
            </w:r>
            <w:r w:rsidR="006D35FC" w:rsidRPr="002A677E">
              <w:rPr>
                <w:rFonts w:ascii="Times New Roman" w:hAnsi="Times New Roman"/>
                <w:sz w:val="24"/>
                <w:lang w:eastAsia="de-DE"/>
              </w:rPr>
              <w:t xml:space="preserve">and subject to permission </w:t>
            </w:r>
            <w:r w:rsidR="000A7D27" w:rsidRPr="002A677E">
              <w:rPr>
                <w:rFonts w:ascii="Times New Roman" w:hAnsi="Times New Roman"/>
                <w:sz w:val="24"/>
                <w:lang w:eastAsia="de-DE"/>
              </w:rPr>
              <w:t>from</w:t>
            </w:r>
            <w:r w:rsidR="006D35FC" w:rsidRPr="002A677E">
              <w:rPr>
                <w:rFonts w:ascii="Times New Roman" w:hAnsi="Times New Roman"/>
                <w:sz w:val="24"/>
                <w:lang w:eastAsia="de-DE"/>
              </w:rPr>
              <w:t xml:space="preserve"> competent authorities</w:t>
            </w:r>
            <w:r w:rsidR="00B83DDE">
              <w:rPr>
                <w:rFonts w:ascii="Times New Roman" w:hAnsi="Times New Roman"/>
                <w:sz w:val="24"/>
                <w:lang w:eastAsia="de-DE"/>
              </w:rPr>
              <w:t>, p</w:t>
            </w:r>
            <w:r w:rsidR="006D35FC" w:rsidRPr="002A677E">
              <w:rPr>
                <w:rFonts w:ascii="Times New Roman" w:hAnsi="Times New Roman"/>
                <w:sz w:val="24"/>
                <w:lang w:eastAsia="de-DE"/>
              </w:rPr>
              <w:t xml:space="preserve">ositions taken to hedge against the adverse effect of the exchange rate on their ratios in accordance with Article </w:t>
            </w:r>
            <w:r w:rsidR="006D35FC" w:rsidRPr="002A677E">
              <w:rPr>
                <w:rFonts w:ascii="Times New Roman" w:hAnsi="Times New Roman"/>
                <w:sz w:val="24"/>
                <w:lang w:eastAsia="de-DE"/>
              </w:rPr>
              <w:lastRenderedPageBreak/>
              <w:t xml:space="preserve">92(1) </w:t>
            </w:r>
            <w:r w:rsidR="007062FD" w:rsidRPr="001235ED">
              <w:rPr>
                <w:rFonts w:ascii="Times New Roman" w:hAnsi="Times New Roman"/>
                <w:sz w:val="24"/>
                <w:lang w:val="en-US"/>
              </w:rPr>
              <w:t xml:space="preserve">of that Regulation </w:t>
            </w:r>
            <w:r w:rsidR="006D35FC" w:rsidRPr="002A677E">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040-</w:t>
            </w: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352(3)</w:t>
            </w:r>
            <w:r w:rsidR="00F2521E"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05025" w:rsidRPr="002A677E">
              <w:rPr>
                <w:rFonts w:ascii="Times New Roman" w:hAnsi="Times New Roman"/>
                <w:sz w:val="24"/>
                <w:lang w:eastAsia="de-DE"/>
              </w:rPr>
              <w:t>the Article 352</w:t>
            </w:r>
            <w:r w:rsidR="00283B5F" w:rsidRPr="002A677E">
              <w:rPr>
                <w:rFonts w:ascii="Times New Roman" w:hAnsi="Times New Roman"/>
                <w:sz w:val="24"/>
                <w:lang w:eastAsia="de-DE"/>
              </w:rPr>
              <w:t>(4)</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first two sentences </w:t>
            </w:r>
            <w:r w:rsidRPr="002A677E">
              <w:rPr>
                <w:rFonts w:ascii="Times New Roman" w:hAnsi="Times New Roman"/>
                <w:sz w:val="24"/>
                <w:lang w:eastAsia="de-DE"/>
              </w:rPr>
              <w:t xml:space="preserve">and </w:t>
            </w:r>
            <w:r w:rsidR="005C14B0" w:rsidRPr="002A677E">
              <w:rPr>
                <w:rFonts w:ascii="Times New Roman" w:hAnsi="Times New Roman"/>
                <w:sz w:val="24"/>
                <w:lang w:eastAsia="de-DE"/>
              </w:rPr>
              <w:t xml:space="preserve">Article </w:t>
            </w:r>
            <w:r w:rsidRPr="002A677E">
              <w:rPr>
                <w:rFonts w:ascii="Times New Roman" w:hAnsi="Times New Roman"/>
                <w:sz w:val="24"/>
                <w:lang w:eastAsia="de-DE"/>
              </w:rPr>
              <w:t xml:space="preserve">353 </w:t>
            </w:r>
            <w:r w:rsidR="006E347B" w:rsidRPr="001235ED">
              <w:rPr>
                <w:rFonts w:ascii="Times New Roman" w:hAnsi="Times New Roman"/>
                <w:sz w:val="24"/>
                <w:lang w:val="en-US"/>
              </w:rPr>
              <w:t>of Regulation (EU) No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net positions are calculated by each currency</w:t>
            </w:r>
            <w:r w:rsidR="00F23247" w:rsidRPr="002A677E">
              <w:rPr>
                <w:rFonts w:ascii="Times New Roman" w:hAnsi="Times New Roman"/>
                <w:sz w:val="24"/>
                <w:lang w:eastAsia="de-DE"/>
              </w:rPr>
              <w:t xml:space="preserve"> in accordance with Article 35</w:t>
            </w:r>
            <w:r w:rsidR="00097A17" w:rsidRPr="002A677E">
              <w:rPr>
                <w:rFonts w:ascii="Times New Roman" w:hAnsi="Times New Roman"/>
                <w:sz w:val="24"/>
                <w:lang w:eastAsia="de-DE"/>
              </w:rPr>
              <w:t>2</w:t>
            </w:r>
            <w:r w:rsidR="00F23247" w:rsidRPr="002A677E">
              <w:rPr>
                <w:rFonts w:ascii="Times New Roman" w:hAnsi="Times New Roman"/>
                <w:sz w:val="24"/>
                <w:lang w:eastAsia="de-DE"/>
              </w:rPr>
              <w:t xml:space="preserve"> (1)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 xml:space="preserve">. </w:t>
            </w:r>
            <w:r w:rsidR="00F23247" w:rsidRPr="002A677E">
              <w:rPr>
                <w:rFonts w:ascii="Times New Roman" w:hAnsi="Times New Roman"/>
                <w:sz w:val="24"/>
                <w:lang w:eastAsia="de-DE"/>
              </w:rPr>
              <w:t xml:space="preserve">Consequently, both </w:t>
            </w:r>
            <w:r w:rsidRPr="002A677E">
              <w:rPr>
                <w:rFonts w:ascii="Times New Roman" w:hAnsi="Times New Roman"/>
                <w:sz w:val="24"/>
                <w:lang w:eastAsia="de-DE"/>
              </w:rPr>
              <w:t>long and short positions</w:t>
            </w:r>
            <w:r w:rsidR="00F23247" w:rsidRPr="002A677E">
              <w:rPr>
                <w:rFonts w:ascii="Times New Roman" w:hAnsi="Times New Roman"/>
                <w:sz w:val="24"/>
                <w:lang w:eastAsia="de-DE"/>
              </w:rPr>
              <w:t xml:space="preserve"> may be reported at the same time.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352(</w:t>
            </w:r>
            <w:r w:rsidR="00283B5F" w:rsidRPr="002A677E">
              <w:rPr>
                <w:rFonts w:ascii="Times New Roman" w:hAnsi="Times New Roman"/>
                <w:sz w:val="24"/>
                <w:lang w:eastAsia="de-DE"/>
              </w:rPr>
              <w:t>4</w:t>
            </w:r>
            <w:r w:rsidRPr="002A677E">
              <w:rPr>
                <w:rFonts w:ascii="Times New Roman" w:hAnsi="Times New Roman"/>
                <w:sz w:val="24"/>
                <w:lang w:eastAsia="de-DE"/>
              </w:rPr>
              <w:t>)</w:t>
            </w:r>
            <w:r w:rsidR="007C2F65"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third sentence </w:t>
            </w:r>
            <w:r w:rsidR="00F2521E" w:rsidRPr="002A677E">
              <w:rPr>
                <w:rFonts w:ascii="Times New Roman" w:hAnsi="Times New Roman"/>
                <w:sz w:val="24"/>
                <w:lang w:eastAsia="de-DE"/>
              </w:rPr>
              <w:t xml:space="preserve">and </w:t>
            </w:r>
            <w:r w:rsidR="00705025" w:rsidRPr="002A677E">
              <w:rPr>
                <w:rFonts w:ascii="Times New Roman" w:hAnsi="Times New Roman"/>
                <w:sz w:val="24"/>
                <w:lang w:eastAsia="de-DE"/>
              </w:rPr>
              <w:t xml:space="preserve">Articles </w:t>
            </w:r>
            <w:r w:rsidRPr="002A677E">
              <w:rPr>
                <w:rFonts w:ascii="Times New Roman" w:hAnsi="Times New Roman"/>
                <w:sz w:val="24"/>
                <w:lang w:eastAsia="de-DE"/>
              </w:rPr>
              <w:t xml:space="preserve">353 and 354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de-DE"/>
              </w:rPr>
              <w:t>POSITIONS SUBJECT TO CAPITAL CHARGE</w:t>
            </w:r>
            <w:r w:rsidRPr="002A677E">
              <w:rPr>
                <w:rFonts w:ascii="Times New Roman" w:hAnsi="Times New Roman"/>
                <w:b/>
                <w:bCs/>
                <w:sz w:val="24"/>
                <w:u w:val="single"/>
                <w:lang w:eastAsia="nl-BE"/>
              </w:rPr>
              <w:t xml:space="preserve"> (LONG AND SHORT)</w:t>
            </w:r>
          </w:p>
          <w:p w14:paraId="1CA17503"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long and short net positions for each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calculated by deducting the total of short positions from the total of long positions.</w:t>
            </w:r>
          </w:p>
          <w:p w14:paraId="7912A4F1"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Long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long net position in that currency.</w:t>
            </w:r>
          </w:p>
          <w:p w14:paraId="5B4E9BD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Short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short net position in that currency.</w:t>
            </w:r>
          </w:p>
          <w:p w14:paraId="71BEB09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Unmatched positions </w:t>
            </w:r>
            <w:r w:rsidR="00491F4D" w:rsidRPr="002A677E">
              <w:rPr>
                <w:rFonts w:ascii="Times New Roman" w:hAnsi="Times New Roman"/>
                <w:sz w:val="24"/>
                <w:lang w:eastAsia="de-DE"/>
              </w:rPr>
              <w:t xml:space="preserve">in non-reporting currencies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positions subject to capital charges for other currencies (row 030) in column 0</w:t>
            </w:r>
            <w:r w:rsidR="00283B5F" w:rsidRPr="002A677E">
              <w:rPr>
                <w:rFonts w:ascii="Times New Roman" w:hAnsi="Times New Roman"/>
                <w:sz w:val="24"/>
                <w:lang w:eastAsia="de-DE"/>
              </w:rPr>
              <w:t>6</w:t>
            </w:r>
            <w:r w:rsidRPr="002A677E">
              <w:rPr>
                <w:rFonts w:ascii="Times New Roman" w:hAnsi="Times New Roman"/>
                <w:sz w:val="24"/>
                <w:lang w:eastAsia="de-DE"/>
              </w:rPr>
              <w:t>0 or 0</w:t>
            </w:r>
            <w:r w:rsidR="00283B5F" w:rsidRPr="002A677E">
              <w:rPr>
                <w:rFonts w:ascii="Times New Roman" w:hAnsi="Times New Roman"/>
                <w:sz w:val="24"/>
                <w:lang w:eastAsia="de-DE"/>
              </w:rPr>
              <w:t>7</w:t>
            </w:r>
            <w:r w:rsidRPr="002A677E">
              <w:rPr>
                <w:rFonts w:ascii="Times New Roman" w:hAnsi="Times New Roman"/>
                <w:sz w:val="24"/>
                <w:lang w:eastAsia="de-DE"/>
              </w:rPr>
              <w:t>0</w:t>
            </w:r>
            <w:r w:rsidR="00F2521E" w:rsidRPr="002A677E">
              <w:rPr>
                <w:rFonts w:ascii="Times New Roman" w:hAnsi="Times New Roman"/>
                <w:sz w:val="24"/>
                <w:lang w:eastAsia="de-DE"/>
              </w:rPr>
              <w:t>,</w:t>
            </w:r>
            <w:r w:rsidRPr="002A677E">
              <w:rPr>
                <w:rFonts w:ascii="Times New Roman" w:hAnsi="Times New Roman"/>
                <w:sz w:val="24"/>
                <w:lang w:eastAsia="de-DE"/>
              </w:rPr>
              <w:t xml:space="preserve"> depending on their short or long arrangement.</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 (MATCHED)</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Matched positions for closely correlated currencies</w:t>
            </w:r>
            <w:r w:rsidR="00F2521E" w:rsidRPr="002A677E">
              <w:rPr>
                <w:rFonts w:ascii="Times New Roman" w:hAnsi="Times New Roman"/>
                <w:sz w:val="24"/>
                <w:lang w:eastAsia="de-DE"/>
              </w:rPr>
              <w:t>.</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4" w:type="dxa"/>
          </w:tcPr>
          <w:p w14:paraId="4FC12DDA" w14:textId="7F464E56"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r w:rsidR="00924AF6">
              <w:rPr>
                <w:rFonts w:ascii="Times New Roman" w:hAnsi="Times New Roman"/>
                <w:b/>
                <w:bCs/>
                <w:sz w:val="24"/>
                <w:u w:val="single"/>
                <w:lang w:eastAsia="nl-BE"/>
              </w:rPr>
              <w:t xml:space="preserve"> BEFORE APPLICATION OF SCALING FACTORS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25B76F30"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00DF6546">
              <w:rPr>
                <w:rFonts w:ascii="Times New Roman" w:hAnsi="Times New Roman"/>
                <w:sz w:val="24"/>
                <w:lang w:eastAsia="de-DE"/>
              </w:rPr>
              <w:t>own funds requirement</w:t>
            </w:r>
            <w:r w:rsidRPr="002A677E">
              <w:rPr>
                <w:rFonts w:ascii="Times New Roman" w:hAnsi="Times New Roman"/>
                <w:sz w:val="24"/>
                <w:lang w:eastAsia="de-DE"/>
              </w:rPr>
              <w:t xml:space="preserve"> for any relevant position </w:t>
            </w:r>
            <w:r w:rsidR="00BB22D4" w:rsidRPr="002A677E">
              <w:rPr>
                <w:rFonts w:ascii="Times New Roman" w:hAnsi="Times New Roman"/>
                <w:sz w:val="24"/>
                <w:lang w:eastAsia="de-DE"/>
              </w:rPr>
              <w:t>in accordance with</w:t>
            </w:r>
            <w:r w:rsidR="00402284">
              <w:rPr>
                <w:rFonts w:ascii="Times New Roman" w:hAnsi="Times New Roman"/>
                <w:sz w:val="24"/>
                <w:lang w:eastAsia="de-DE"/>
              </w:rPr>
              <w:t xml:space="preserve">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3 </w:t>
            </w:r>
            <w:r w:rsidR="006E347B" w:rsidRPr="001235ED">
              <w:rPr>
                <w:rFonts w:ascii="Times New Roman" w:hAnsi="Times New Roman"/>
                <w:sz w:val="24"/>
                <w:lang w:val="en-US"/>
              </w:rPr>
              <w:t>of Regulation (EU) No 575/2013</w:t>
            </w:r>
            <w:r w:rsidR="00924AF6">
              <w:rPr>
                <w:rFonts w:ascii="Times New Roman" w:hAnsi="Times New Roman"/>
                <w:sz w:val="24"/>
                <w:lang w:val="en-US"/>
              </w:rPr>
              <w:t>, before the application of the scaling factor</w:t>
            </w:r>
            <w:r w:rsidR="00C01E4F">
              <w:rPr>
                <w:rFonts w:ascii="Times New Roman" w:hAnsi="Times New Roman"/>
                <w:sz w:val="24"/>
                <w:lang w:val="en-US"/>
              </w:rPr>
              <w:t xml:space="preserve"> in accordance with Article 325(2), point (b), of that Regulation.</w:t>
            </w:r>
            <w:r w:rsidRPr="002A677E">
              <w:rPr>
                <w:rFonts w:ascii="Times New Roman" w:hAnsi="Times New Roman"/>
                <w:sz w:val="24"/>
                <w:lang w:eastAsia="de-DE"/>
              </w:rPr>
              <w:t xml:space="preserv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09315D9B"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w:t>
            </w:r>
            <w:r w:rsidR="00046888">
              <w:rPr>
                <w:rFonts w:ascii="Times New Roman" w:hAnsi="Times New Roman"/>
                <w:sz w:val="24"/>
                <w:lang w:eastAsia="nl-BE"/>
              </w:rPr>
              <w:t>1</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59B1449A" w:rsidR="005C14B0" w:rsidRPr="002A677E" w:rsidRDefault="000B0B09" w:rsidP="00F2521E">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oint (</w:t>
            </w:r>
            <w:r w:rsidR="00D4503D">
              <w:rPr>
                <w:rFonts w:ascii="Times New Roman" w:hAnsi="Times New Roman"/>
                <w:sz w:val="24"/>
              </w:rPr>
              <w:t>c</w:t>
            </w:r>
            <w:r w:rsidR="00070113" w:rsidRPr="002A677E">
              <w:rPr>
                <w:rFonts w:ascii="Times New Roman" w:hAnsi="Times New Roman"/>
                <w:sz w:val="24"/>
              </w:rPr>
              <w:t>)</w:t>
            </w:r>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w:t>
            </w:r>
          </w:p>
          <w:p w14:paraId="74C1A53D" w14:textId="2AC5E750" w:rsidR="000B0B09" w:rsidRPr="002A677E" w:rsidRDefault="000B0B09" w:rsidP="000B0B09">
            <w:pPr>
              <w:tabs>
                <w:tab w:val="left" w:pos="1665"/>
              </w:tabs>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Result of the multiplication of the own funds requirements by 12</w:t>
            </w:r>
            <w:r w:rsidR="00F2521E" w:rsidRPr="002A677E">
              <w:rPr>
                <w:rFonts w:ascii="Times New Roman" w:hAnsi="Times New Roman"/>
                <w:sz w:val="24"/>
                <w:lang w:eastAsia="de-DE"/>
              </w:rPr>
              <w:t>,</w:t>
            </w:r>
            <w:r w:rsidRPr="002A677E">
              <w:rPr>
                <w:rFonts w:ascii="Times New Roman" w:hAnsi="Times New Roman"/>
                <w:sz w:val="24"/>
                <w:lang w:eastAsia="de-DE"/>
              </w:rPr>
              <w:t>5</w:t>
            </w:r>
            <w:r w:rsidR="00002A62">
              <w:rPr>
                <w:rFonts w:ascii="Times New Roman" w:hAnsi="Times New Roman"/>
                <w:sz w:val="24"/>
                <w:lang w:eastAsia="de-DE"/>
              </w:rPr>
              <w:t xml:space="preserve"> in accordance with Article 92(7), </w:t>
            </w:r>
            <w:r w:rsidR="00252C37">
              <w:rPr>
                <w:rFonts w:ascii="Times New Roman" w:hAnsi="Times New Roman"/>
                <w:sz w:val="24"/>
                <w:lang w:eastAsia="de-DE"/>
              </w:rPr>
              <w:t>point (b)</w:t>
            </w:r>
            <w:r w:rsidR="006A10D3">
              <w:rPr>
                <w:rFonts w:ascii="Times New Roman" w:hAnsi="Times New Roman"/>
                <w:sz w:val="24"/>
                <w:lang w:eastAsia="de-DE"/>
              </w:rPr>
              <w:t xml:space="preserve">, of Regulation (EU) No 575/2013, and </w:t>
            </w:r>
            <w:r w:rsidR="00760D23">
              <w:rPr>
                <w:rFonts w:ascii="Times New Roman" w:hAnsi="Times New Roman"/>
                <w:sz w:val="24"/>
                <w:lang w:eastAsia="de-DE"/>
              </w:rPr>
              <w:t>by</w:t>
            </w:r>
            <w:r w:rsidR="006A10D3">
              <w:rPr>
                <w:rFonts w:ascii="Times New Roman" w:hAnsi="Times New Roman"/>
                <w:sz w:val="24"/>
                <w:lang w:eastAsia="de-DE"/>
              </w:rPr>
              <w:t xml:space="preserve"> the scaling factor in accordance with Article 325</w:t>
            </w:r>
            <w:r w:rsidR="00046888">
              <w:rPr>
                <w:rFonts w:ascii="Times New Roman" w:hAnsi="Times New Roman"/>
                <w:sz w:val="24"/>
                <w:lang w:eastAsia="de-DE"/>
              </w:rPr>
              <w:t>(2), point (</w:t>
            </w:r>
            <w:r w:rsidR="00AE047C">
              <w:rPr>
                <w:rFonts w:ascii="Times New Roman" w:hAnsi="Times New Roman"/>
                <w:sz w:val="24"/>
                <w:lang w:eastAsia="de-DE"/>
              </w:rPr>
              <w:t>b</w:t>
            </w:r>
            <w:r w:rsidR="00046888">
              <w:rPr>
                <w:rFonts w:ascii="Times New Roman" w:hAnsi="Times New Roman"/>
                <w:sz w:val="24"/>
                <w:lang w:eastAsia="de-DE"/>
              </w:rPr>
              <w:t>), of that Regulation</w:t>
            </w:r>
            <w:r w:rsidRPr="002A677E">
              <w:rPr>
                <w:rFonts w:ascii="Times New Roman" w:hAnsi="Times New Roman"/>
                <w:sz w:val="24"/>
                <w:lang w:eastAsia="de-DE"/>
              </w:rPr>
              <w:t xml:space="preserve">.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lastRenderedPageBreak/>
              <w:t>Rows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rPr>
              <w:t>TOTAL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37BF8A23" w:rsidR="000B0B09"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All p</w:t>
            </w:r>
            <w:r w:rsidR="000B0B09" w:rsidRPr="002A677E">
              <w:rPr>
                <w:rFonts w:ascii="Times New Roman" w:hAnsi="Times New Roman"/>
                <w:sz w:val="24"/>
              </w:rPr>
              <w:t xml:space="preserve">ositions in non-reporting currencies </w:t>
            </w:r>
            <w:r w:rsidRPr="002A677E">
              <w:rPr>
                <w:rFonts w:ascii="Times New Roman" w:hAnsi="Times New Roman"/>
                <w:sz w:val="24"/>
              </w:rPr>
              <w:t xml:space="preserve">and those positions in the reporting currency that are considered for the purposes of Article 354 </w:t>
            </w:r>
            <w:r w:rsidR="006E347B" w:rsidRPr="001235ED">
              <w:rPr>
                <w:rFonts w:ascii="Times New Roman" w:hAnsi="Times New Roman"/>
                <w:sz w:val="24"/>
                <w:lang w:val="en-US"/>
              </w:rPr>
              <w:t>of Regulation (EU) No 575/2013</w:t>
            </w:r>
            <w:r w:rsidRPr="002A677E">
              <w:rPr>
                <w:rFonts w:ascii="Times New Roman" w:hAnsi="Times New Roman"/>
                <w:sz w:val="24"/>
              </w:rPr>
              <w:t xml:space="preserve"> as well as</w:t>
            </w:r>
            <w:r w:rsidR="000B0B09" w:rsidRPr="002A677E">
              <w:rPr>
                <w:rFonts w:ascii="Times New Roman" w:hAnsi="Times New Roman"/>
                <w:sz w:val="24"/>
              </w:rPr>
              <w:t xml:space="preserve"> their correspondent own funds requirements </w:t>
            </w:r>
            <w:r w:rsidR="00F2521E" w:rsidRPr="002A677E">
              <w:rPr>
                <w:rFonts w:ascii="Times New Roman" w:hAnsi="Times New Roman"/>
                <w:sz w:val="24"/>
              </w:rPr>
              <w:t xml:space="preserve">for the foreign-exchange risk referred to in </w:t>
            </w:r>
            <w:r w:rsidR="00D21B29" w:rsidRPr="002A677E">
              <w:rPr>
                <w:rFonts w:ascii="Times New Roman" w:hAnsi="Times New Roman"/>
                <w:sz w:val="24"/>
              </w:rPr>
              <w:t>Article</w:t>
            </w:r>
            <w:r w:rsidR="000B0B09" w:rsidRPr="002A677E">
              <w:rPr>
                <w:rFonts w:ascii="Times New Roman" w:hAnsi="Times New Roman"/>
                <w:sz w:val="24"/>
              </w:rPr>
              <w:t xml:space="preserve"> 92(</w:t>
            </w:r>
            <w:r w:rsidR="00B67F61">
              <w:rPr>
                <w:rFonts w:ascii="Times New Roman" w:hAnsi="Times New Roman"/>
                <w:sz w:val="24"/>
              </w:rPr>
              <w:t>4</w:t>
            </w:r>
            <w:r w:rsidR="000B0B09" w:rsidRPr="002A677E">
              <w:rPr>
                <w:rFonts w:ascii="Times New Roman" w:hAnsi="Times New Roman"/>
                <w:sz w:val="24"/>
              </w:rPr>
              <w:t>)</w:t>
            </w:r>
            <w:r w:rsidR="00B83DDE">
              <w:rPr>
                <w:rFonts w:ascii="Times New Roman" w:hAnsi="Times New Roman"/>
                <w:sz w:val="24"/>
              </w:rPr>
              <w:t>, p</w:t>
            </w:r>
            <w:r w:rsidR="00070113" w:rsidRPr="002A677E">
              <w:rPr>
                <w:rFonts w:ascii="Times New Roman" w:hAnsi="Times New Roman"/>
                <w:sz w:val="24"/>
              </w:rPr>
              <w:t xml:space="preserve">oint (c), </w:t>
            </w:r>
            <w:r w:rsidR="0019088A" w:rsidRPr="002A677E">
              <w:rPr>
                <w:rFonts w:ascii="Times New Roman" w:hAnsi="Times New Roman"/>
                <w:sz w:val="24"/>
              </w:rPr>
              <w:t>taking into account</w:t>
            </w:r>
            <w:r w:rsidR="00F2521E" w:rsidRPr="002A677E">
              <w:rPr>
                <w:rFonts w:ascii="Times New Roman" w:hAnsi="Times New Roman"/>
                <w:sz w:val="24"/>
              </w:rPr>
              <w:t xml:space="preserve"> </w:t>
            </w:r>
            <w:r w:rsidR="000B0B09" w:rsidRPr="002A677E">
              <w:rPr>
                <w:rFonts w:ascii="Times New Roman" w:hAnsi="Times New Roman"/>
                <w:sz w:val="24"/>
              </w:rPr>
              <w:t>Article 352</w:t>
            </w:r>
            <w:r w:rsidR="007F05F0">
              <w:rPr>
                <w:rFonts w:ascii="Times New Roman" w:hAnsi="Times New Roman"/>
                <w:sz w:val="24"/>
              </w:rPr>
              <w:t xml:space="preserve">(2) </w:t>
            </w:r>
            <w:r w:rsidR="00070113" w:rsidRPr="002A677E">
              <w:rPr>
                <w:rFonts w:ascii="Times New Roman" w:hAnsi="Times New Roman"/>
                <w:sz w:val="24"/>
              </w:rPr>
              <w:t xml:space="preserve">and </w:t>
            </w:r>
            <w:r w:rsidR="00EE7C49">
              <w:rPr>
                <w:rFonts w:ascii="Times New Roman" w:hAnsi="Times New Roman"/>
                <w:sz w:val="24"/>
              </w:rPr>
              <w:t>(</w:t>
            </w:r>
            <w:r w:rsidR="00070113" w:rsidRPr="002A677E">
              <w:rPr>
                <w:rFonts w:ascii="Times New Roman" w:hAnsi="Times New Roman"/>
                <w:sz w:val="24"/>
              </w:rPr>
              <w:t>4</w:t>
            </w:r>
            <w:r w:rsidR="00EE7C49">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(for conversion into the reporting currency).</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CURRENCIES CLOSELY CORRELATED</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w:t>
            </w:r>
            <w:r w:rsidR="00F2521E" w:rsidRPr="002A677E">
              <w:rPr>
                <w:rFonts w:ascii="Times New Roman" w:hAnsi="Times New Roman"/>
                <w:sz w:val="24"/>
              </w:rPr>
              <w:t xml:space="preserve">closely correlated </w:t>
            </w:r>
            <w:r w:rsidRPr="002A677E">
              <w:rPr>
                <w:rFonts w:ascii="Times New Roman" w:hAnsi="Times New Roman"/>
                <w:sz w:val="24"/>
              </w:rPr>
              <w:t xml:space="preserve">currencies </w:t>
            </w:r>
            <w:r w:rsidR="00F2521E" w:rsidRPr="002A677E">
              <w:rPr>
                <w:rFonts w:ascii="Times New Roman" w:hAnsi="Times New Roman"/>
                <w:sz w:val="24"/>
              </w:rPr>
              <w:t xml:space="preserve">as </w:t>
            </w:r>
            <w:r w:rsidRPr="002A677E">
              <w:rPr>
                <w:rFonts w:ascii="Times New Roman" w:hAnsi="Times New Roman"/>
                <w:sz w:val="24"/>
              </w:rPr>
              <w:t xml:space="preserve">referred to in Article 354 </w:t>
            </w:r>
            <w:r w:rsidR="006E347B" w:rsidRPr="001235ED">
              <w:rPr>
                <w:rFonts w:ascii="Times New Roman" w:hAnsi="Times New Roman"/>
                <w:sz w:val="24"/>
                <w:lang w:val="en-US"/>
              </w:rPr>
              <w:t>of Regulation (EU) No 575/2013</w:t>
            </w:r>
            <w:r w:rsidRPr="002A677E">
              <w:rPr>
                <w:rFonts w:ascii="Times New Roman" w:hAnsi="Times New Roman"/>
                <w:sz w:val="24"/>
              </w:rPr>
              <w:t>.</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491F4D" w:rsidRPr="002A677E">
              <w:rPr>
                <w:rFonts w:ascii="Times New Roman" w:hAnsi="Times New Roman"/>
                <w:sz w:val="24"/>
                <w:lang w:eastAsia="nl-BE"/>
              </w:rPr>
              <w:t>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Currencies closely correlated: </w:t>
            </w:r>
            <w:r w:rsidRPr="002A677E">
              <w:rPr>
                <w:rFonts w:ascii="Times New Roman" w:hAnsi="Times New Roman"/>
                <w:b/>
                <w:bCs/>
                <w:i/>
                <w:sz w:val="24"/>
                <w:u w:val="single"/>
                <w:lang w:eastAsia="nl-BE"/>
              </w:rPr>
              <w:t>of which</w:t>
            </w:r>
            <w:r w:rsidRPr="002A677E">
              <w:rPr>
                <w:rFonts w:ascii="Times New Roman" w:hAnsi="Times New Roman"/>
                <w:b/>
                <w:bCs/>
                <w:sz w:val="24"/>
                <w:u w:val="single"/>
                <w:lang w:eastAsia="nl-BE"/>
              </w:rPr>
              <w:t>: reporting currency</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the reporting currency which contribute to the calculation of the capital requirements </w:t>
            </w:r>
            <w:r w:rsidR="00BB22D4" w:rsidRPr="002A677E">
              <w:rPr>
                <w:rFonts w:ascii="Times New Roman" w:hAnsi="Times New Roman"/>
                <w:sz w:val="24"/>
              </w:rPr>
              <w:t>in accordance with</w:t>
            </w:r>
            <w:r w:rsidRPr="002A677E">
              <w:rPr>
                <w:rFonts w:ascii="Times New Roman" w:hAnsi="Times New Roman"/>
                <w:sz w:val="24"/>
              </w:rPr>
              <w:t xml:space="preserve"> Article 354 </w:t>
            </w:r>
            <w:r w:rsidR="006E347B" w:rsidRPr="001235ED">
              <w:rPr>
                <w:rFonts w:ascii="Times New Roman" w:hAnsi="Times New Roman"/>
                <w:sz w:val="24"/>
                <w:lang w:val="en-US"/>
              </w:rPr>
              <w:t>of Regulation (EU) No 575/2013</w:t>
            </w:r>
            <w:r w:rsidR="00F2521E" w:rsidRPr="002A677E">
              <w:rPr>
                <w:rFonts w:ascii="Times New Roman" w:hAnsi="Times New Roman"/>
                <w:sz w:val="24"/>
              </w:rPr>
              <w:t>.</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OTHER CURRENCIES (including CIU´s treated as different currencies)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4319EB" w:rsidRPr="002A677E">
              <w:rPr>
                <w:rFonts w:ascii="Times New Roman" w:hAnsi="Times New Roman"/>
                <w:sz w:val="24"/>
              </w:rPr>
              <w:t>.</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u w:val="single"/>
                <w:lang w:eastAsia="nl-BE"/>
              </w:rPr>
              <w:t xml:space="preserve">Reporting of CIU´s treated as separate currencies </w:t>
            </w:r>
            <w:r w:rsidR="00BB22D4" w:rsidRPr="002A677E">
              <w:rPr>
                <w:rFonts w:ascii="Times New Roman" w:hAnsi="Times New Roman"/>
                <w:bCs/>
                <w:sz w:val="24"/>
                <w:u w:val="single"/>
                <w:lang w:eastAsia="nl-BE"/>
              </w:rPr>
              <w:t>in accordance with</w:t>
            </w:r>
            <w:r w:rsidRPr="002A677E">
              <w:rPr>
                <w:rFonts w:ascii="Times New Roman" w:hAnsi="Times New Roman"/>
                <w:bCs/>
                <w:sz w:val="24"/>
                <w:u w:val="single"/>
                <w:lang w:eastAsia="nl-BE"/>
              </w:rPr>
              <w:t xml:space="preserve"> Article 353 </w:t>
            </w:r>
            <w:r w:rsidR="006E347B" w:rsidRPr="001235ED">
              <w:rPr>
                <w:rFonts w:ascii="Times New Roman" w:hAnsi="Times New Roman"/>
                <w:sz w:val="24"/>
                <w:lang w:val="en-US"/>
              </w:rPr>
              <w:t>of Regulation (EU) No 575/2013</w:t>
            </w:r>
            <w:r w:rsidRPr="002A677E">
              <w:rPr>
                <w:rFonts w:ascii="Times New Roman" w:hAnsi="Times New Roman"/>
                <w:bCs/>
                <w:sz w:val="24"/>
                <w:u w:val="single"/>
                <w:lang w:eastAsia="nl-B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1.</w:t>
            </w:r>
            <w:r w:rsidRPr="002A677E">
              <w:rPr>
                <w:rFonts w:ascii="Times New Roman" w:hAnsi="Times New Roman"/>
                <w:bCs/>
                <w:sz w:val="24"/>
                <w:lang w:eastAsia="nl-BE"/>
              </w:rPr>
              <w:tab/>
            </w:r>
            <w:r w:rsidR="000B0B09" w:rsidRPr="002A677E">
              <w:rPr>
                <w:rFonts w:ascii="Times New Roman" w:hAnsi="Times New Roman"/>
                <w:bCs/>
                <w:sz w:val="24"/>
                <w:lang w:eastAsia="nl-BE"/>
              </w:rPr>
              <w:t xml:space="preserve">The modified gold method, </w:t>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not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an institution</w:t>
            </w:r>
            <w:r w:rsidR="00DE73B4" w:rsidRPr="002A677E">
              <w:rPr>
                <w:rFonts w:ascii="Times New Roman" w:hAnsi="Times New Roman"/>
                <w:bCs/>
                <w:sz w:val="24"/>
                <w:lang w:eastAsia="nl-BE"/>
              </w:rPr>
              <w:t>’</w:t>
            </w:r>
            <w:r w:rsidR="000B0B09" w:rsidRPr="002A677E">
              <w:rPr>
                <w:rFonts w:ascii="Times New Roman" w:hAnsi="Times New Roman"/>
                <w:bCs/>
                <w:sz w:val="24"/>
                <w:lang w:eastAsia="nl-BE"/>
              </w:rPr>
              <w:t>s overall net foreign-exchange position)</w:t>
            </w:r>
            <w:r w:rsidR="00A8318E" w:rsidRPr="002A677E">
              <w:rPr>
                <w:rFonts w:ascii="Times New Roman" w:hAnsi="Times New Roman"/>
                <w:bCs/>
                <w:sz w:val="24"/>
                <w:lang w:eastAsia="nl-BE"/>
              </w:rPr>
              <w: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2.</w:t>
            </w:r>
            <w:r w:rsidRPr="002A677E">
              <w:rPr>
                <w:rFonts w:ascii="Times New Roman" w:hAnsi="Times New Roman"/>
                <w:bCs/>
                <w:sz w:val="24"/>
                <w:lang w:eastAsia="nl-BE"/>
              </w:rPr>
              <w:tab/>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the total open foreign exchange position (long or short, depending on the direction of the CIU)</w:t>
            </w:r>
            <w:r w:rsidR="001A0143" w:rsidRPr="002A677E">
              <w:rPr>
                <w:rFonts w:ascii="Times New Roman" w:hAnsi="Times New Roman"/>
                <w:bCs/>
                <w:sz w:val="24"/>
                <w:lang w:eastAsia="nl-BE"/>
              </w:rPr>
              <w: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lang w:eastAsia="nl-BE"/>
              </w:rPr>
              <w:t xml:space="preserve">The reporting of those CIU´s </w:t>
            </w:r>
            <w:r w:rsidR="001A0143" w:rsidRPr="002A677E">
              <w:rPr>
                <w:rFonts w:ascii="Times New Roman" w:hAnsi="Times New Roman"/>
                <w:bCs/>
                <w:sz w:val="24"/>
                <w:lang w:eastAsia="nl-BE"/>
              </w:rPr>
              <w:t xml:space="preserve">shall </w:t>
            </w:r>
            <w:r w:rsidRPr="002A677E">
              <w:rPr>
                <w:rFonts w:ascii="Times New Roman" w:hAnsi="Times New Roman"/>
                <w:bCs/>
                <w:sz w:val="24"/>
                <w:lang w:eastAsia="nl-BE"/>
              </w:rPr>
              <w:t>follow the calculation of the capital requirements.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Positions and their correspondent own funds requirements for currencies subject to the general procedure referred to in Article 351 and</w:t>
            </w:r>
            <w:r w:rsidR="00402284">
              <w:rPr>
                <w:rFonts w:ascii="Times New Roman" w:hAnsi="Times New Roman"/>
                <w:sz w:val="24"/>
              </w:rPr>
              <w:t xml:space="preserve">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 </w:t>
            </w: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09B80C0" w14:textId="56A2BE80" w:rsidR="000B0B09" w:rsidRPr="002A677E" w:rsidRDefault="000B0B09" w:rsidP="001A0143">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lastRenderedPageBreak/>
              <w:t>Article 352</w:t>
            </w:r>
            <w:r w:rsidR="00B83DDE">
              <w:rPr>
                <w:rFonts w:ascii="Times New Roman" w:hAnsi="Times New Roman"/>
                <w:sz w:val="24"/>
                <w:lang w:eastAsia="de-DE"/>
              </w:rPr>
              <w:t>, p</w:t>
            </w:r>
            <w:r w:rsidR="00070113" w:rsidRPr="002A677E">
              <w:rPr>
                <w:rFonts w:ascii="Times New Roman" w:hAnsi="Times New Roman"/>
                <w:sz w:val="24"/>
                <w:lang w:eastAsia="de-DE"/>
              </w:rPr>
              <w:t xml:space="preserve">aragraphs 5 and 6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additional requirements for options related to non-delta risks shall be reported </w:t>
            </w:r>
            <w:r w:rsidR="00DE73B4" w:rsidRPr="002A677E">
              <w:rPr>
                <w:rFonts w:ascii="Times New Roman" w:hAnsi="Times New Roman"/>
                <w:sz w:val="24"/>
                <w:lang w:eastAsia="de-DE"/>
              </w:rPr>
              <w:t>broken down by</w:t>
            </w:r>
            <w:r w:rsidRPr="002A677E">
              <w:rPr>
                <w:rFonts w:ascii="Times New Roman" w:hAnsi="Times New Roman"/>
                <w:sz w:val="24"/>
                <w:lang w:eastAsia="de-DE"/>
              </w:rPr>
              <w:t xml:space="preserve"> the method used for </w:t>
            </w:r>
            <w:r w:rsidR="00DE73B4" w:rsidRPr="002A677E">
              <w:rPr>
                <w:rFonts w:ascii="Times New Roman" w:hAnsi="Times New Roman"/>
                <w:sz w:val="24"/>
                <w:lang w:eastAsia="de-DE"/>
              </w:rPr>
              <w:t>their</w:t>
            </w:r>
            <w:r w:rsidR="002300C6" w:rsidRPr="002A677E">
              <w:rPr>
                <w:rFonts w:ascii="Times New Roman" w:hAnsi="Times New Roman"/>
                <w:sz w:val="24"/>
                <w:lang w:eastAsia="de-DE"/>
              </w:rPr>
              <w:t xml:space="preserve"> </w:t>
            </w:r>
            <w:r w:rsidRPr="002A677E">
              <w:rPr>
                <w:rFonts w:ascii="Times New Roman" w:hAnsi="Times New Roman"/>
                <w:sz w:val="24"/>
                <w:lang w:eastAsia="de-DE"/>
              </w:rPr>
              <w:t>calculation</w:t>
            </w:r>
            <w:r w:rsidR="00DE73B4" w:rsidRPr="002A677E">
              <w:rPr>
                <w:rFonts w:ascii="Times New Roman" w:hAnsi="Times New Roman"/>
                <w:sz w:val="24"/>
                <w:lang w:eastAsia="de-DE"/>
              </w:rPr>
              <w:t>.</w:t>
            </w:r>
            <w:r w:rsidR="002300C6" w:rsidRPr="002A677E">
              <w:rPr>
                <w:rFonts w:ascii="Times New Roman" w:hAnsi="Times New Roman"/>
                <w:sz w:val="24"/>
                <w:lang w:eastAsia="de-DE"/>
              </w:rPr>
              <w:t xml:space="preserv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total positions (reporting currency included) by exposure types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Total positions shall be broken down </w:t>
            </w:r>
            <w:r w:rsidR="001A0143" w:rsidRPr="002A677E">
              <w:rPr>
                <w:rFonts w:ascii="Times New Roman" w:hAnsi="Times New Roman"/>
                <w:sz w:val="24"/>
                <w:lang w:eastAsia="de-DE"/>
              </w:rPr>
              <w:t xml:space="preserve">into </w:t>
            </w:r>
            <w:r w:rsidRPr="002A677E">
              <w:rPr>
                <w:rFonts w:ascii="Times New Roman" w:hAnsi="Times New Roman"/>
                <w:sz w:val="24"/>
                <w:lang w:eastAsia="de-DE"/>
              </w:rPr>
              <w:t>derivatives, other assets and liabilities</w:t>
            </w:r>
            <w:r w:rsidR="001A0143" w:rsidRPr="002A677E">
              <w:rPr>
                <w:rFonts w:ascii="Times New Roman" w:hAnsi="Times New Roman"/>
                <w:sz w:val="24"/>
                <w:lang w:eastAsia="de-DE"/>
              </w:rPr>
              <w:t>,</w:t>
            </w:r>
            <w:r w:rsidRPr="002A677E">
              <w:rPr>
                <w:rFonts w:ascii="Times New Roman" w:hAnsi="Times New Roman"/>
                <w:sz w:val="24"/>
                <w:lang w:eastAsia="de-DE"/>
              </w:rPr>
              <w:t xml:space="preserve"> and off-balance sheet items.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 other than off-balance sheet items and derivatives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not included in row </w:t>
            </w:r>
            <w:r w:rsidR="002F79EA" w:rsidRPr="002A677E">
              <w:rPr>
                <w:rFonts w:ascii="Times New Roman" w:hAnsi="Times New Roman"/>
                <w:sz w:val="24"/>
                <w:lang w:eastAsia="de-DE"/>
              </w:rPr>
              <w:t>0</w:t>
            </w:r>
            <w:r w:rsidRPr="002A677E">
              <w:rPr>
                <w:rFonts w:ascii="Times New Roman" w:hAnsi="Times New Roman"/>
                <w:sz w:val="24"/>
                <w:lang w:eastAsia="de-DE"/>
              </w:rPr>
              <w:t xml:space="preserve">110 or </w:t>
            </w:r>
            <w:r w:rsidR="002F79EA" w:rsidRPr="002A677E">
              <w:rPr>
                <w:rFonts w:ascii="Times New Roman" w:hAnsi="Times New Roman"/>
                <w:sz w:val="24"/>
                <w:lang w:eastAsia="de-DE"/>
              </w:rPr>
              <w:t>0</w:t>
            </w:r>
            <w:r w:rsidRPr="002A677E">
              <w:rPr>
                <w:rFonts w:ascii="Times New Roman" w:hAnsi="Times New Roman"/>
                <w:sz w:val="24"/>
                <w:lang w:eastAsia="de-DE"/>
              </w:rPr>
              <w:t xml:space="preserve">120 shall be included here.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lang w:eastAsia="de-DE"/>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Off-balance sheet items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Items </w:t>
            </w:r>
            <w:r w:rsidR="00D95045" w:rsidRPr="002A677E">
              <w:rPr>
                <w:rFonts w:ascii="Times New Roman" w:hAnsi="Times New Roman"/>
                <w:sz w:val="24"/>
                <w:lang w:eastAsia="de-DE"/>
              </w:rPr>
              <w:t xml:space="preserve">within the scope of Article 352 </w:t>
            </w:r>
            <w:r w:rsidR="006E347B" w:rsidRPr="001235ED">
              <w:rPr>
                <w:rFonts w:ascii="Times New Roman" w:hAnsi="Times New Roman"/>
                <w:sz w:val="24"/>
                <w:lang w:val="en-US"/>
              </w:rPr>
              <w:t>of Regulation (EU) No 575/2013</w:t>
            </w:r>
            <w:r w:rsidR="00D95045" w:rsidRPr="002A677E">
              <w:rPr>
                <w:rFonts w:ascii="Times New Roman" w:hAnsi="Times New Roman"/>
                <w:sz w:val="24"/>
                <w:lang w:eastAsia="de-DE"/>
              </w:rPr>
              <w:t xml:space="preserve">, irrespective of the currency of denomination, which are </w:t>
            </w:r>
            <w:r w:rsidRPr="002A677E">
              <w:rPr>
                <w:rFonts w:ascii="Times New Roman" w:hAnsi="Times New Roman"/>
                <w:sz w:val="24"/>
                <w:lang w:eastAsia="de-DE"/>
              </w:rPr>
              <w:t xml:space="preserve">included in Annex I </w:t>
            </w:r>
            <w:r w:rsidR="001A0143" w:rsidRPr="002A677E">
              <w:rPr>
                <w:rFonts w:ascii="Times New Roman" w:hAnsi="Times New Roman"/>
                <w:sz w:val="24"/>
                <w:lang w:eastAsia="de-DE"/>
              </w:rPr>
              <w:t xml:space="preserve">to </w:t>
            </w:r>
            <w:r w:rsidR="00F75233" w:rsidRPr="001235ED">
              <w:rPr>
                <w:rFonts w:ascii="Times New Roman" w:hAnsi="Times New Roman"/>
                <w:sz w:val="24"/>
                <w:lang w:val="en-US"/>
              </w:rPr>
              <w:t>of that Regulation</w:t>
            </w:r>
            <w:r w:rsidR="001A0143" w:rsidRPr="002A677E">
              <w:rPr>
                <w:rFonts w:ascii="Times New Roman" w:hAnsi="Times New Roman"/>
                <w:sz w:val="24"/>
                <w:lang w:eastAsia="de-DE"/>
              </w:rPr>
              <w:t>,</w:t>
            </w:r>
            <w:r w:rsidRPr="002A677E">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A677E">
              <w:rPr>
                <w:rFonts w:ascii="Times New Roman" w:hAnsi="Times New Roman"/>
                <w:sz w:val="24"/>
                <w:lang w:eastAsia="de-DE"/>
              </w:rPr>
              <w:t>.</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Derivatives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valued </w:t>
            </w:r>
            <w:r w:rsidR="00A2757B" w:rsidRPr="002A677E">
              <w:rPr>
                <w:rFonts w:ascii="Times New Roman" w:hAnsi="Times New Roman"/>
                <w:sz w:val="24"/>
                <w:lang w:eastAsia="de-DE"/>
              </w:rPr>
              <w:t xml:space="preserve">in </w:t>
            </w:r>
            <w:r w:rsidRPr="002A677E">
              <w:rPr>
                <w:rFonts w:ascii="Times New Roman" w:hAnsi="Times New Roman"/>
                <w:sz w:val="24"/>
                <w:lang w:eastAsia="de-DE"/>
              </w:rPr>
              <w:t>accord</w:t>
            </w:r>
            <w:r w:rsidR="00A2757B" w:rsidRPr="002A677E">
              <w:rPr>
                <w:rFonts w:ascii="Times New Roman" w:hAnsi="Times New Roman"/>
                <w:sz w:val="24"/>
                <w:lang w:eastAsia="de-DE"/>
              </w:rPr>
              <w:t>ance with</w:t>
            </w:r>
            <w:r w:rsidRPr="002A677E">
              <w:rPr>
                <w:rFonts w:ascii="Times New Roman" w:hAnsi="Times New Roman"/>
                <w:sz w:val="24"/>
                <w:lang w:eastAsia="de-DE"/>
              </w:rPr>
              <w:t xml:space="preserve"> Article 352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r w:rsidRPr="002A677E">
              <w:rPr>
                <w:rFonts w:ascii="Times New Roman" w:hAnsi="Times New Roman"/>
                <w:sz w:val="24"/>
                <w:lang w:eastAsia="nl-BE"/>
              </w:rPr>
              <w:t>0</w:t>
            </w:r>
            <w:r w:rsidR="00B431BD" w:rsidRPr="002A677E">
              <w:rPr>
                <w:rFonts w:ascii="Times New Roman" w:hAnsi="Times New Roman"/>
                <w:sz w:val="24"/>
                <w:lang w:eastAsia="nl-BE"/>
              </w:rPr>
              <w:t>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MEMORANDUM ITEMS: CURRENCY POSITIONS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memorandum items of the template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filled </w:t>
            </w:r>
            <w:r w:rsidR="00A2757B" w:rsidRPr="002A677E">
              <w:rPr>
                <w:rFonts w:ascii="Times New Roman" w:hAnsi="Times New Roman"/>
                <w:sz w:val="24"/>
                <w:lang w:eastAsia="de-DE"/>
              </w:rPr>
              <w:t>in</w:t>
            </w:r>
            <w:r w:rsidRPr="002A677E">
              <w:rPr>
                <w:rFonts w:ascii="Times New Roman" w:hAnsi="Times New Roman"/>
                <w:sz w:val="24"/>
                <w:lang w:eastAsia="de-DE"/>
              </w:rPr>
              <w:t xml:space="preserve"> separately for </w:t>
            </w:r>
            <w:r w:rsidR="001A0143" w:rsidRPr="002A677E">
              <w:rPr>
                <w:rFonts w:ascii="Times New Roman" w:hAnsi="Times New Roman"/>
                <w:sz w:val="24"/>
                <w:lang w:eastAsia="de-DE"/>
              </w:rPr>
              <w:t>a</w:t>
            </w:r>
            <w:r w:rsidRPr="002A677E">
              <w:rPr>
                <w:rFonts w:ascii="Times New Roman" w:hAnsi="Times New Roman"/>
                <w:sz w:val="24"/>
                <w:lang w:eastAsia="de-DE"/>
              </w:rPr>
              <w:t>ll currencies of the member states of the Union</w:t>
            </w:r>
            <w:r w:rsidR="002300C6" w:rsidRPr="002A677E">
              <w:rPr>
                <w:rFonts w:ascii="Times New Roman" w:hAnsi="Times New Roman"/>
                <w:sz w:val="24"/>
                <w:lang w:eastAsia="de-DE"/>
              </w:rPr>
              <w:t>,</w:t>
            </w:r>
            <w:r w:rsidRPr="002A677E">
              <w:rPr>
                <w:rFonts w:ascii="Times New Roman" w:hAnsi="Times New Roman"/>
                <w:sz w:val="24"/>
                <w:lang w:eastAsia="de-DE"/>
              </w:rPr>
              <w:t xml:space="preserve"> </w:t>
            </w:r>
            <w:r w:rsidR="002F79EA" w:rsidRPr="002A677E">
              <w:rPr>
                <w:rFonts w:ascii="Times New Roman" w:hAnsi="Times New Roman"/>
                <w:sz w:val="24"/>
                <w:lang w:eastAsia="de-DE"/>
              </w:rPr>
              <w:t xml:space="preserve">GBP, </w:t>
            </w:r>
            <w:r w:rsidRPr="002A677E">
              <w:rPr>
                <w:rFonts w:ascii="Times New Roman" w:hAnsi="Times New Roman"/>
                <w:sz w:val="24"/>
                <w:lang w:eastAsia="de-DE"/>
              </w:rPr>
              <w:t xml:space="preserve">USD, CHF, JPY, RUB, TRY, AUD, CAD, RSD, ALL, UAH, MKD, EGP, ARS, BRL, MXN, HKD, ICK, TWD, NZD, NOK, SGD, KRW, CNY and all other currencies.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2A677E" w14:paraId="0E22FBA2" w14:textId="77777777" w:rsidTr="00E40F04">
        <w:tc>
          <w:tcPr>
            <w:tcW w:w="991" w:type="dxa"/>
          </w:tcPr>
          <w:p w14:paraId="70BD8900" w14:textId="77777777" w:rsidR="00DB1114" w:rsidRPr="002A677E" w:rsidRDefault="00DB1114" w:rsidP="00E40F04">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0470</w:t>
            </w:r>
          </w:p>
        </w:tc>
        <w:tc>
          <w:tcPr>
            <w:tcW w:w="7871" w:type="dxa"/>
          </w:tcPr>
          <w:p w14:paraId="323DC607" w14:textId="77777777" w:rsidR="00DB1114" w:rsidRDefault="00DB1114" w:rsidP="00E40F04">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Other</w:t>
            </w:r>
          </w:p>
          <w:p w14:paraId="06E2CC4B" w14:textId="77777777" w:rsidR="00DB1114"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2A677E" w:rsidRDefault="00DB1114" w:rsidP="00E40F04">
            <w:pPr>
              <w:autoSpaceDE w:val="0"/>
              <w:autoSpaceDN w:val="0"/>
              <w:adjustRightInd w:val="0"/>
              <w:spacing w:before="0" w:after="0"/>
              <w:rPr>
                <w:rFonts w:ascii="Times New Roman" w:hAnsi="Times New Roman"/>
                <w:b/>
                <w:bCs/>
                <w:sz w:val="24"/>
                <w:u w:val="single"/>
                <w:lang w:eastAsia="nl-BE"/>
              </w:rPr>
            </w:pPr>
            <w:r w:rsidRPr="00D9735E">
              <w:rPr>
                <w:rFonts w:ascii="Times New Roman" w:hAnsi="Times New Roman"/>
                <w:sz w:val="24"/>
                <w:lang w:eastAsia="de-DE"/>
              </w:rPr>
              <w:t>Positions in gold and positions in CIUs treated as a separate currency in accordance with Article 353(3) of Regulation (EU) No 575/2013 shall be included in this row.</w:t>
            </w: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4" w:name="_Toc262566435"/>
      <w:bookmarkStart w:id="705" w:name="_Toc295830011"/>
      <w:bookmarkStart w:id="706" w:name="_Toc308426688"/>
      <w:bookmarkStart w:id="707" w:name="_Toc310415072"/>
      <w:bookmarkStart w:id="708" w:name="_Toc360188407"/>
      <w:bookmarkStart w:id="709" w:name="_Toc473561047"/>
      <w:bookmarkStart w:id="710" w:name="_Toc151714501"/>
      <w:r w:rsidRPr="002A677E">
        <w:rPr>
          <w:rFonts w:ascii="Times New Roman" w:hAnsi="Times New Roman" w:cs="Times New Roman"/>
          <w:sz w:val="24"/>
          <w:u w:val="none"/>
          <w:lang w:val="en-GB"/>
        </w:rPr>
        <w:t>5.6.</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23.00 </w:t>
      </w:r>
      <w:r w:rsidR="000B0B09" w:rsidRPr="002A677E">
        <w:rPr>
          <w:rFonts w:ascii="Times New Roman" w:hAnsi="Times New Roman" w:cs="Times New Roman"/>
          <w:sz w:val="24"/>
          <w:lang w:val="en-GB"/>
        </w:rPr>
        <w:t>- Market Risk: Standardised Approaches for Commodities</w:t>
      </w:r>
      <w:bookmarkEnd w:id="704"/>
      <w:bookmarkEnd w:id="705"/>
      <w:bookmarkEnd w:id="706"/>
      <w:bookmarkEnd w:id="707"/>
      <w:bookmarkEnd w:id="708"/>
      <w:r w:rsidR="008B73EE" w:rsidRPr="002A677E">
        <w:rPr>
          <w:rFonts w:ascii="Times New Roman" w:hAnsi="Times New Roman" w:cs="Times New Roman"/>
          <w:sz w:val="24"/>
          <w:lang w:val="en-GB"/>
        </w:rPr>
        <w:t xml:space="preserve"> (MKR SA COM)</w:t>
      </w:r>
      <w:bookmarkEnd w:id="709"/>
      <w:bookmarkEnd w:id="710"/>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1" w:name="_Toc262566436"/>
      <w:bookmarkStart w:id="712" w:name="_Toc295830012"/>
      <w:bookmarkStart w:id="713" w:name="_Toc308426689"/>
      <w:bookmarkStart w:id="714" w:name="_Toc310415073"/>
      <w:bookmarkStart w:id="715" w:name="_Toc360188408"/>
      <w:bookmarkStart w:id="716" w:name="_Toc473561048"/>
      <w:bookmarkStart w:id="717" w:name="_Toc151714502"/>
      <w:r w:rsidRPr="002A677E">
        <w:rPr>
          <w:rFonts w:ascii="Times New Roman" w:hAnsi="Times New Roman" w:cs="Times New Roman"/>
          <w:sz w:val="24"/>
          <w:u w:val="none"/>
          <w:lang w:val="en-GB"/>
        </w:rPr>
        <w:t>5.6.1.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11"/>
      <w:bookmarkEnd w:id="712"/>
      <w:bookmarkEnd w:id="713"/>
      <w:bookmarkEnd w:id="714"/>
      <w:bookmarkEnd w:id="715"/>
      <w:bookmarkEnd w:id="716"/>
      <w:bookmarkEnd w:id="717"/>
    </w:p>
    <w:p w14:paraId="441FA19A" w14:textId="4A232C2B" w:rsidR="000B0B09" w:rsidRPr="002A677E" w:rsidRDefault="008F3052" w:rsidP="00C112F8">
      <w:pPr>
        <w:pStyle w:val="InstructionsText2"/>
        <w:numPr>
          <w:ilvl w:val="0"/>
          <w:numId w:val="0"/>
        </w:numPr>
        <w:ind w:left="993"/>
      </w:pPr>
      <w:r>
        <w:fldChar w:fldCharType="begin"/>
      </w:r>
      <w:r>
        <w:instrText>seq paragraphs</w:instrText>
      </w:r>
      <w:r>
        <w:fldChar w:fldCharType="separate"/>
      </w:r>
      <w:r w:rsidR="005E3D5A">
        <w:rPr>
          <w:noProof/>
        </w:rPr>
        <w:t>175</w:t>
      </w:r>
      <w:r>
        <w:fldChar w:fldCharType="end"/>
      </w:r>
      <w:r w:rsidR="00125707" w:rsidRPr="002A677E">
        <w:t>.</w:t>
      </w:r>
      <w:r w:rsidR="00125707" w:rsidRPr="002A677E">
        <w:tab/>
      </w:r>
      <w:r w:rsidR="005C14B0" w:rsidRPr="002A677E">
        <w:t xml:space="preserve"> </w:t>
      </w:r>
      <w:r w:rsidR="000B0B09" w:rsidRPr="002A677E">
        <w:t xml:space="preserve">This template request information on the positions in commodities and the corresponding own funds requirements treated under the </w:t>
      </w:r>
      <w:r w:rsidR="00CA21CA" w:rsidRPr="002A677E">
        <w:t>Standardised Approach</w:t>
      </w:r>
      <w:r w:rsidR="000B0B09" w:rsidRPr="002A677E">
        <w: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8" w:name="_Toc262566437"/>
      <w:bookmarkStart w:id="719" w:name="_Toc295830013"/>
      <w:bookmarkStart w:id="720" w:name="_Toc308426690"/>
      <w:bookmarkStart w:id="721" w:name="_Toc310415074"/>
      <w:bookmarkStart w:id="722" w:name="_Toc360188409"/>
      <w:bookmarkStart w:id="723" w:name="_Toc473561049"/>
      <w:bookmarkStart w:id="724" w:name="_Toc151714503"/>
      <w:r w:rsidRPr="002A677E">
        <w:rPr>
          <w:rFonts w:ascii="Times New Roman" w:hAnsi="Times New Roman" w:cs="Times New Roman"/>
          <w:sz w:val="24"/>
          <w:u w:val="none"/>
          <w:lang w:val="en-GB"/>
        </w:rPr>
        <w:lastRenderedPageBreak/>
        <w:t>5.6.2.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18"/>
      <w:bookmarkEnd w:id="719"/>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Gross long/short positions considered positions in the same commodity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357(</w:t>
            </w:r>
            <w:r w:rsidR="00D1690D" w:rsidRPr="002A677E">
              <w:rPr>
                <w:rFonts w:ascii="Times New Roman" w:hAnsi="Times New Roman"/>
                <w:sz w:val="24"/>
                <w:lang w:eastAsia="de-DE"/>
              </w:rPr>
              <w:t>4</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(see also Article 359(1)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3E9C7204"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de-DE"/>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As defined in Article 357(</w:t>
            </w:r>
            <w:r w:rsidR="00D1690D" w:rsidRPr="002A677E">
              <w:rPr>
                <w:rFonts w:ascii="Times New Roman" w:hAnsi="Times New Roman"/>
                <w:sz w:val="24"/>
                <w:lang w:eastAsia="de-DE"/>
              </w:rPr>
              <w:t>3</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w:t>
            </w:r>
            <w:r w:rsidR="002F79EA" w:rsidRPr="002A677E">
              <w:rPr>
                <w:rFonts w:ascii="Times New Roman" w:hAnsi="Times New Roman"/>
                <w:sz w:val="24"/>
                <w:lang w:eastAsia="de-DE"/>
              </w:rPr>
              <w:t>.</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6" w:type="dxa"/>
          </w:tcPr>
          <w:p w14:paraId="4AA26DC6" w14:textId="579AC514"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r w:rsidR="006E23F2">
              <w:rPr>
                <w:rFonts w:ascii="Times New Roman" w:hAnsi="Times New Roman"/>
                <w:b/>
                <w:bCs/>
                <w:sz w:val="24"/>
                <w:u w:val="single"/>
                <w:lang w:eastAsia="nl-BE"/>
              </w:rPr>
              <w:t xml:space="preserve"> BEFORE APPLICATION OF SCALING FACTORS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2A677E" w:rsidRDefault="000B0B09" w:rsidP="00A2757B">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The </w:t>
            </w:r>
            <w:r w:rsidR="00A2757B"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1A0143"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00A2757B" w:rsidRPr="002A677E">
              <w:rPr>
                <w:rFonts w:ascii="Times New Roman" w:hAnsi="Times New Roman"/>
                <w:sz w:val="24"/>
                <w:lang w:eastAsia="de-DE"/>
              </w:rPr>
              <w:t xml:space="preserve"> for any relevant position</w:t>
            </w:r>
            <w:r w:rsidR="00BE6C8F">
              <w:rPr>
                <w:rFonts w:ascii="Times New Roman" w:hAnsi="Times New Roman"/>
                <w:sz w:val="24"/>
                <w:lang w:eastAsia="de-DE"/>
              </w:rPr>
              <w:t>, before the application of the scaling factor in accordance with Article 325(2)</w:t>
            </w:r>
            <w:r w:rsidR="00AE047C">
              <w:rPr>
                <w:rFonts w:ascii="Times New Roman" w:hAnsi="Times New Roman"/>
                <w:sz w:val="24"/>
                <w:lang w:eastAsia="de-DE"/>
              </w:rPr>
              <w:t xml:space="preserve"> of that Regulation.</w:t>
            </w:r>
          </w:p>
        </w:tc>
      </w:tr>
      <w:tr w:rsidR="000B0B09" w:rsidRPr="002A677E" w14:paraId="380AB4E0" w14:textId="77777777" w:rsidTr="00672D2A">
        <w:tc>
          <w:tcPr>
            <w:tcW w:w="986" w:type="dxa"/>
          </w:tcPr>
          <w:p w14:paraId="0EE22EDA" w14:textId="4262441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w:t>
            </w:r>
            <w:r w:rsidR="003903BE">
              <w:rPr>
                <w:rFonts w:ascii="Times New Roman" w:hAnsi="Times New Roman"/>
                <w:sz w:val="24"/>
                <w:lang w:eastAsia="nl-BE"/>
              </w:rPr>
              <w:t>1</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406A2971" w:rsidR="00A2757B" w:rsidRPr="002A677E" w:rsidRDefault="000B0B09" w:rsidP="001A0143">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oint (</w:t>
            </w:r>
            <w:r w:rsidR="00D4503D">
              <w:rPr>
                <w:rFonts w:ascii="Times New Roman" w:hAnsi="Times New Roman"/>
                <w:sz w:val="24"/>
              </w:rPr>
              <w:t>c</w:t>
            </w:r>
            <w:r w:rsidR="00070113" w:rsidRPr="002A677E">
              <w:rPr>
                <w:rFonts w:ascii="Times New Roman" w:hAnsi="Times New Roman"/>
                <w:sz w:val="24"/>
              </w:rPr>
              <w:t>)</w:t>
            </w:r>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5C14B0" w:rsidRPr="002A677E">
              <w:rPr>
                <w:rFonts w:ascii="Times New Roman" w:hAnsi="Times New Roman"/>
                <w:sz w:val="24"/>
                <w:lang w:eastAsia="de-DE"/>
              </w:rPr>
              <w:t xml:space="preserve">. </w:t>
            </w:r>
          </w:p>
          <w:p w14:paraId="67EADC1A" w14:textId="117191E9" w:rsidR="000B0B09" w:rsidRPr="002A677E"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1A0143" w:rsidRPr="002A677E">
              <w:rPr>
                <w:rFonts w:ascii="Times New Roman" w:hAnsi="Times New Roman"/>
                <w:sz w:val="24"/>
                <w:lang w:eastAsia="de-DE"/>
              </w:rPr>
              <w:t>,</w:t>
            </w:r>
            <w:r w:rsidRPr="002A677E">
              <w:rPr>
                <w:rFonts w:ascii="Times New Roman" w:hAnsi="Times New Roman"/>
                <w:sz w:val="24"/>
                <w:lang w:eastAsia="de-DE"/>
              </w:rPr>
              <w:t>5</w:t>
            </w:r>
            <w:r w:rsidR="00AE047C">
              <w:rPr>
                <w:rFonts w:ascii="Times New Roman" w:hAnsi="Times New Roman"/>
                <w:sz w:val="24"/>
                <w:lang w:eastAsia="de-DE"/>
              </w:rPr>
              <w:t xml:space="preserve"> in accordance with Article 92(7), point (b), of Regulation (EU) No 575/2013</w:t>
            </w:r>
            <w:r w:rsidR="0045361B">
              <w:rPr>
                <w:rFonts w:ascii="Times New Roman" w:hAnsi="Times New Roman"/>
                <w:sz w:val="24"/>
                <w:lang w:eastAsia="de-DE"/>
              </w:rPr>
              <w:t>,</w:t>
            </w:r>
            <w:r w:rsidR="00FC7DC2">
              <w:rPr>
                <w:rFonts w:ascii="Times New Roman" w:hAnsi="Times New Roman"/>
                <w:sz w:val="24"/>
                <w:lang w:eastAsia="de-DE"/>
              </w:rPr>
              <w:t xml:space="preserve"> and by the scaling factor in accordance with Article 325(2), point (c), of that Regulation.</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TOTAL POSITIONS IN COMMODITIES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4D0D0275" w:rsidR="000B0B09" w:rsidRPr="002A677E" w:rsidRDefault="000B0B09" w:rsidP="00070113">
            <w:pPr>
              <w:autoSpaceDE w:val="0"/>
              <w:autoSpaceDN w:val="0"/>
              <w:adjustRightInd w:val="0"/>
              <w:spacing w:before="0"/>
              <w:rPr>
                <w:rFonts w:ascii="Times New Roman" w:hAnsi="Times New Roman"/>
                <w:sz w:val="24"/>
                <w:lang w:eastAsia="nl-BE"/>
              </w:rPr>
            </w:pPr>
            <w:r w:rsidRPr="002A677E">
              <w:rPr>
                <w:rFonts w:ascii="Times New Roman" w:hAnsi="Times New Roman"/>
                <w:sz w:val="24"/>
              </w:rPr>
              <w:t xml:space="preserve">Positions in commodities and their correspondent own funds requirements for market risk </w:t>
            </w:r>
            <w:r w:rsidR="001A0143"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w:t>
            </w:r>
            <w:r w:rsidR="00665343">
              <w:rPr>
                <w:rFonts w:ascii="Times New Roman" w:hAnsi="Times New Roman"/>
                <w:sz w:val="24"/>
              </w:rPr>
              <w:t>4</w:t>
            </w:r>
            <w:r w:rsidRPr="002A677E">
              <w:rPr>
                <w:rFonts w:ascii="Times New Roman" w:hAnsi="Times New Roman"/>
                <w:sz w:val="24"/>
              </w:rPr>
              <w:t>)</w:t>
            </w:r>
            <w:r w:rsidR="00B83DDE">
              <w:rPr>
                <w:rFonts w:ascii="Times New Roman" w:hAnsi="Times New Roman"/>
                <w:sz w:val="24"/>
              </w:rPr>
              <w:t>, p</w:t>
            </w:r>
            <w:r w:rsidR="00070113" w:rsidRPr="002A677E">
              <w:rPr>
                <w:rFonts w:ascii="Times New Roman" w:hAnsi="Times New Roman"/>
                <w:sz w:val="24"/>
              </w:rPr>
              <w:t>oint (c)</w:t>
            </w:r>
            <w:r w:rsidR="0027437C">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sz w:val="24"/>
              </w:rPr>
              <w:t xml:space="preserve"> and </w:t>
            </w:r>
            <w:r w:rsidR="005C14B0" w:rsidRPr="002A677E">
              <w:rPr>
                <w:rFonts w:ascii="Times New Roman" w:hAnsi="Times New Roman"/>
                <w:sz w:val="24"/>
                <w:lang w:eastAsia="de-DE"/>
              </w:rPr>
              <w:t>Part Three</w:t>
            </w:r>
            <w:r w:rsidR="00070113" w:rsidRPr="002A677E">
              <w:rPr>
                <w:rFonts w:ascii="Times New Roman" w:hAnsi="Times New Roman"/>
                <w:sz w:val="24"/>
                <w:lang w:eastAsia="de-DE"/>
              </w:rPr>
              <w:t>,</w:t>
            </w:r>
            <w:r w:rsidR="005C14B0" w:rsidRPr="002A677E">
              <w:rPr>
                <w:rFonts w:ascii="Times New Roman" w:hAnsi="Times New Roman"/>
                <w:sz w:val="24"/>
                <w:lang w:eastAsia="de-DE"/>
              </w:rPr>
              <w:t xml:space="preserve"> </w:t>
            </w:r>
            <w:r w:rsidR="00070113" w:rsidRPr="002A677E">
              <w:rPr>
                <w:rFonts w:ascii="Times New Roman" w:hAnsi="Times New Roman"/>
                <w:sz w:val="24"/>
                <w:lang w:eastAsia="de-DE"/>
              </w:rPr>
              <w:t xml:space="preserve">Title IV, Chapter 4 </w:t>
            </w:r>
            <w:r w:rsidR="006E347B" w:rsidRPr="001235ED">
              <w:rPr>
                <w:rFonts w:ascii="Times New Roman" w:hAnsi="Times New Roman"/>
                <w:sz w:val="24"/>
                <w:lang w:val="en-US"/>
              </w:rPr>
              <w:t xml:space="preserve">of </w:t>
            </w:r>
            <w:r w:rsidR="0027437C">
              <w:rPr>
                <w:rFonts w:ascii="Times New Roman" w:hAnsi="Times New Roman"/>
                <w:sz w:val="24"/>
                <w:lang w:val="en-US"/>
              </w:rPr>
              <w:t xml:space="preserve">that </w:t>
            </w:r>
            <w:r w:rsidR="006E347B" w:rsidRPr="001235ED">
              <w:rPr>
                <w:rFonts w:ascii="Times New Roman" w:hAnsi="Times New Roman"/>
                <w:sz w:val="24"/>
                <w:lang w:val="en-US"/>
              </w:rPr>
              <w:t>Regulation</w:t>
            </w:r>
            <w:r w:rsidRPr="002A677E">
              <w:rPr>
                <w:rFonts w:ascii="Times New Roman" w:hAnsi="Times New Roman"/>
                <w:sz w:val="24"/>
              </w:rPr>
              <w:t xml:space="preserve">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BY CATEGORY OF COMMODITY</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For reporting purposes</w:t>
            </w:r>
            <w:r w:rsidR="001A0143" w:rsidRPr="002A677E">
              <w:rPr>
                <w:rFonts w:ascii="Times New Roman" w:hAnsi="Times New Roman"/>
                <w:sz w:val="24"/>
              </w:rPr>
              <w:t>,</w:t>
            </w:r>
            <w:r w:rsidRPr="002A677E">
              <w:rPr>
                <w:rFonts w:ascii="Times New Roman" w:hAnsi="Times New Roman"/>
                <w:sz w:val="24"/>
              </w:rPr>
              <w:t xml:space="preserve"> commodities </w:t>
            </w:r>
            <w:r w:rsidR="005C14B0" w:rsidRPr="002A677E">
              <w:rPr>
                <w:rFonts w:ascii="Times New Roman" w:hAnsi="Times New Roman"/>
                <w:sz w:val="24"/>
              </w:rPr>
              <w:t xml:space="preserve">shall be </w:t>
            </w:r>
            <w:r w:rsidRPr="002A677E">
              <w:rPr>
                <w:rFonts w:ascii="Times New Roman" w:hAnsi="Times New Roman"/>
                <w:sz w:val="24"/>
              </w:rPr>
              <w:t>grouped in the four groups of commodities referred to in Article 361</w:t>
            </w:r>
            <w:r w:rsidR="00070113" w:rsidRPr="002A677E">
              <w:rPr>
                <w:rFonts w:ascii="Times New Roman" w:hAnsi="Times New Roman"/>
                <w:sz w:val="24"/>
              </w:rPr>
              <w:t>,</w:t>
            </w:r>
            <w:r w:rsidRPr="002A677E">
              <w:rPr>
                <w:rFonts w:ascii="Times New Roman" w:hAnsi="Times New Roman"/>
                <w:sz w:val="24"/>
              </w:rPr>
              <w:t xml:space="preserve"> </w:t>
            </w:r>
            <w:r w:rsidR="00070113" w:rsidRPr="002A677E">
              <w:rPr>
                <w:rFonts w:ascii="Times New Roman" w:hAnsi="Times New Roman"/>
                <w:sz w:val="24"/>
              </w:rPr>
              <w:t>Table 2</w:t>
            </w:r>
            <w:r w:rsidR="006E347B" w:rsidRPr="001235ED">
              <w:rPr>
                <w:rFonts w:ascii="Times New Roman" w:hAnsi="Times New Roman"/>
                <w:sz w:val="24"/>
                <w:lang w:val="en-US"/>
              </w:rPr>
              <w:t xml:space="preserve"> of Regulation (EU) No 575/2013</w:t>
            </w:r>
            <w:r w:rsidRPr="002A677E">
              <w:rPr>
                <w:rFonts w:ascii="Times New Roman" w:hAnsi="Times New Roman"/>
                <w:sz w:val="24"/>
              </w:rPr>
              <w:t>.</w:t>
            </w:r>
          </w:p>
          <w:p w14:paraId="04BB5316"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MATURITY LADDER APPROACH</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Positions in commodities subject to the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359 </w:t>
            </w:r>
            <w:r w:rsidR="006E347B" w:rsidRPr="001235ED">
              <w:rPr>
                <w:rFonts w:ascii="Times New Roman" w:hAnsi="Times New Roman"/>
                <w:sz w:val="24"/>
                <w:lang w:val="en-US"/>
              </w:rPr>
              <w:t>of Regulation (EU) No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EXTENDED MATURITY LADDER APPROACH</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e</w:t>
            </w:r>
            <w:r w:rsidRPr="002A677E">
              <w:rPr>
                <w:rFonts w:ascii="Times New Roman" w:hAnsi="Times New Roman"/>
                <w:sz w:val="24"/>
              </w:rPr>
              <w:t xml:space="preserve">xtended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361 </w:t>
            </w:r>
            <w:r w:rsidR="006E347B" w:rsidRPr="001235ED">
              <w:rPr>
                <w:rFonts w:ascii="Times New Roman" w:hAnsi="Times New Roman"/>
                <w:sz w:val="24"/>
                <w:lang w:val="en-US"/>
              </w:rPr>
              <w:t>of Regulation (EU) No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SIMPLIFIED APPROACH</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s</w:t>
            </w:r>
            <w:r w:rsidRPr="002A677E">
              <w:rPr>
                <w:rFonts w:ascii="Times New Roman" w:hAnsi="Times New Roman"/>
                <w:sz w:val="24"/>
              </w:rPr>
              <w:t>implified approach</w:t>
            </w:r>
            <w:r w:rsidR="00402284">
              <w:rPr>
                <w:rFonts w:ascii="Times New Roman" w:hAnsi="Times New Roman"/>
                <w:sz w:val="24"/>
              </w:rPr>
              <w:t xml:space="preserve"> </w:t>
            </w:r>
            <w:r w:rsidRPr="002A677E">
              <w:rPr>
                <w:rFonts w:ascii="Times New Roman" w:hAnsi="Times New Roman"/>
                <w:sz w:val="24"/>
              </w:rPr>
              <w:t xml:space="preserve">referred to in Article 360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44B7110" w14:textId="08585130" w:rsidR="000B0B09" w:rsidRPr="002A677E" w:rsidRDefault="000B0B09" w:rsidP="001A0143">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Article 358(4)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1D3D5AF7"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additional requirements for options related to non-delta risks shall be reported in the method used for its calculation</w:t>
            </w:r>
            <w:r w:rsidR="005C14B0" w:rsidRPr="002A677E">
              <w:rPr>
                <w:rFonts w:ascii="Times New Roman" w:hAnsi="Times New Roman"/>
                <w:sz w:val="24"/>
                <w:lang w:eastAsia="de-DE"/>
              </w:rPr>
              <w:t>.</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lang w:val="en-GB"/>
        </w:rPr>
      </w:pPr>
      <w:bookmarkStart w:id="725" w:name="_Toc262566438"/>
      <w:bookmarkStart w:id="726" w:name="_Toc295830014"/>
      <w:bookmarkStart w:id="727" w:name="_Toc308426691"/>
      <w:bookmarkStart w:id="728" w:name="_Toc310415075"/>
      <w:bookmarkStart w:id="729" w:name="_Toc360188410"/>
      <w:bookmarkStart w:id="730" w:name="_Toc473561050"/>
      <w:bookmarkStart w:id="731" w:name="_Toc151714504"/>
      <w:r w:rsidRPr="002A677E">
        <w:rPr>
          <w:rFonts w:ascii="Times New Roman" w:hAnsi="Times New Roman" w:cs="Times New Roman"/>
          <w:sz w:val="24"/>
          <w:u w:val="none"/>
          <w:lang w:val="en-GB"/>
        </w:rPr>
        <w:t>5.7.</w:t>
      </w:r>
      <w:r w:rsidRPr="002A677E">
        <w:rPr>
          <w:rFonts w:ascii="Times New Roman" w:hAnsi="Times New Roman" w:cs="Times New Roman"/>
          <w:sz w:val="24"/>
          <w:u w:val="none"/>
          <w:lang w:val="en-GB"/>
        </w:rPr>
        <w:tab/>
      </w:r>
      <w:r w:rsidR="008B73EE" w:rsidRPr="002A677E">
        <w:rPr>
          <w:rFonts w:ascii="Times New Roman" w:hAnsi="Times New Roman"/>
          <w:sz w:val="24"/>
          <w:lang w:val="en-GB"/>
        </w:rPr>
        <w:t xml:space="preserve">C 24.00 </w:t>
      </w:r>
      <w:r w:rsidR="000B0B09" w:rsidRPr="002A677E">
        <w:rPr>
          <w:rFonts w:ascii="Times New Roman" w:hAnsi="Times New Roman"/>
          <w:sz w:val="24"/>
          <w:lang w:val="en-GB"/>
        </w:rPr>
        <w:t>- Market Risk Internal Model</w:t>
      </w:r>
      <w:bookmarkEnd w:id="725"/>
      <w:bookmarkEnd w:id="726"/>
      <w:bookmarkEnd w:id="727"/>
      <w:bookmarkEnd w:id="728"/>
      <w:bookmarkEnd w:id="729"/>
      <w:r w:rsidR="008B73EE" w:rsidRPr="002A677E">
        <w:rPr>
          <w:rFonts w:ascii="Times New Roman" w:hAnsi="Times New Roman"/>
          <w:sz w:val="24"/>
          <w:lang w:val="en-GB"/>
        </w:rPr>
        <w:t xml:space="preserve"> (MKR IM)</w:t>
      </w:r>
      <w:bookmarkEnd w:id="730"/>
      <w:bookmarkEnd w:id="731"/>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32" w:name="_Toc262566439"/>
      <w:bookmarkStart w:id="733" w:name="_Toc295830015"/>
      <w:bookmarkStart w:id="734" w:name="_Toc308426692"/>
      <w:bookmarkStart w:id="735" w:name="_Toc310415076"/>
      <w:bookmarkStart w:id="736" w:name="_Toc360188411"/>
      <w:bookmarkStart w:id="737" w:name="_Toc473561051"/>
      <w:bookmarkStart w:id="738" w:name="_Toc151714505"/>
      <w:r w:rsidRPr="002A677E">
        <w:rPr>
          <w:rFonts w:ascii="Times New Roman" w:hAnsi="Times New Roman" w:cs="Times New Roman"/>
          <w:sz w:val="24"/>
          <w:u w:val="none"/>
          <w:lang w:val="en-GB"/>
        </w:rPr>
        <w:t>5.7.1.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32"/>
      <w:bookmarkEnd w:id="733"/>
      <w:bookmarkEnd w:id="734"/>
      <w:bookmarkEnd w:id="735"/>
      <w:bookmarkEnd w:id="736"/>
      <w:bookmarkEnd w:id="737"/>
      <w:bookmarkEnd w:id="738"/>
    </w:p>
    <w:p w14:paraId="1055920F" w14:textId="07241BE6" w:rsidR="000B0B09"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176</w:t>
      </w:r>
      <w:r w:rsidRPr="005B57EC">
        <w:rPr>
          <w:noProof/>
        </w:rPr>
        <w:fldChar w:fldCharType="end"/>
      </w:r>
      <w:r w:rsidR="00125707" w:rsidRPr="002A677E">
        <w:t>.</w:t>
      </w:r>
      <w:r w:rsidR="00125707" w:rsidRPr="002A677E">
        <w:tab/>
      </w:r>
      <w:r w:rsidR="005C14B0" w:rsidRPr="002A677E">
        <w:t xml:space="preserve"> </w:t>
      </w:r>
      <w:r w:rsidR="000B0B09" w:rsidRPr="002A677E">
        <w:t xml:space="preserve">This template provides a breakdown of VaR and stressed VaR (sVaR) figures </w:t>
      </w:r>
      <w:r w:rsidR="00001AF1" w:rsidRPr="002A677E">
        <w:t>by</w:t>
      </w:r>
      <w:r w:rsidR="000B0B09" w:rsidRPr="002A677E">
        <w:t xml:space="preserve"> the different market risks (debt, equity, FX, commodities) and other information relevant for the calculation of the own funds requirements.</w:t>
      </w:r>
    </w:p>
    <w:p w14:paraId="3DD1046B" w14:textId="0F4EEE6B" w:rsidR="000B0B09"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177</w:t>
      </w:r>
      <w:r w:rsidRPr="005B57EC">
        <w:rPr>
          <w:noProof/>
        </w:rPr>
        <w:fldChar w:fldCharType="end"/>
      </w:r>
      <w:r w:rsidR="00125707" w:rsidRPr="002A677E">
        <w:t>.</w:t>
      </w:r>
      <w:r w:rsidR="00125707" w:rsidRPr="002A677E">
        <w:tab/>
      </w:r>
      <w:r w:rsidR="005C14B0" w:rsidRPr="002A677E">
        <w:t xml:space="preserve"> </w:t>
      </w:r>
      <w:r w:rsidR="000B0B09" w:rsidRPr="002A677E">
        <w:t>Generally</w:t>
      </w:r>
      <w:r w:rsidR="0016282F" w:rsidRPr="002A677E">
        <w:t>,</w:t>
      </w:r>
      <w:r w:rsidR="000B0B09" w:rsidRPr="002A677E">
        <w:t xml:space="preserve"> </w:t>
      </w:r>
      <w:r w:rsidR="00001AF1" w:rsidRPr="002A677E">
        <w:t>it</w:t>
      </w:r>
      <w:r w:rsidR="0016282F" w:rsidRPr="002A677E">
        <w:t xml:space="preserve"> </w:t>
      </w:r>
      <w:r w:rsidR="000B0B09" w:rsidRPr="002A677E">
        <w:t>depends on the structure of the model of the institutions</w:t>
      </w:r>
      <w:r w:rsidR="002300C6" w:rsidRPr="002A677E">
        <w:t xml:space="preserve"> </w:t>
      </w:r>
      <w:r w:rsidR="000B0B09" w:rsidRPr="002A677E">
        <w:t xml:space="preserve">whether the figures for general and specific risk </w:t>
      </w:r>
      <w:r w:rsidR="00CD35F2" w:rsidRPr="002A677E">
        <w:t xml:space="preserve">can be determined and reported </w:t>
      </w:r>
      <w:r w:rsidR="000B0B09" w:rsidRPr="002A677E">
        <w:t xml:space="preserve">separately or </w:t>
      </w:r>
      <w:r w:rsidR="00CD35F2" w:rsidRPr="002A677E">
        <w:t>only as a total</w:t>
      </w:r>
      <w:r w:rsidR="000B0B09" w:rsidRPr="002A677E">
        <w:t>. The same holds true for the decomposition of the V</w:t>
      </w:r>
      <w:r w:rsidR="00CD35F2" w:rsidRPr="002A677E">
        <w:t>a</w:t>
      </w:r>
      <w:r w:rsidR="000B0B09" w:rsidRPr="002A677E">
        <w:t>R /Stress-Va</w:t>
      </w:r>
      <w:r w:rsidR="00CD35F2" w:rsidRPr="002A677E">
        <w:t>R</w:t>
      </w:r>
      <w:r w:rsidR="000B0B09" w:rsidRPr="002A677E">
        <w:t xml:space="preserve"> into the risk categories (interest rate risk, equity risk, commodities risk and foreign exchange risk). An institution can </w:t>
      </w:r>
      <w:r w:rsidR="00CD35F2" w:rsidRPr="002A677E">
        <w:t xml:space="preserve">refrain from </w:t>
      </w:r>
      <w:r w:rsidR="000B0B09" w:rsidRPr="002A677E">
        <w:t>report</w:t>
      </w:r>
      <w:r w:rsidR="00CD35F2" w:rsidRPr="002A677E">
        <w:t>ing</w:t>
      </w:r>
      <w:r w:rsidR="000B0B09" w:rsidRPr="002A677E">
        <w:t xml:space="preserve"> th</w:t>
      </w:r>
      <w:r w:rsidR="0016282F" w:rsidRPr="002A677E">
        <w:t>ose</w:t>
      </w:r>
      <w:r w:rsidR="000B0B09" w:rsidRPr="002A677E">
        <w:t xml:space="preserve"> decompositions if it proves that reporting th</w:t>
      </w:r>
      <w:r w:rsidR="0016282F" w:rsidRPr="002A677E">
        <w:t>o</w:t>
      </w:r>
      <w:r w:rsidR="000B0B09" w:rsidRPr="002A677E">
        <w:t>se figures would be unduly burdensome.</w:t>
      </w:r>
      <w:r w:rsidR="00730040" w:rsidRPr="002A677E">
        <w:t xml:space="preser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39" w:name="_Toc262566440"/>
      <w:bookmarkStart w:id="740" w:name="_Toc295830016"/>
      <w:bookmarkStart w:id="741" w:name="_Toc308426693"/>
      <w:bookmarkStart w:id="742" w:name="_Toc310415077"/>
      <w:bookmarkStart w:id="743" w:name="_Toc360188412"/>
      <w:bookmarkStart w:id="744" w:name="_Toc473561052"/>
      <w:bookmarkStart w:id="745" w:name="_Toc151714506"/>
      <w:r w:rsidRPr="002A677E">
        <w:rPr>
          <w:rFonts w:ascii="Times New Roman" w:hAnsi="Times New Roman" w:cs="Times New Roman"/>
          <w:sz w:val="24"/>
          <w:u w:val="none"/>
          <w:lang w:val="en-GB"/>
        </w:rPr>
        <w:t>5.7.2.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39"/>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C</w:t>
            </w:r>
            <w:r w:rsidR="000B0B09" w:rsidRPr="002A677E">
              <w:rPr>
                <w:rFonts w:ascii="Times New Roman" w:hAnsi="Times New Roman"/>
                <w:sz w:val="24"/>
                <w:lang w:eastAsia="nl-BE"/>
              </w:rPr>
              <w:t>olumns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Value at Risk (</w:t>
            </w:r>
            <w:r w:rsidR="000B0B09" w:rsidRPr="002A677E">
              <w:rPr>
                <w:rFonts w:ascii="Times New Roman" w:hAnsi="Times New Roman"/>
                <w:b/>
                <w:bCs/>
                <w:sz w:val="24"/>
                <w:u w:val="single"/>
                <w:lang w:eastAsia="nl-BE"/>
              </w:rPr>
              <w:t>VaR</w:t>
            </w:r>
            <w:r w:rsidRPr="002A677E">
              <w:rPr>
                <w:rFonts w:ascii="Times New Roman" w:hAnsi="Times New Roman"/>
                <w:b/>
                <w:bCs/>
                <w:sz w:val="24"/>
                <w:u w:val="single"/>
                <w:lang w:eastAsia="nl-B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VaR</w:t>
            </w:r>
            <w:r w:rsidR="005C14B0" w:rsidRPr="002A677E">
              <w:rPr>
                <w:rFonts w:ascii="Times New Roman" w:hAnsi="Times New Roman"/>
                <w:sz w:val="24"/>
                <w:lang w:eastAsia="fr-FR"/>
              </w:rPr>
              <w:t xml:space="preserve">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(mc) x Average of previous 60 working days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 </w:t>
            </w:r>
            <w:r w:rsidR="000B0B09" w:rsidRPr="002A677E">
              <w:rPr>
                <w:rFonts w:ascii="Times New Roman" w:hAnsi="Times New Roman"/>
                <w:sz w:val="24"/>
                <w:lang w:eastAsia="fr-FR"/>
              </w:rPr>
              <w:t>Article 364(1)</w:t>
            </w:r>
            <w:r w:rsidR="00B83DDE">
              <w:rPr>
                <w:rFonts w:ascii="Times New Roman" w:hAnsi="Times New Roman"/>
                <w:sz w:val="24"/>
                <w:lang w:eastAsia="fr-FR"/>
              </w:rPr>
              <w:t>, p</w:t>
            </w:r>
            <w:r w:rsidR="00070113" w:rsidRPr="002A677E">
              <w:rPr>
                <w:rFonts w:ascii="Times New Roman" w:hAnsi="Times New Roman"/>
                <w:sz w:val="24"/>
                <w:lang w:eastAsia="fr-FR"/>
              </w:rPr>
              <w:t xml:space="preserve">oint (a)(ii) </w:t>
            </w:r>
            <w:r w:rsidR="000B0B09" w:rsidRPr="002A677E">
              <w:rPr>
                <w:rFonts w:ascii="Times New Roman" w:hAnsi="Times New Roman"/>
                <w:sz w:val="24"/>
                <w:lang w:eastAsia="fr-FR"/>
              </w:rPr>
              <w:t xml:space="preserve">and </w:t>
            </w:r>
            <w:r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Previous day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Article 364(1)</w:t>
            </w:r>
            <w:r w:rsidR="00B83DDE">
              <w:rPr>
                <w:rFonts w:ascii="Times New Roman" w:hAnsi="Times New Roman"/>
                <w:sz w:val="24"/>
                <w:lang w:eastAsia="fr-FR"/>
              </w:rPr>
              <w:t>, p</w:t>
            </w:r>
            <w:r w:rsidRPr="002A677E">
              <w:rPr>
                <w:rFonts w:ascii="Times New Roman" w:hAnsi="Times New Roman"/>
                <w:sz w:val="24"/>
                <w:lang w:eastAsia="fr-FR"/>
              </w:rPr>
              <w:t xml:space="preserve">oint (a)(i) </w:t>
            </w:r>
            <w:r w:rsidR="000B0B09" w:rsidRPr="002A677E">
              <w:rPr>
                <w:rFonts w:ascii="Times New Roman" w:hAnsi="Times New Roman"/>
                <w:sz w:val="24"/>
                <w:lang w:eastAsia="fr-FR"/>
              </w:rPr>
              <w:t xml:space="preserve">and </w:t>
            </w:r>
            <w:r w:rsidR="00705025"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050-</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sidRPr="002A677E">
              <w:rPr>
                <w:rFonts w:ascii="Times New Roman" w:hAnsi="Times New Roman"/>
                <w:sz w:val="24"/>
                <w:lang w:eastAsia="fr-FR"/>
              </w:rPr>
              <w:t xml:space="preserve">Stressed VaR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(ms) x Average of previous 60 working days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2A677E">
              <w:rPr>
                <w:rFonts w:ascii="Times New Roman" w:hAnsi="Times New Roman"/>
                <w:sz w:val="24"/>
              </w:rPr>
              <w:t>Article 364(1)</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and </w:t>
            </w:r>
            <w:r w:rsidR="00705025" w:rsidRPr="002A677E">
              <w:rPr>
                <w:rFonts w:ascii="Times New Roman" w:hAnsi="Times New Roman"/>
                <w:sz w:val="24"/>
              </w:rPr>
              <w:t xml:space="preserve">Article </w:t>
            </w:r>
            <w:r w:rsidRPr="002A677E">
              <w:rPr>
                <w:rFonts w:ascii="Times New Roman" w:hAnsi="Times New Roman"/>
                <w:sz w:val="24"/>
              </w:rPr>
              <w:t xml:space="preserve">365(1) </w:t>
            </w:r>
            <w:r w:rsidR="006E347B" w:rsidRPr="001235ED">
              <w:rPr>
                <w:rFonts w:ascii="Times New Roman" w:hAnsi="Times New Roman"/>
                <w:sz w:val="24"/>
                <w:lang w:val="en-US"/>
              </w:rPr>
              <w:t>of Regulation (EU) No 575/2013</w:t>
            </w:r>
            <w:r w:rsidRPr="002A677E">
              <w:rPr>
                <w:rStyle w:val="InstructionsTabelleberschrift"/>
                <w:rFonts w:ascii="Times New Roman" w:hAnsi="Times New Roman"/>
                <w:bCs w:val="0"/>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1235ED">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Latest available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364(1)</w:t>
            </w:r>
            <w:r w:rsidR="00B83DDE">
              <w:rPr>
                <w:rFonts w:ascii="Times New Roman" w:hAnsi="Times New Roman"/>
                <w:sz w:val="24"/>
              </w:rPr>
              <w:t>, p</w:t>
            </w:r>
            <w:r w:rsidRPr="002A677E">
              <w:rPr>
                <w:rFonts w:ascii="Times New Roman" w:hAnsi="Times New Roman"/>
                <w:sz w:val="24"/>
              </w:rPr>
              <w:t>oint (b)(i)</w:t>
            </w:r>
            <w:r w:rsidR="00705025" w:rsidRPr="002A677E">
              <w:rPr>
                <w:rFonts w:ascii="Times New Roman" w:hAnsi="Times New Roman"/>
                <w:sz w:val="24"/>
              </w:rPr>
              <w:t xml:space="preserve">and Article 365(1)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INCREMENTAL DEFAULT AND MIGRATION RISK CAPITAL CHARGE</w:t>
            </w:r>
          </w:p>
          <w:p w14:paraId="1E7EA146" w14:textId="62573725" w:rsidR="000B0B09" w:rsidRPr="002A677E" w:rsidRDefault="0016282F" w:rsidP="001B17E6">
            <w:pPr>
              <w:rPr>
                <w:rFonts w:ascii="Times New Roman" w:hAnsi="Times New Roman"/>
                <w:b/>
                <w:bCs/>
                <w:sz w:val="24"/>
                <w:u w:val="single"/>
                <w:lang w:eastAsia="nl-BE"/>
              </w:rPr>
            </w:pPr>
            <w:r w:rsidRPr="002A677E">
              <w:rPr>
                <w:rFonts w:ascii="Times New Roman" w:hAnsi="Times New Roman"/>
                <w:sz w:val="24"/>
                <w:lang w:eastAsia="fr-FR"/>
              </w:rPr>
              <w:t>Incremental default and migration risk capital charge</w:t>
            </w:r>
            <w:r w:rsidR="000B0B09" w:rsidRPr="002A677E">
              <w:rPr>
                <w:rFonts w:ascii="Times New Roman" w:hAnsi="Times New Roman"/>
                <w:sz w:val="24"/>
                <w:lang w:eastAsia="fr-FR"/>
              </w:rPr>
              <w:t xml:space="preserve"> means the maximum potential loss that would result from a price change linked to default and migration risks calculated </w:t>
            </w:r>
            <w:r w:rsidRPr="002A677E">
              <w:rPr>
                <w:rFonts w:ascii="Times New Roman" w:hAnsi="Times New Roman"/>
                <w:sz w:val="24"/>
                <w:lang w:eastAsia="fr-FR"/>
              </w:rPr>
              <w:t>in accordance with</w:t>
            </w:r>
            <w:r w:rsidR="00402284">
              <w:rPr>
                <w:rFonts w:ascii="Times New Roman" w:hAnsi="Times New Roman"/>
                <w:sz w:val="24"/>
                <w:lang w:eastAsia="fr-FR"/>
              </w:rPr>
              <w:t xml:space="preserve"> </w:t>
            </w:r>
            <w:r w:rsidR="000B0B09"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lang w:eastAsia="fr-FR"/>
              </w:rPr>
              <w:t xml:space="preserve">oint (b)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 xml:space="preserve">Part Three, Title IV, Chapter 5, Section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in </w:t>
            </w:r>
            <w:r w:rsidR="002300C6" w:rsidRPr="002A677E">
              <w:rPr>
                <w:rFonts w:ascii="Times New Roman" w:hAnsi="Times New Roman"/>
                <w:sz w:val="24"/>
              </w:rPr>
              <w:t xml:space="preserve">conjunction </w:t>
            </w:r>
            <w:r w:rsidRPr="002A677E">
              <w:rPr>
                <w:rFonts w:ascii="Times New Roman" w:hAnsi="Times New Roman"/>
                <w:sz w:val="24"/>
              </w:rPr>
              <w:t>with Part Three</w:t>
            </w:r>
            <w:r w:rsidR="001B17E6" w:rsidRPr="002A677E">
              <w:rPr>
                <w:rFonts w:ascii="Times New Roman" w:hAnsi="Times New Roman"/>
                <w:sz w:val="24"/>
              </w:rPr>
              <w:t>,</w:t>
            </w:r>
            <w:r w:rsidRPr="002A677E">
              <w:rPr>
                <w:rFonts w:ascii="Times New Roman" w:hAnsi="Times New Roman"/>
                <w:sz w:val="24"/>
              </w:rPr>
              <w:t xml:space="preserve"> </w:t>
            </w:r>
            <w:r w:rsidR="001B17E6" w:rsidRPr="002A677E">
              <w:rPr>
                <w:rFonts w:ascii="Times New Roman" w:hAnsi="Times New Roman"/>
                <w:sz w:val="24"/>
              </w:rPr>
              <w:t xml:space="preserve">Title IV, Chapter 5, Section 4 </w:t>
            </w:r>
            <w:r w:rsidR="006E347B" w:rsidRPr="001235ED">
              <w:rPr>
                <w:rFonts w:ascii="Times New Roman" w:hAnsi="Times New Roman"/>
                <w:sz w:val="24"/>
                <w:lang w:val="en-US"/>
              </w:rPr>
              <w:t>of Regulation (EU) No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Part Three, Title IV, Chapter 5, Section 4</w:t>
            </w:r>
            <w:r w:rsidR="00402284">
              <w:rPr>
                <w:rFonts w:ascii="Times New Roman" w:hAnsi="Times New Roman"/>
                <w:sz w:val="24"/>
              </w:rPr>
              <w:t xml:space="preserve"> </w:t>
            </w:r>
            <w:r w:rsidR="006E347B" w:rsidRPr="001235ED">
              <w:rPr>
                <w:rFonts w:ascii="Times New Roman" w:hAnsi="Times New Roman"/>
                <w:sz w:val="24"/>
                <w:lang w:val="en-US"/>
              </w:rPr>
              <w:t>of Regulation (EU) No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PRICE RISKS CAPITAL CHARGE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FLOOR</w:t>
            </w:r>
          </w:p>
          <w:p w14:paraId="08424932" w14:textId="6F00A60B" w:rsidR="000B0B09" w:rsidRPr="002A677E" w:rsidRDefault="000B0B09" w:rsidP="000B0B09">
            <w:pPr>
              <w:rPr>
                <w:rFonts w:ascii="Times New Roman" w:hAnsi="Times New Roman"/>
                <w:sz w:val="24"/>
              </w:rPr>
            </w:pPr>
            <w:r w:rsidRPr="002A677E">
              <w:rPr>
                <w:rFonts w:ascii="Times New Roman" w:hAnsi="Times New Roman"/>
                <w:sz w:val="24"/>
              </w:rPr>
              <w:t>Article 364(3)</w:t>
            </w:r>
            <w:r w:rsidR="00B83DDE">
              <w:rPr>
                <w:rFonts w:ascii="Times New Roman" w:hAnsi="Times New Roman"/>
                <w:sz w:val="24"/>
              </w:rPr>
              <w:t>, p</w:t>
            </w:r>
            <w:r w:rsidR="00587E96" w:rsidRPr="002A677E">
              <w:rPr>
                <w:rFonts w:ascii="Times New Roman" w:hAnsi="Times New Roman"/>
                <w:sz w:val="24"/>
              </w:rPr>
              <w:t>oint (c)</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rPr>
              <w:t>8</w:t>
            </w:r>
            <w:r w:rsidR="00B856D5">
              <w:rPr>
                <w:rFonts w:ascii="Times New Roman" w:hAnsi="Times New Roman"/>
                <w:sz w:val="24"/>
              </w:rPr>
              <w:t xml:space="preserve"> </w:t>
            </w:r>
            <w:r w:rsidRPr="002A677E">
              <w:rPr>
                <w:rFonts w:ascii="Times New Roman" w:hAnsi="Times New Roman"/>
                <w:sz w:val="24"/>
              </w:rPr>
              <w:t xml:space="preserve">% of the capital charge that would be calculated in accordance with Article 338(1) </w:t>
            </w:r>
            <w:r w:rsidR="006E347B" w:rsidRPr="001235ED">
              <w:rPr>
                <w:rFonts w:ascii="Times New Roman" w:hAnsi="Times New Roman"/>
                <w:sz w:val="24"/>
                <w:lang w:val="en-US"/>
              </w:rPr>
              <w:t>of Regulation (EU) No 575/2013</w:t>
            </w:r>
            <w:r w:rsidRPr="002A677E">
              <w:rPr>
                <w:rFonts w:ascii="Times New Roman" w:hAnsi="Times New Roman"/>
                <w:sz w:val="24"/>
              </w:rPr>
              <w:t xml:space="preserve"> for all positions in the ‘all price risks’ capital charge.</w:t>
            </w:r>
            <w:r w:rsidRPr="002A677E">
              <w:rPr>
                <w:rFonts w:ascii="Times New Roman" w:hAnsi="Times New Roman"/>
                <w:b/>
                <w:bCs/>
                <w:sz w:val="24"/>
                <w:u w:val="single"/>
                <w:lang w:eastAsia="nl-B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 AND LAST MEASURE</w:t>
            </w:r>
          </w:p>
          <w:p w14:paraId="244F0E2D" w14:textId="75367C4C" w:rsidR="000B0B09" w:rsidRPr="002A677E" w:rsidRDefault="00587E96" w:rsidP="0016282F">
            <w:pPr>
              <w:autoSpaceDE w:val="0"/>
              <w:autoSpaceDN w:val="0"/>
              <w:adjustRightInd w:val="0"/>
              <w:spacing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006E347B" w:rsidRPr="002A677E">
              <w:rPr>
                <w:rFonts w:ascii="Times New Roman" w:hAnsi="Times New Roman"/>
                <w:sz w:val="24"/>
              </w:rPr>
              <w:t>oint (a</w:t>
            </w:r>
            <w:r w:rsidRPr="002A677E">
              <w:rPr>
                <w:rFonts w:ascii="Times New Roman" w:hAnsi="Times New Roman"/>
                <w:sz w:val="24"/>
              </w:rPr>
              <w:t>)</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122FC14" w14:textId="52CC637D" w:rsidR="000B0B09" w:rsidRPr="002A677E" w:rsidRDefault="00BE0363" w:rsidP="0016282F">
            <w:pPr>
              <w:autoSpaceDE w:val="0"/>
              <w:autoSpaceDN w:val="0"/>
              <w:adjustRightInd w:val="0"/>
              <w:rPr>
                <w:rFonts w:ascii="Times New Roman" w:hAnsi="Times New Roman"/>
                <w:b/>
                <w:bCs/>
                <w:sz w:val="24"/>
                <w:u w:val="single"/>
                <w:lang w:eastAsia="nl-BE"/>
              </w:rPr>
            </w:pPr>
            <w:r w:rsidRPr="002A677E">
              <w:rPr>
                <w:rFonts w:ascii="Times New Roman" w:hAnsi="Times New Roman"/>
                <w:bCs/>
                <w:sz w:val="24"/>
                <w:lang w:eastAsia="nl-BE"/>
              </w:rPr>
              <w:t>Own funds requirements a</w:t>
            </w:r>
            <w:r w:rsidR="005C14B0" w:rsidRPr="002A677E">
              <w:rPr>
                <w:rFonts w:ascii="Times New Roman" w:hAnsi="Times New Roman"/>
                <w:bCs/>
                <w:sz w:val="24"/>
                <w:lang w:eastAsia="nl-BE"/>
              </w:rPr>
              <w:t xml:space="preserve">s </w:t>
            </w:r>
            <w:r w:rsidR="005C14B0" w:rsidRPr="002A677E">
              <w:rPr>
                <w:rFonts w:ascii="Times New Roman" w:hAnsi="Times New Roman"/>
                <w:sz w:val="24"/>
                <w:lang w:eastAsia="fr-FR"/>
              </w:rPr>
              <w:t>r</w:t>
            </w:r>
            <w:r w:rsidR="000B0B09" w:rsidRPr="002A677E">
              <w:rPr>
                <w:rFonts w:ascii="Times New Roman" w:hAnsi="Times New Roman"/>
                <w:sz w:val="24"/>
                <w:lang w:eastAsia="fr-FR"/>
              </w:rPr>
              <w:t xml:space="preserve">eferred to in Article 364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of all risk factors</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taking into account correlation effects, </w:t>
            </w:r>
            <w:r w:rsidR="0016282F" w:rsidRPr="002A677E">
              <w:rPr>
                <w:rFonts w:ascii="Times New Roman" w:hAnsi="Times New Roman"/>
                <w:sz w:val="24"/>
                <w:lang w:eastAsia="fr-FR"/>
              </w:rPr>
              <w:t>where</w:t>
            </w:r>
            <w:r w:rsidR="000B0B09" w:rsidRPr="002A677E">
              <w:rPr>
                <w:rFonts w:ascii="Times New Roman" w:hAnsi="Times New Roman"/>
                <w:sz w:val="24"/>
                <w:lang w:eastAsia="fr-FR"/>
              </w:rPr>
              <w:t xml:space="preserve"> applicable</w:t>
            </w:r>
            <w:r w:rsidR="00B83DDE">
              <w:rPr>
                <w:rFonts w:ascii="Times New Roman" w:hAnsi="Times New Roman"/>
                <w:sz w:val="24"/>
                <w:lang w:eastAsia="fr-FR"/>
              </w:rPr>
              <w:t>, p</w:t>
            </w:r>
            <w:r w:rsidR="000B0B09" w:rsidRPr="002A677E">
              <w:rPr>
                <w:rFonts w:ascii="Times New Roman" w:hAnsi="Times New Roman"/>
                <w:sz w:val="24"/>
                <w:lang w:eastAsia="fr-FR"/>
              </w:rPr>
              <w:t>lus incremental default and migration risk and all price of risks for CTP</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but excluding the Securitization capital charges for Securitization and nth-to-default credit derivative according</w:t>
            </w:r>
            <w:r w:rsidR="0016282F" w:rsidRPr="002A677E">
              <w:rPr>
                <w:rFonts w:ascii="Times New Roman" w:hAnsi="Times New Roman"/>
                <w:sz w:val="24"/>
                <w:lang w:eastAsia="fr-FR"/>
              </w:rPr>
              <w:t xml:space="preserve"> to</w:t>
            </w:r>
            <w:r w:rsidR="000B0B09" w:rsidRPr="002A677E">
              <w:rPr>
                <w:rFonts w:ascii="Times New Roman" w:hAnsi="Times New Roman"/>
                <w:sz w:val="24"/>
                <w:lang w:eastAsia="fr-FR"/>
              </w:rPr>
              <w:t xml:space="preserve"> Article 364(2)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621D4A9F" w:rsidR="00BE0363"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92(</w:t>
            </w:r>
            <w:r w:rsidR="00C27B03">
              <w:rPr>
                <w:rFonts w:ascii="Times New Roman" w:hAnsi="Times New Roman"/>
                <w:sz w:val="24"/>
                <w:lang w:eastAsia="de-DE"/>
              </w:rPr>
              <w:t>7</w:t>
            </w:r>
            <w:r w:rsidRPr="002A677E">
              <w:rPr>
                <w:rFonts w:ascii="Times New Roman" w:hAnsi="Times New Roman"/>
                <w:sz w:val="24"/>
                <w:lang w:eastAsia="de-DE"/>
              </w:rPr>
              <w:t>)</w:t>
            </w:r>
            <w:r w:rsidR="00B83DDE">
              <w:rPr>
                <w:rFonts w:ascii="Times New Roman" w:hAnsi="Times New Roman"/>
                <w:sz w:val="24"/>
                <w:lang w:eastAsia="de-DE"/>
              </w:rPr>
              <w:t>, p</w:t>
            </w:r>
            <w:r w:rsidR="00587E96" w:rsidRPr="002A677E">
              <w:rPr>
                <w:rFonts w:ascii="Times New Roman" w:hAnsi="Times New Roman"/>
                <w:sz w:val="24"/>
              </w:rPr>
              <w:t>oint (b)</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D933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787733" w:rsidRPr="002A677E">
              <w:rPr>
                <w:rFonts w:ascii="Times New Roman" w:hAnsi="Times New Roman"/>
                <w:sz w:val="24"/>
                <w:lang w:eastAsia="de-DE"/>
              </w:rPr>
              <w:t>.</w:t>
            </w:r>
            <w:r w:rsidRPr="002A677E">
              <w:rPr>
                <w:rFonts w:ascii="Times New Roman" w:hAnsi="Times New Roman"/>
                <w:sz w:val="24"/>
                <w:lang w:eastAsia="de-DE"/>
              </w:rPr>
              <w:t>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lang w:eastAsia="fr-FR"/>
              </w:rPr>
            </w:pPr>
            <w:r w:rsidRPr="002A677E">
              <w:rPr>
                <w:rFonts w:ascii="Times New Roman" w:hAnsi="Times New Roman"/>
                <w:b/>
                <w:bCs/>
                <w:sz w:val="24"/>
                <w:u w:val="single"/>
                <w:lang w:eastAsia="fr-FR"/>
              </w:rPr>
              <w:t>Number of overshootings (during previous 250 working days)</w:t>
            </w:r>
          </w:p>
          <w:p w14:paraId="28B225BB" w14:textId="3D65F9F7" w:rsidR="00A92CFF"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Referred to in Article 366 </w:t>
            </w:r>
            <w:r w:rsidR="006E347B" w:rsidRPr="001235ED">
              <w:rPr>
                <w:rFonts w:ascii="Times New Roman" w:hAnsi="Times New Roman"/>
                <w:sz w:val="24"/>
                <w:lang w:val="en-US"/>
              </w:rPr>
              <w:t>of Regulation (EU) No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fr-FR"/>
              </w:rPr>
              <w:t>The number of overshootings based on which the addend is determined shall be reported.</w:t>
            </w:r>
            <w:r w:rsidR="00011AFA" w:rsidRPr="002A677E">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1235ED">
              <w:rPr>
                <w:rFonts w:ascii="Times New Roman" w:hAnsi="Times New Roman"/>
                <w:sz w:val="24"/>
                <w:lang w:val="en-US"/>
              </w:rPr>
              <w:t>of Regulation (EU) No 575/2013</w:t>
            </w:r>
            <w:r w:rsidR="00011AFA" w:rsidRPr="002A677E">
              <w:rPr>
                <w:rFonts w:ascii="Times New Roman" w:hAnsi="Times New Roman"/>
                <w:sz w:val="24"/>
                <w:lang w:eastAsia="fr-FR"/>
              </w:rPr>
              <w:t>, the number of overshootings reported in this column shall be net of those excluded overshootings.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150-</w:t>
            </w:r>
            <w:r w:rsidRPr="002A677E">
              <w:rPr>
                <w:rFonts w:ascii="Times New Roman" w:hAnsi="Times New Roman"/>
                <w:sz w:val="24"/>
                <w:lang w:eastAsia="nl-BE"/>
              </w:rPr>
              <w:t>0</w:t>
            </w:r>
            <w:r w:rsidR="000B0B09" w:rsidRPr="002A677E">
              <w:rPr>
                <w:rFonts w:ascii="Times New Roman" w:hAnsi="Times New Roman"/>
                <w:sz w:val="24"/>
                <w:lang w:eastAsia="nl-BE"/>
              </w:rPr>
              <w:t>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VaR Multiplication Factor (mc) and SVaR Multiplication Factor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sidRPr="002A677E">
              <w:rPr>
                <w:rFonts w:ascii="Times New Roman" w:hAnsi="Times New Roman"/>
                <w:sz w:val="24"/>
              </w:rPr>
              <w:t xml:space="preserve">As referred to in Article 366 </w:t>
            </w:r>
            <w:r w:rsidR="006E347B" w:rsidRPr="001235ED">
              <w:rPr>
                <w:rFonts w:ascii="Times New Roman" w:hAnsi="Times New Roman"/>
                <w:sz w:val="24"/>
                <w:lang w:val="en-US"/>
              </w:rPr>
              <w:t>of Regulation (EU) No 575/2013</w:t>
            </w:r>
          </w:p>
          <w:p w14:paraId="288D1C77" w14:textId="1A1A8D50" w:rsidR="00011AFA" w:rsidRPr="002A677E" w:rsidRDefault="00011AFA">
            <w:pPr>
              <w:autoSpaceDE w:val="0"/>
              <w:autoSpaceDN w:val="0"/>
              <w:adjustRightInd w:val="0"/>
              <w:spacing w:before="0" w:after="0"/>
              <w:rPr>
                <w:rStyle w:val="InstructionsTabelleberschrift"/>
              </w:rPr>
            </w:pPr>
            <w:r w:rsidRPr="001235ED">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170-</w:t>
            </w:r>
            <w:r w:rsidRPr="002A677E">
              <w:rPr>
                <w:rFonts w:ascii="Times New Roman" w:hAnsi="Times New Roman"/>
                <w:sz w:val="24"/>
                <w:lang w:eastAsia="nl-BE"/>
              </w:rPr>
              <w:t>0</w:t>
            </w:r>
            <w:r w:rsidR="000B0B09" w:rsidRPr="002A677E">
              <w:rPr>
                <w:rFonts w:ascii="Times New Roman" w:hAnsi="Times New Roman"/>
                <w:sz w:val="24"/>
                <w:lang w:eastAsia="nl-BE"/>
              </w:rPr>
              <w:t>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ASSUMED CHARGE FOR CTP FLOOR - WEIGHTED NET LONG/ SHORT POSITIONS AFTER CAP</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sidRPr="001235ED">
              <w:rPr>
                <w:rFonts w:ascii="Times New Roman" w:hAnsi="Times New Roman"/>
                <w:sz w:val="24"/>
                <w:lang w:eastAsia="fr-FR"/>
              </w:rPr>
              <w:t xml:space="preserve">The amount reported and serving as the basis to calculate the floor capital charge for all price risks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w:t>
            </w:r>
            <w:r w:rsidR="00705025" w:rsidRPr="002A677E">
              <w:rPr>
                <w:rFonts w:ascii="Times New Roman" w:hAnsi="Times New Roman"/>
                <w:bCs/>
                <w:sz w:val="24"/>
                <w:lang w:eastAsia="nl-BE"/>
              </w:rPr>
              <w:t>Article 364(3)</w:t>
            </w:r>
            <w:r w:rsidR="00B83DDE">
              <w:rPr>
                <w:rFonts w:ascii="Times New Roman" w:hAnsi="Times New Roman"/>
                <w:bCs/>
                <w:sz w:val="24"/>
                <w:lang w:eastAsia="nl-BE"/>
              </w:rPr>
              <w:t>, p</w:t>
            </w:r>
            <w:r w:rsidR="00587E96" w:rsidRPr="002A677E">
              <w:rPr>
                <w:rFonts w:ascii="Times New Roman" w:hAnsi="Times New Roman"/>
                <w:bCs/>
                <w:sz w:val="24"/>
                <w:lang w:eastAsia="nl-BE"/>
              </w:rPr>
              <w:t>oint (c)</w:t>
            </w:r>
            <w:r w:rsidR="00BE1277">
              <w:rPr>
                <w:rFonts w:ascii="Times New Roman" w:hAnsi="Times New Roman"/>
                <w:bCs/>
                <w:sz w:val="24"/>
                <w:lang w:eastAsia="nl-BE"/>
              </w:rPr>
              <w:t>,</w:t>
            </w:r>
            <w:r w:rsidR="00587E96" w:rsidRPr="002A677E">
              <w:rPr>
                <w:rFonts w:ascii="Times New Roman" w:hAnsi="Times New Roman"/>
                <w:bCs/>
                <w:sz w:val="24"/>
                <w:lang w:eastAsia="nl-BE"/>
              </w:rPr>
              <w:t xml:space="preserve"> </w:t>
            </w:r>
            <w:r w:rsidR="006E347B" w:rsidRPr="001235ED">
              <w:rPr>
                <w:rFonts w:ascii="Times New Roman" w:hAnsi="Times New Roman"/>
                <w:sz w:val="24"/>
                <w:lang w:val="en-US"/>
              </w:rPr>
              <w:t>of Regulation (EU) No 575/2013</w:t>
            </w:r>
            <w:r w:rsidR="0016282F" w:rsidRPr="002A677E">
              <w:rPr>
                <w:rFonts w:ascii="Times New Roman" w:hAnsi="Times New Roman"/>
                <w:bCs/>
                <w:sz w:val="24"/>
                <w:lang w:eastAsia="nl-BE"/>
              </w:rPr>
              <w:t>,</w:t>
            </w:r>
            <w:r w:rsidR="005C14B0" w:rsidRPr="002A677E">
              <w:rPr>
                <w:rFonts w:ascii="Times New Roman" w:hAnsi="Times New Roman"/>
                <w:bCs/>
                <w:sz w:val="24"/>
                <w:lang w:eastAsia="nl-BE"/>
              </w:rPr>
              <w:t xml:space="preserve"> </w:t>
            </w:r>
            <w:r w:rsidRPr="002A677E">
              <w:rPr>
                <w:rFonts w:ascii="Times New Roman" w:hAnsi="Times New Roman"/>
                <w:sz w:val="24"/>
                <w:lang w:eastAsia="fr-FR"/>
              </w:rPr>
              <w:t>tak</w:t>
            </w:r>
            <w:r w:rsidR="005C14B0" w:rsidRPr="002A677E">
              <w:rPr>
                <w:rFonts w:ascii="Times New Roman" w:hAnsi="Times New Roman"/>
                <w:sz w:val="24"/>
                <w:lang w:eastAsia="fr-FR"/>
              </w:rPr>
              <w:t>ing</w:t>
            </w:r>
            <w:r w:rsidRPr="002A677E">
              <w:rPr>
                <w:rFonts w:ascii="Times New Roman" w:hAnsi="Times New Roman"/>
                <w:sz w:val="24"/>
                <w:lang w:eastAsia="fr-FR"/>
              </w:rPr>
              <w:t xml:space="preserve"> into account the discretion of Article 335 </w:t>
            </w:r>
            <w:r w:rsidR="00F75233" w:rsidRPr="001235ED">
              <w:rPr>
                <w:rFonts w:ascii="Times New Roman" w:hAnsi="Times New Roman"/>
                <w:sz w:val="24"/>
                <w:lang w:val="en-US"/>
              </w:rPr>
              <w:t>of that Regulation</w:t>
            </w:r>
            <w:r w:rsidR="00F75233" w:rsidRPr="002A677E" w:rsidDel="006E347B">
              <w:rPr>
                <w:rFonts w:ascii="Times New Roman" w:hAnsi="Times New Roman"/>
                <w:sz w:val="24"/>
                <w:lang w:eastAsia="fr-FR"/>
              </w:rPr>
              <w:t xml:space="preserve"> </w:t>
            </w:r>
            <w:r w:rsidRPr="002A677E">
              <w:rPr>
                <w:rFonts w:ascii="Times New Roman" w:hAnsi="Times New Roman"/>
                <w:sz w:val="24"/>
                <w:lang w:eastAsia="fr-FR"/>
              </w:rPr>
              <w:t xml:space="preserve">which </w:t>
            </w:r>
            <w:r w:rsidR="005C14B0" w:rsidRPr="002A677E">
              <w:rPr>
                <w:rFonts w:ascii="Times New Roman" w:hAnsi="Times New Roman"/>
                <w:sz w:val="24"/>
                <w:lang w:eastAsia="fr-FR"/>
              </w:rPr>
              <w:t xml:space="preserve">stipulates </w:t>
            </w:r>
            <w:r w:rsidRPr="002A677E">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E9314A"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Corresponds to the part of position, foreign exchange and commodities risk referred to in Article 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risk factors specified in Article 367(2)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p w14:paraId="6F18E4FF" w14:textId="77777777" w:rsidR="005C14B0" w:rsidRPr="002A677E" w:rsidRDefault="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Concerning the columns </w:t>
            </w:r>
            <w:r w:rsidR="00787733" w:rsidRPr="002A677E">
              <w:rPr>
                <w:rFonts w:ascii="Times New Roman" w:hAnsi="Times New Roman"/>
                <w:sz w:val="24"/>
                <w:lang w:eastAsia="fr-FR"/>
              </w:rPr>
              <w:t>0</w:t>
            </w:r>
            <w:r w:rsidRPr="002A677E">
              <w:rPr>
                <w:rFonts w:ascii="Times New Roman" w:hAnsi="Times New Roman"/>
                <w:sz w:val="24"/>
                <w:lang w:eastAsia="fr-FR"/>
              </w:rPr>
              <w:t xml:space="preserve">030 to </w:t>
            </w:r>
            <w:r w:rsidR="00787733" w:rsidRPr="002A677E">
              <w:rPr>
                <w:rFonts w:ascii="Times New Roman" w:hAnsi="Times New Roman"/>
                <w:sz w:val="24"/>
                <w:lang w:eastAsia="fr-FR"/>
              </w:rPr>
              <w:t>0</w:t>
            </w:r>
            <w:r w:rsidRPr="002A677E">
              <w:rPr>
                <w:rFonts w:ascii="Times New Roman" w:hAnsi="Times New Roman"/>
                <w:sz w:val="24"/>
                <w:lang w:eastAsia="fr-FR"/>
              </w:rPr>
              <w:t>060 (VAR and Stress-VAR)</w:t>
            </w:r>
            <w:r w:rsidR="0016282F" w:rsidRPr="002A677E">
              <w:rPr>
                <w:rFonts w:ascii="Times New Roman" w:hAnsi="Times New Roman"/>
                <w:sz w:val="24"/>
                <w:lang w:eastAsia="fr-FR"/>
              </w:rPr>
              <w:t>,</w:t>
            </w:r>
            <w:r w:rsidRPr="002A677E">
              <w:rPr>
                <w:rFonts w:ascii="Times New Roman" w:hAnsi="Times New Roman"/>
                <w:sz w:val="24"/>
                <w:lang w:eastAsia="fr-FR"/>
              </w:rPr>
              <w:t xml:space="preserve"> the figures in the total row </w:t>
            </w:r>
            <w:r w:rsidR="0016282F" w:rsidRPr="002A677E">
              <w:rPr>
                <w:rFonts w:ascii="Times New Roman" w:hAnsi="Times New Roman"/>
                <w:sz w:val="24"/>
                <w:lang w:eastAsia="fr-FR"/>
              </w:rPr>
              <w:t>are</w:t>
            </w:r>
            <w:r w:rsidRPr="002A677E">
              <w:rPr>
                <w:rFonts w:ascii="Times New Roman" w:hAnsi="Times New Roman"/>
                <w:sz w:val="24"/>
                <w:lang w:eastAsia="fr-FR"/>
              </w:rPr>
              <w:t xml:space="preserve"> not equal to the decomposition of the figures for the V</w:t>
            </w:r>
            <w:r w:rsidR="00BE0363" w:rsidRPr="002A677E">
              <w:rPr>
                <w:rFonts w:ascii="Times New Roman" w:hAnsi="Times New Roman"/>
                <w:sz w:val="24"/>
                <w:lang w:eastAsia="fr-FR"/>
              </w:rPr>
              <w:t>a</w:t>
            </w:r>
            <w:r w:rsidRPr="002A677E">
              <w:rPr>
                <w:rFonts w:ascii="Times New Roman" w:hAnsi="Times New Roman"/>
                <w:sz w:val="24"/>
                <w:lang w:eastAsia="fr-FR"/>
              </w:rPr>
              <w:t>R/Stress-V</w:t>
            </w:r>
            <w:r w:rsidR="00BE0363" w:rsidRPr="002A677E">
              <w:rPr>
                <w:rFonts w:ascii="Times New Roman" w:hAnsi="Times New Roman"/>
                <w:sz w:val="24"/>
                <w:lang w:eastAsia="fr-FR"/>
              </w:rPr>
              <w:t>a</w:t>
            </w:r>
            <w:r w:rsidRPr="002A677E">
              <w:rPr>
                <w:rFonts w:ascii="Times New Roman" w:hAnsi="Times New Roman"/>
                <w:sz w:val="24"/>
                <w:lang w:eastAsia="fr-FR"/>
              </w:rPr>
              <w:t>R of the relevant risk components</w:t>
            </w:r>
            <w:r w:rsidR="002300C6" w:rsidRPr="002A677E">
              <w:rPr>
                <w:rFonts w:ascii="Times New Roman" w:hAnsi="Times New Roman"/>
                <w:sz w:val="24"/>
                <w:lang w:eastAsia="fr-FR"/>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E9314A"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w:t>
            </w:r>
          </w:p>
          <w:p w14:paraId="7EB08097" w14:textId="464B7176" w:rsidR="000B0B09" w:rsidRPr="002A677E" w:rsidRDefault="000B0B09" w:rsidP="00587E96">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0016282F" w:rsidRPr="002A677E">
              <w:rPr>
                <w:rFonts w:ascii="Times New Roman" w:hAnsi="Times New Roman"/>
                <w:sz w:val="24"/>
                <w:lang w:eastAsia="fr-FR"/>
              </w:rPr>
              <w:t>,</w:t>
            </w:r>
            <w:r w:rsidRPr="002A677E">
              <w:rPr>
                <w:rFonts w:ascii="Times New Roman" w:hAnsi="Times New Roman"/>
                <w:sz w:val="24"/>
                <w:lang w:eastAsia="fr-FR"/>
              </w:rPr>
              <w:t xml:space="preserve"> linked to the interest rates risk factors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(a)</w:t>
            </w:r>
            <w:r w:rsidR="00CF595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tc>
      </w:tr>
      <w:tr w:rsidR="00E9314A"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TDI – GENERAL RISK</w:t>
            </w:r>
          </w:p>
          <w:p w14:paraId="326F4D54" w14:textId="3D6EBE1B" w:rsidR="000B0B09" w:rsidRPr="002A677E" w:rsidRDefault="000B0B09" w:rsidP="0016282F">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 xml:space="preserve">component as referred to in </w:t>
            </w:r>
            <w:r w:rsidRPr="002A677E">
              <w:rPr>
                <w:rFonts w:ascii="Times New Roman" w:hAnsi="Times New Roman"/>
                <w:sz w:val="24"/>
                <w:lang w:eastAsia="fr-FR"/>
              </w:rPr>
              <w:t xml:space="preserve">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TDI – SPECIFIC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EQUITIES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equity risk factors as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(c)</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 xml:space="preserv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GENERAL RISK</w:t>
            </w:r>
          </w:p>
          <w:p w14:paraId="528E3DA1" w14:textId="2D4BA326"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component as referred to</w:t>
            </w:r>
            <w:r w:rsidRPr="002A677E">
              <w:rPr>
                <w:rFonts w:ascii="Times New Roman" w:hAnsi="Times New Roman"/>
                <w:sz w:val="24"/>
                <w:lang w:eastAsia="fr-FR"/>
              </w:rPr>
              <w:t xml:space="preserve"> in Article 362 </w:t>
            </w:r>
            <w:r w:rsidR="006E347B" w:rsidRPr="001235ED">
              <w:rPr>
                <w:rFonts w:ascii="Times New Roman" w:hAnsi="Times New Roman"/>
                <w:sz w:val="24"/>
                <w:lang w:val="en-US"/>
              </w:rPr>
              <w:t>of Regulation (EU) No 575/2013</w:t>
            </w:r>
          </w:p>
        </w:tc>
      </w:tr>
      <w:tr w:rsidR="00E9314A"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SPECIFIC RISK</w:t>
            </w:r>
          </w:p>
          <w:p w14:paraId="53D03CDE" w14:textId="49BEAF03"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FOREIGN EXCHANGE RISK</w:t>
            </w:r>
          </w:p>
          <w:p w14:paraId="4A2A62FE" w14:textId="098C8392" w:rsidR="000B0B09" w:rsidRPr="002A677E" w:rsidRDefault="000B0B09" w:rsidP="00587E9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BE0363" w:rsidRPr="002A677E">
              <w:rPr>
                <w:rFonts w:ascii="Times New Roman" w:hAnsi="Times New Roman"/>
                <w:sz w:val="24"/>
                <w:lang w:eastAsia="fr-FR"/>
              </w:rPr>
              <w:t xml:space="preserve">Article </w:t>
            </w:r>
            <w:r w:rsidRPr="002A677E">
              <w:rPr>
                <w:rFonts w:ascii="Times New Roman" w:hAnsi="Times New Roman"/>
                <w:sz w:val="24"/>
                <w:lang w:eastAsia="fr-FR"/>
              </w:rPr>
              <w:t>367(2)</w:t>
            </w:r>
            <w:r w:rsidR="00B83DDE">
              <w:rPr>
                <w:rFonts w:ascii="Times New Roman" w:hAnsi="Times New Roman"/>
                <w:sz w:val="24"/>
                <w:lang w:eastAsia="fr-FR"/>
              </w:rPr>
              <w:t>, p</w:t>
            </w:r>
            <w:r w:rsidR="00587E96" w:rsidRPr="002A677E">
              <w:rPr>
                <w:rFonts w:ascii="Times New Roman" w:hAnsi="Times New Roman"/>
                <w:sz w:val="24"/>
                <w:lang w:eastAsia="fr-FR"/>
              </w:rPr>
              <w:t>oint (b)</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6E347B" w:rsidRPr="001235ED">
              <w:rPr>
                <w:rFonts w:ascii="Times New Roman" w:hAnsi="Times New Roman"/>
                <w:sz w:val="24"/>
                <w:lang w:val="en-US"/>
              </w:rPr>
              <w:t>of Regulation (EU) No 575/2013</w:t>
            </w:r>
          </w:p>
        </w:tc>
      </w:tr>
      <w:tr w:rsidR="00E9314A"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COMMODITY RISK</w:t>
            </w:r>
          </w:p>
          <w:p w14:paraId="341E16EA" w14:textId="56B929B0"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587E96" w:rsidRPr="002A677E">
              <w:rPr>
                <w:rFonts w:ascii="Times New Roman" w:hAnsi="Times New Roman"/>
                <w:sz w:val="24"/>
                <w:lang w:eastAsia="fr-FR"/>
              </w:rPr>
              <w:t>Article 367(2)</w:t>
            </w:r>
            <w:r w:rsidR="00B83DDE">
              <w:rPr>
                <w:rFonts w:ascii="Times New Roman" w:hAnsi="Times New Roman"/>
                <w:sz w:val="24"/>
                <w:lang w:eastAsia="fr-FR"/>
              </w:rPr>
              <w:t>, p</w:t>
            </w:r>
            <w:r w:rsidR="00587E96" w:rsidRPr="002A677E">
              <w:rPr>
                <w:rFonts w:ascii="Times New Roman" w:hAnsi="Times New Roman"/>
                <w:sz w:val="24"/>
                <w:lang w:eastAsia="fr-FR"/>
              </w:rPr>
              <w:t>oint (d)</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GENERAL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lang w:eastAsia="nl-BE"/>
              </w:rPr>
            </w:pPr>
            <w:r w:rsidRPr="002A677E">
              <w:rPr>
                <w:rStyle w:val="InstructionsTabelleText"/>
                <w:rFonts w:ascii="Times New Roman" w:hAnsi="Times New Roman"/>
                <w:sz w:val="24"/>
              </w:rPr>
              <w:t>Market risk caused by general market movements of traded debt instruments, equities, foreign exchange and commodities.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general risk of all risk factors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r w:rsidR="00402284">
              <w:rPr>
                <w:rStyle w:val="InstructionsTabelleText"/>
                <w:rFonts w:ascii="Times New Roman" w:hAnsi="Times New Roman"/>
                <w:sz w:val="24"/>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Style w:val="InstructionsTabelleText"/>
                <w:rFonts w:ascii="Times New Roman" w:hAnsi="Times New Roman"/>
                <w:sz w:val="24"/>
              </w:rPr>
              <w:t>Specific risk component of traded debt instruments and equities.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specific risk of equities and traded debt instruments of trading book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p>
        </w:tc>
      </w:tr>
    </w:tbl>
    <w:p w14:paraId="23397501" w14:textId="77777777" w:rsidR="00724589" w:rsidRPr="002A677E" w:rsidRDefault="00724589">
      <w:pPr>
        <w:spacing w:before="0" w:after="0"/>
        <w:jc w:val="left"/>
        <w:rPr>
          <w:rStyle w:val="InstructionsTabelleText"/>
          <w:rFonts w:ascii="Times New Roman" w:hAnsi="Times New Roman"/>
          <w:sz w:val="24"/>
        </w:rPr>
      </w:pPr>
    </w:p>
    <w:p w14:paraId="27698C04" w14:textId="7B55B558" w:rsidR="003A38FB" w:rsidRDefault="003A38FB" w:rsidP="00A67A08">
      <w:pPr>
        <w:pStyle w:val="Instructionsberschrift2"/>
        <w:numPr>
          <w:ilvl w:val="0"/>
          <w:numId w:val="0"/>
        </w:numPr>
        <w:ind w:left="357" w:hanging="357"/>
        <w:rPr>
          <w:rFonts w:ascii="Times New Roman" w:hAnsi="Times New Roman" w:cs="Times New Roman"/>
          <w:sz w:val="24"/>
          <w:u w:val="none"/>
          <w:lang w:val="en-GB"/>
        </w:rPr>
      </w:pPr>
      <w:bookmarkStart w:id="746" w:name="_Toc151714507"/>
      <w:r>
        <w:rPr>
          <w:rFonts w:ascii="Times New Roman" w:hAnsi="Times New Roman" w:cs="Times New Roman"/>
          <w:sz w:val="24"/>
          <w:u w:val="none"/>
          <w:lang w:val="en-GB"/>
        </w:rPr>
        <w:lastRenderedPageBreak/>
        <w:t xml:space="preserve">5.8. C 25.00 </w:t>
      </w:r>
      <w:r w:rsidR="006F1D27">
        <w:rPr>
          <w:rFonts w:ascii="Times New Roman" w:hAnsi="Times New Roman" w:cs="Times New Roman"/>
          <w:sz w:val="24"/>
          <w:u w:val="none"/>
          <w:lang w:val="en-GB"/>
        </w:rPr>
        <w:t>-</w:t>
      </w:r>
      <w:r>
        <w:rPr>
          <w:rFonts w:ascii="Times New Roman" w:hAnsi="Times New Roman" w:cs="Times New Roman"/>
          <w:sz w:val="24"/>
          <w:u w:val="none"/>
          <w:lang w:val="en-GB"/>
        </w:rPr>
        <w:t xml:space="preserve"> CREDIT VALUATION ADJUSTMENT RISK (CVA):</w:t>
      </w:r>
      <w:bookmarkEnd w:id="746"/>
    </w:p>
    <w:p w14:paraId="342BBC75" w14:textId="0BBCDFBD" w:rsidR="000B0B09"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747" w:name="_Toc360188414"/>
      <w:bookmarkStart w:id="748" w:name="_Toc473561054"/>
      <w:bookmarkStart w:id="749" w:name="_Toc151714508"/>
      <w:bookmarkStart w:id="750"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000B0B09" w:rsidRPr="000059B8">
        <w:rPr>
          <w:rFonts w:ascii="Times New Roman" w:hAnsi="Times New Roman" w:cs="Times New Roman"/>
          <w:sz w:val="24"/>
          <w:u w:val="none"/>
          <w:lang w:val="en-GB"/>
        </w:rPr>
        <w:t>Instructions concerning specific positions</w:t>
      </w:r>
      <w:bookmarkEnd w:id="747"/>
      <w:bookmarkEnd w:id="748"/>
      <w:bookmarkEnd w:id="749"/>
    </w:p>
    <w:tbl>
      <w:tblPr>
        <w:tblpPr w:leftFromText="181" w:rightFromText="181" w:vertAnchor="page"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365027" w:rsidRPr="002A677E" w14:paraId="32530BC4" w14:textId="77777777" w:rsidTr="00660F94">
        <w:trPr>
          <w:cantSplit/>
        </w:trPr>
        <w:tc>
          <w:tcPr>
            <w:tcW w:w="9016" w:type="dxa"/>
            <w:gridSpan w:val="2"/>
            <w:shd w:val="clear" w:color="auto" w:fill="CCCCCC"/>
          </w:tcPr>
          <w:p w14:paraId="653B6308" w14:textId="77777777" w:rsidR="00365027" w:rsidRPr="002A677E" w:rsidRDefault="00365027" w:rsidP="00B23A0D">
            <w:pPr>
              <w:rPr>
                <w:rFonts w:ascii="Times New Roman" w:hAnsi="Times New Roman"/>
                <w:b/>
                <w:sz w:val="24"/>
              </w:rPr>
            </w:pPr>
            <w:r>
              <w:rPr>
                <w:rFonts w:ascii="Times New Roman" w:hAnsi="Times New Roman"/>
                <w:b/>
                <w:sz w:val="24"/>
              </w:rPr>
              <w:lastRenderedPageBreak/>
              <w:t>Columns</w:t>
            </w:r>
          </w:p>
        </w:tc>
      </w:tr>
      <w:tr w:rsidR="00365027" w:rsidRPr="002A677E" w14:paraId="21363B1E" w14:textId="77777777" w:rsidTr="00660F94">
        <w:trPr>
          <w:cantSplit/>
        </w:trPr>
        <w:tc>
          <w:tcPr>
            <w:tcW w:w="1172" w:type="dxa"/>
          </w:tcPr>
          <w:p w14:paraId="36F71A39" w14:textId="77777777" w:rsidR="00365027" w:rsidRDefault="00365027" w:rsidP="00B23A0D">
            <w:pPr>
              <w:rPr>
                <w:rFonts w:ascii="Times New Roman" w:hAnsi="Times New Roman"/>
                <w:sz w:val="24"/>
              </w:rPr>
            </w:pPr>
            <w:r>
              <w:rPr>
                <w:rFonts w:ascii="Times New Roman" w:hAnsi="Times New Roman"/>
                <w:sz w:val="24"/>
              </w:rPr>
              <w:t>0010-0040</w:t>
            </w:r>
          </w:p>
        </w:tc>
        <w:tc>
          <w:tcPr>
            <w:tcW w:w="7844" w:type="dxa"/>
          </w:tcPr>
          <w:p w14:paraId="40B5C324" w14:textId="77777777" w:rsidR="00365027" w:rsidRDefault="00365027" w:rsidP="00B23A0D">
            <w:pPr>
              <w:rPr>
                <w:rFonts w:ascii="Times New Roman" w:hAnsi="Times New Roman"/>
                <w:b/>
                <w:bCs/>
                <w:sz w:val="24"/>
                <w:u w:val="single"/>
              </w:rPr>
            </w:pPr>
            <w:r>
              <w:rPr>
                <w:rFonts w:ascii="Times New Roman" w:hAnsi="Times New Roman"/>
                <w:b/>
                <w:bCs/>
                <w:sz w:val="24"/>
                <w:u w:val="single"/>
              </w:rPr>
              <w:t>ALL TRANSACTIONS SUBJECT TO CVA RISK</w:t>
            </w:r>
          </w:p>
          <w:p w14:paraId="180C0C08" w14:textId="77777777" w:rsidR="00365027" w:rsidRDefault="00365027" w:rsidP="00B23A0D">
            <w:pPr>
              <w:rPr>
                <w:rFonts w:ascii="Times New Roman" w:hAnsi="Times New Roman"/>
                <w:b/>
                <w:bCs/>
                <w:sz w:val="24"/>
                <w:u w:val="single"/>
              </w:rPr>
            </w:pPr>
            <w:r>
              <w:rPr>
                <w:rFonts w:ascii="Times New Roman" w:hAnsi="Times New Roman"/>
                <w:sz w:val="24"/>
              </w:rPr>
              <w:t>T</w:t>
            </w:r>
            <w:r w:rsidRPr="00F0491B">
              <w:rPr>
                <w:rFonts w:ascii="Times New Roman" w:hAnsi="Times New Roman"/>
                <w:sz w:val="24"/>
              </w:rPr>
              <w:t xml:space="preserve">ransactions </w:t>
            </w:r>
            <w:r>
              <w:rPr>
                <w:rFonts w:ascii="Times New Roman" w:hAnsi="Times New Roman"/>
                <w:sz w:val="24"/>
              </w:rPr>
              <w:t>in scope of own funds requirements for</w:t>
            </w:r>
            <w:r w:rsidRPr="00F0491B">
              <w:rPr>
                <w:rFonts w:ascii="Times New Roman" w:hAnsi="Times New Roman"/>
                <w:sz w:val="24"/>
              </w:rPr>
              <w:t xml:space="preserve"> CVA risk</w:t>
            </w:r>
            <w:r>
              <w:rPr>
                <w:rFonts w:ascii="Times New Roman" w:hAnsi="Times New Roman"/>
                <w:sz w:val="24"/>
              </w:rPr>
              <w:t xml:space="preserve"> as defined in Article 382 </w:t>
            </w:r>
            <w:r w:rsidRPr="001235ED">
              <w:rPr>
                <w:rFonts w:ascii="Times New Roman" w:hAnsi="Times New Roman"/>
                <w:sz w:val="24"/>
                <w:lang w:val="en-US"/>
              </w:rPr>
              <w:t>of Regulation (EU) No 575/2013</w:t>
            </w:r>
          </w:p>
        </w:tc>
      </w:tr>
      <w:tr w:rsidR="00365027" w:rsidRPr="002A677E" w14:paraId="3CA453EA" w14:textId="77777777" w:rsidTr="00660F94">
        <w:trPr>
          <w:cantSplit/>
        </w:trPr>
        <w:tc>
          <w:tcPr>
            <w:tcW w:w="1172" w:type="dxa"/>
          </w:tcPr>
          <w:p w14:paraId="3886A7D2" w14:textId="77777777" w:rsidR="00365027" w:rsidRPr="002A677E" w:rsidRDefault="00365027" w:rsidP="00B23A0D">
            <w:pPr>
              <w:rPr>
                <w:rFonts w:ascii="Times New Roman" w:hAnsi="Times New Roman"/>
                <w:sz w:val="24"/>
              </w:rPr>
            </w:pPr>
            <w:r>
              <w:rPr>
                <w:rFonts w:ascii="Times New Roman" w:hAnsi="Times New Roman"/>
                <w:sz w:val="24"/>
              </w:rPr>
              <w:t>0010</w:t>
            </w:r>
          </w:p>
        </w:tc>
        <w:tc>
          <w:tcPr>
            <w:tcW w:w="7844" w:type="dxa"/>
          </w:tcPr>
          <w:p w14:paraId="20E0E66D" w14:textId="77777777" w:rsidR="00365027" w:rsidRDefault="00365027" w:rsidP="00B23A0D">
            <w:pPr>
              <w:rPr>
                <w:rFonts w:ascii="Times New Roman" w:hAnsi="Times New Roman"/>
                <w:b/>
                <w:bCs/>
                <w:sz w:val="24"/>
                <w:u w:val="single"/>
              </w:rPr>
            </w:pPr>
            <w:r>
              <w:rPr>
                <w:rFonts w:ascii="Times New Roman" w:hAnsi="Times New Roman"/>
                <w:b/>
                <w:bCs/>
                <w:sz w:val="24"/>
                <w:u w:val="single"/>
              </w:rPr>
              <w:t>CCR exposure value</w:t>
            </w:r>
          </w:p>
          <w:p w14:paraId="6EF4B3D8" w14:textId="77777777" w:rsidR="00365027" w:rsidRPr="002A677E" w:rsidRDefault="00365027" w:rsidP="00B23A0D">
            <w:pPr>
              <w:rPr>
                <w:rFonts w:ascii="Times New Roman" w:hAnsi="Times New Roman"/>
                <w:sz w:val="24"/>
              </w:rPr>
            </w:pPr>
            <w:r>
              <w:rPr>
                <w:rFonts w:ascii="Times New Roman" w:hAnsi="Times New Roman"/>
                <w:sz w:val="24"/>
              </w:rPr>
              <w:t>Exposure</w:t>
            </w:r>
            <w:r w:rsidRPr="002A677E">
              <w:rPr>
                <w:rFonts w:ascii="Times New Roman" w:hAnsi="Times New Roman"/>
                <w:sz w:val="24"/>
              </w:rPr>
              <w:t xml:space="preserve"> value for CCR netting sets calculated in accordance with the methods laid down in Part Three, Title II, Chapters 4 and 6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56A4C226" w14:textId="77777777" w:rsidTr="00660F94">
        <w:trPr>
          <w:cantSplit/>
        </w:trPr>
        <w:tc>
          <w:tcPr>
            <w:tcW w:w="1172" w:type="dxa"/>
          </w:tcPr>
          <w:p w14:paraId="073407F6" w14:textId="77777777" w:rsidR="00365027" w:rsidRPr="002A677E" w:rsidRDefault="00365027" w:rsidP="00B23A0D">
            <w:pPr>
              <w:rPr>
                <w:rFonts w:ascii="Times New Roman" w:hAnsi="Times New Roman"/>
                <w:sz w:val="24"/>
              </w:rPr>
            </w:pPr>
            <w:r>
              <w:rPr>
                <w:rFonts w:ascii="Times New Roman" w:hAnsi="Times New Roman"/>
                <w:sz w:val="24"/>
              </w:rPr>
              <w:t>0020</w:t>
            </w:r>
          </w:p>
        </w:tc>
        <w:tc>
          <w:tcPr>
            <w:tcW w:w="7844" w:type="dxa"/>
          </w:tcPr>
          <w:p w14:paraId="72221492" w14:textId="77777777" w:rsidR="00365027" w:rsidRDefault="00365027" w:rsidP="00B23A0D">
            <w:pPr>
              <w:rPr>
                <w:rFonts w:ascii="Times New Roman" w:hAnsi="Times New Roman"/>
                <w:b/>
                <w:bCs/>
                <w:sz w:val="24"/>
                <w:u w:val="single"/>
              </w:rPr>
            </w:pPr>
            <w:r>
              <w:rPr>
                <w:rFonts w:ascii="Times New Roman" w:hAnsi="Times New Roman"/>
                <w:b/>
                <w:bCs/>
                <w:sz w:val="24"/>
                <w:u w:val="single"/>
              </w:rPr>
              <w:t>Own funds requirements for CCR</w:t>
            </w:r>
          </w:p>
          <w:p w14:paraId="207C2BB0" w14:textId="77777777" w:rsidR="00365027" w:rsidRPr="002A677E" w:rsidRDefault="00365027" w:rsidP="00B23A0D">
            <w:pPr>
              <w:rPr>
                <w:rFonts w:ascii="Times New Roman" w:hAnsi="Times New Roman"/>
                <w:sz w:val="24"/>
              </w:rPr>
            </w:pPr>
            <w:r>
              <w:rPr>
                <w:rFonts w:ascii="Times New Roman" w:hAnsi="Times New Roman"/>
                <w:sz w:val="24"/>
              </w:rPr>
              <w:t>Own funds requirements for CCR (</w:t>
            </w:r>
            <w:r w:rsidRPr="005C217A">
              <w:rPr>
                <w:rFonts w:ascii="Times New Roman" w:hAnsi="Times New Roman"/>
                <w:sz w:val="24"/>
              </w:rPr>
              <w:t>Article 92(</w:t>
            </w:r>
            <w:r>
              <w:rPr>
                <w:rFonts w:ascii="Times New Roman" w:hAnsi="Times New Roman"/>
                <w:sz w:val="24"/>
              </w:rPr>
              <w:t>4</w:t>
            </w:r>
            <w:r w:rsidRPr="005C217A">
              <w:rPr>
                <w:rFonts w:ascii="Times New Roman" w:hAnsi="Times New Roman"/>
                <w:sz w:val="24"/>
              </w:rPr>
              <w:t>), point (</w:t>
            </w:r>
            <w:r>
              <w:rPr>
                <w:rFonts w:ascii="Times New Roman" w:hAnsi="Times New Roman"/>
                <w:sz w:val="24"/>
              </w:rPr>
              <w:t>a</w:t>
            </w:r>
            <w:r w:rsidRPr="005C217A">
              <w:rPr>
                <w:rFonts w:ascii="Times New Roman" w:hAnsi="Times New Roman"/>
                <w:sz w:val="24"/>
              </w:rPr>
              <w:t>) and Part Three, Title VI of Regulation (EU) No 575/2013)</w:t>
            </w:r>
            <w:r>
              <w:rPr>
                <w:rFonts w:ascii="Times New Roman" w:hAnsi="Times New Roman"/>
                <w:sz w:val="24"/>
              </w:rPr>
              <w:t>.</w:t>
            </w:r>
          </w:p>
        </w:tc>
      </w:tr>
      <w:tr w:rsidR="00365027" w:rsidRPr="002A677E" w14:paraId="02C348BB" w14:textId="77777777" w:rsidTr="00660F94">
        <w:trPr>
          <w:cantSplit/>
        </w:trPr>
        <w:tc>
          <w:tcPr>
            <w:tcW w:w="1172" w:type="dxa"/>
          </w:tcPr>
          <w:p w14:paraId="09B90306" w14:textId="77777777" w:rsidR="00365027" w:rsidRPr="002A677E" w:rsidRDefault="00365027" w:rsidP="00B23A0D">
            <w:pPr>
              <w:rPr>
                <w:rFonts w:ascii="Times New Roman" w:hAnsi="Times New Roman"/>
                <w:sz w:val="24"/>
              </w:rPr>
            </w:pPr>
            <w:r>
              <w:rPr>
                <w:rFonts w:ascii="Times New Roman" w:hAnsi="Times New Roman"/>
                <w:sz w:val="24"/>
              </w:rPr>
              <w:t>0030</w:t>
            </w:r>
          </w:p>
        </w:tc>
        <w:tc>
          <w:tcPr>
            <w:tcW w:w="7844" w:type="dxa"/>
          </w:tcPr>
          <w:p w14:paraId="19B5C124" w14:textId="77777777" w:rsidR="00365027" w:rsidRDefault="00365027" w:rsidP="00B23A0D">
            <w:pPr>
              <w:rPr>
                <w:rFonts w:ascii="Times New Roman" w:hAnsi="Times New Roman"/>
                <w:b/>
                <w:bCs/>
                <w:sz w:val="24"/>
                <w:u w:val="single"/>
              </w:rPr>
            </w:pPr>
            <w:r>
              <w:rPr>
                <w:rFonts w:ascii="Times New Roman" w:hAnsi="Times New Roman"/>
                <w:b/>
                <w:bCs/>
                <w:sz w:val="24"/>
                <w:u w:val="single"/>
              </w:rPr>
              <w:t>Notional amount</w:t>
            </w:r>
          </w:p>
          <w:p w14:paraId="6CBF5240" w14:textId="77777777" w:rsidR="00365027" w:rsidRPr="002A677E" w:rsidRDefault="00365027" w:rsidP="00B23A0D">
            <w:pPr>
              <w:rPr>
                <w:rFonts w:ascii="Times New Roman" w:hAnsi="Times New Roman"/>
                <w:sz w:val="24"/>
              </w:rPr>
            </w:pPr>
            <w:r>
              <w:rPr>
                <w:rFonts w:ascii="Times New Roman" w:hAnsi="Times New Roman"/>
                <w:sz w:val="24"/>
              </w:rPr>
              <w:t>S</w:t>
            </w:r>
            <w:r w:rsidRPr="002A677E">
              <w:rPr>
                <w:rFonts w:ascii="Times New Roman" w:hAnsi="Times New Roman"/>
                <w:sz w:val="24"/>
              </w:rPr>
              <w:t xml:space="preserve">um of the notional amounts for derivatives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365027" w:rsidRPr="002A677E" w14:paraId="41F5B322" w14:textId="77777777" w:rsidTr="00660F94">
        <w:trPr>
          <w:cantSplit/>
        </w:trPr>
        <w:tc>
          <w:tcPr>
            <w:tcW w:w="1172" w:type="dxa"/>
          </w:tcPr>
          <w:p w14:paraId="18C9DB91" w14:textId="77777777" w:rsidR="00365027" w:rsidRPr="002A677E" w:rsidRDefault="00365027" w:rsidP="00B23A0D">
            <w:pPr>
              <w:rPr>
                <w:rFonts w:ascii="Times New Roman" w:hAnsi="Times New Roman"/>
                <w:sz w:val="24"/>
              </w:rPr>
            </w:pPr>
            <w:r>
              <w:rPr>
                <w:rFonts w:ascii="Times New Roman" w:hAnsi="Times New Roman"/>
                <w:sz w:val="24"/>
              </w:rPr>
              <w:t>0040</w:t>
            </w:r>
          </w:p>
        </w:tc>
        <w:tc>
          <w:tcPr>
            <w:tcW w:w="7844" w:type="dxa"/>
          </w:tcPr>
          <w:p w14:paraId="12F914E9" w14:textId="77777777" w:rsidR="00365027" w:rsidRDefault="00365027" w:rsidP="00B23A0D">
            <w:pPr>
              <w:rPr>
                <w:rFonts w:ascii="Times New Roman" w:hAnsi="Times New Roman"/>
                <w:b/>
                <w:bCs/>
                <w:sz w:val="24"/>
                <w:u w:val="single"/>
              </w:rPr>
            </w:pPr>
            <w:r>
              <w:rPr>
                <w:rFonts w:ascii="Times New Roman" w:hAnsi="Times New Roman"/>
                <w:b/>
                <w:bCs/>
                <w:sz w:val="24"/>
                <w:u w:val="single"/>
              </w:rPr>
              <w:t>Incurred CVA</w:t>
            </w:r>
          </w:p>
          <w:p w14:paraId="78A3E0D8" w14:textId="77777777" w:rsidR="00365027" w:rsidRPr="002A677E" w:rsidRDefault="00365027" w:rsidP="00B23A0D">
            <w:pPr>
              <w:rPr>
                <w:rFonts w:ascii="Times New Roman" w:hAnsi="Times New Roman"/>
                <w:sz w:val="24"/>
              </w:rPr>
            </w:pPr>
            <w:r w:rsidRPr="002A677E">
              <w:rPr>
                <w:rFonts w:ascii="Times New Roman" w:hAnsi="Times New Roman"/>
                <w:sz w:val="24"/>
              </w:rPr>
              <w:t>Accounting provisions due to decreased credit worthiness of derivatives counterparties.</w:t>
            </w:r>
          </w:p>
        </w:tc>
      </w:tr>
      <w:tr w:rsidR="00365027" w:rsidRPr="002A677E" w14:paraId="2BB6EE80" w14:textId="77777777" w:rsidTr="00660F94">
        <w:trPr>
          <w:cantSplit/>
        </w:trPr>
        <w:tc>
          <w:tcPr>
            <w:tcW w:w="1172" w:type="dxa"/>
          </w:tcPr>
          <w:p w14:paraId="09E5F227" w14:textId="77777777" w:rsidR="00365027" w:rsidRPr="002A677E" w:rsidRDefault="00365027" w:rsidP="00B23A0D">
            <w:pPr>
              <w:rPr>
                <w:rFonts w:ascii="Times New Roman" w:hAnsi="Times New Roman"/>
                <w:sz w:val="24"/>
              </w:rPr>
            </w:pPr>
            <w:r>
              <w:rPr>
                <w:rFonts w:ascii="Times New Roman" w:hAnsi="Times New Roman"/>
                <w:sz w:val="24"/>
              </w:rPr>
              <w:t>0050</w:t>
            </w:r>
          </w:p>
        </w:tc>
        <w:tc>
          <w:tcPr>
            <w:tcW w:w="7844" w:type="dxa"/>
          </w:tcPr>
          <w:p w14:paraId="55876AA1" w14:textId="77777777" w:rsidR="00365027" w:rsidRDefault="00365027" w:rsidP="00B23A0D">
            <w:pPr>
              <w:rPr>
                <w:rFonts w:ascii="Times New Roman" w:hAnsi="Times New Roman"/>
                <w:b/>
                <w:bCs/>
                <w:sz w:val="24"/>
                <w:u w:val="single"/>
              </w:rPr>
            </w:pPr>
            <w:r>
              <w:rPr>
                <w:rFonts w:ascii="Times New Roman" w:hAnsi="Times New Roman"/>
                <w:b/>
                <w:bCs/>
                <w:sz w:val="24"/>
                <w:u w:val="single"/>
              </w:rPr>
              <w:t>SIMPLIFIED TREATMENT FOR DERIVATIVE POSITIONS OF CIU</w:t>
            </w:r>
          </w:p>
          <w:p w14:paraId="47127FA0" w14:textId="77777777" w:rsidR="00365027" w:rsidRPr="002A677E" w:rsidRDefault="00365027" w:rsidP="00B23A0D">
            <w:pPr>
              <w:rPr>
                <w:rFonts w:ascii="Times New Roman" w:hAnsi="Times New Roman"/>
                <w:sz w:val="24"/>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the simplified treatment for derivative positions of CIU defined in a</w:t>
            </w:r>
            <w:r w:rsidRPr="00814F9D">
              <w:rPr>
                <w:rFonts w:ascii="Times New Roman" w:hAnsi="Times New Roman"/>
                <w:sz w:val="24"/>
              </w:rPr>
              <w:t>rticles 132a(3)</w:t>
            </w:r>
            <w:r>
              <w:rPr>
                <w:rFonts w:ascii="Times New Roman" w:hAnsi="Times New Roman"/>
                <w:sz w:val="24"/>
              </w:rPr>
              <w:t xml:space="preserve">, </w:t>
            </w:r>
            <w:r w:rsidRPr="00814F9D">
              <w:rPr>
                <w:rFonts w:ascii="Times New Roman" w:hAnsi="Times New Roman"/>
                <w:sz w:val="24"/>
              </w:rPr>
              <w:t xml:space="preserve"> 152(3)</w:t>
            </w:r>
            <w:r>
              <w:rPr>
                <w:rFonts w:ascii="Times New Roman" w:hAnsi="Times New Roman"/>
                <w:sz w:val="24"/>
              </w:rPr>
              <w:t xml:space="preserve"> and</w:t>
            </w:r>
            <w:r w:rsidRPr="00814F9D">
              <w:rPr>
                <w:rFonts w:ascii="Times New Roman" w:hAnsi="Times New Roman"/>
                <w:sz w:val="24"/>
              </w:rPr>
              <w:t xml:space="preserve"> 325j(1)</w:t>
            </w:r>
            <w:r w:rsidRPr="00814F9D" w:rsidDel="00024DEA">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03723EA8" w14:textId="77777777" w:rsidTr="00660F94">
        <w:trPr>
          <w:cantSplit/>
        </w:trPr>
        <w:tc>
          <w:tcPr>
            <w:tcW w:w="1172" w:type="dxa"/>
          </w:tcPr>
          <w:p w14:paraId="23E86205" w14:textId="77777777" w:rsidR="00365027" w:rsidRPr="002A677E" w:rsidRDefault="00365027" w:rsidP="00B23A0D">
            <w:pPr>
              <w:rPr>
                <w:rFonts w:ascii="Times New Roman" w:hAnsi="Times New Roman"/>
                <w:sz w:val="24"/>
              </w:rPr>
            </w:pPr>
            <w:r>
              <w:rPr>
                <w:rFonts w:ascii="Times New Roman" w:hAnsi="Times New Roman"/>
                <w:sz w:val="24"/>
              </w:rPr>
              <w:t>0060</w:t>
            </w:r>
          </w:p>
        </w:tc>
        <w:tc>
          <w:tcPr>
            <w:tcW w:w="7844" w:type="dxa"/>
          </w:tcPr>
          <w:p w14:paraId="2505122A" w14:textId="77777777" w:rsidR="00365027" w:rsidRDefault="00365027" w:rsidP="00B23A0D">
            <w:pPr>
              <w:rPr>
                <w:rFonts w:ascii="Times New Roman" w:hAnsi="Times New Roman"/>
                <w:b/>
                <w:bCs/>
                <w:sz w:val="24"/>
                <w:u w:val="single"/>
              </w:rPr>
            </w:pPr>
            <w:r>
              <w:rPr>
                <w:rFonts w:ascii="Times New Roman" w:hAnsi="Times New Roman"/>
                <w:b/>
                <w:bCs/>
                <w:sz w:val="24"/>
                <w:u w:val="single"/>
              </w:rPr>
              <w:t>SIMPLIFIED APPROACH</w:t>
            </w:r>
          </w:p>
          <w:p w14:paraId="4E969F83" w14:textId="77777777" w:rsidR="00365027" w:rsidRPr="002A677E" w:rsidRDefault="00365027" w:rsidP="00B23A0D">
            <w:pPr>
              <w:rPr>
                <w:rFonts w:ascii="Times New Roman" w:hAnsi="Times New Roman"/>
                <w:sz w:val="24"/>
              </w:rPr>
            </w:pPr>
            <w:r>
              <w:rPr>
                <w:rFonts w:ascii="Times New Roman" w:hAnsi="Times New Roman"/>
                <w:sz w:val="24"/>
              </w:rPr>
              <w:t>Own funds requirements for transactions</w:t>
            </w:r>
            <w:r w:rsidRPr="00F0491B">
              <w:rPr>
                <w:rFonts w:ascii="Times New Roman" w:hAnsi="Times New Roman"/>
                <w:sz w:val="24"/>
              </w:rPr>
              <w:t xml:space="preserve"> </w:t>
            </w:r>
            <w:r>
              <w:rPr>
                <w:rFonts w:ascii="Times New Roman" w:hAnsi="Times New Roman"/>
                <w:sz w:val="24"/>
              </w:rPr>
              <w:t xml:space="preserve">subject to the simplified approach set out in Article 385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505A0E9C" w14:textId="77777777" w:rsidTr="00660F94">
        <w:trPr>
          <w:cantSplit/>
        </w:trPr>
        <w:tc>
          <w:tcPr>
            <w:tcW w:w="1172" w:type="dxa"/>
          </w:tcPr>
          <w:p w14:paraId="50DA733E" w14:textId="77777777" w:rsidR="00365027" w:rsidRPr="002A677E" w:rsidRDefault="00365027" w:rsidP="00B23A0D">
            <w:pPr>
              <w:rPr>
                <w:rFonts w:ascii="Times New Roman" w:hAnsi="Times New Roman"/>
                <w:sz w:val="24"/>
              </w:rPr>
            </w:pPr>
            <w:r>
              <w:rPr>
                <w:rFonts w:ascii="Times New Roman" w:hAnsi="Times New Roman"/>
                <w:sz w:val="24"/>
              </w:rPr>
              <w:t>0070</w:t>
            </w:r>
          </w:p>
        </w:tc>
        <w:tc>
          <w:tcPr>
            <w:tcW w:w="7844" w:type="dxa"/>
          </w:tcPr>
          <w:p w14:paraId="678404E9" w14:textId="77777777" w:rsidR="00365027" w:rsidRDefault="00365027" w:rsidP="00B23A0D">
            <w:pPr>
              <w:rPr>
                <w:rFonts w:ascii="Times New Roman" w:hAnsi="Times New Roman"/>
                <w:b/>
                <w:bCs/>
                <w:sz w:val="24"/>
                <w:u w:val="single"/>
              </w:rPr>
            </w:pPr>
            <w:r>
              <w:rPr>
                <w:rFonts w:ascii="Times New Roman" w:hAnsi="Times New Roman"/>
                <w:b/>
                <w:bCs/>
                <w:sz w:val="24"/>
                <w:u w:val="single"/>
              </w:rPr>
              <w:t>REDUCED BA-CVA APPROACH</w:t>
            </w:r>
          </w:p>
          <w:p w14:paraId="4EBD545B" w14:textId="77777777" w:rsidR="00365027" w:rsidRPr="002A677E" w:rsidRDefault="00365027" w:rsidP="00B23A0D">
            <w:pPr>
              <w:rPr>
                <w:rFonts w:ascii="Times New Roman" w:hAnsi="Times New Roman"/>
                <w:sz w:val="24"/>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xml:space="preserve">, </w:t>
            </w:r>
            <w:r w:rsidRPr="007B1FA4">
              <w:rPr>
                <w:rFonts w:ascii="Times New Roman" w:hAnsi="Times New Roman"/>
                <w:sz w:val="24"/>
              </w:rPr>
              <w:t xml:space="preserve">calculated in accordance with </w:t>
            </w:r>
            <w:r>
              <w:rPr>
                <w:rFonts w:ascii="Times New Roman" w:hAnsi="Times New Roman"/>
                <w:sz w:val="24"/>
              </w:rPr>
              <w:t>Article 384(</w:t>
            </w:r>
            <w:r w:rsidRPr="007B1FA4">
              <w:rPr>
                <w:rFonts w:ascii="Times New Roman" w:hAnsi="Times New Roman"/>
                <w:sz w:val="24"/>
              </w:rPr>
              <w:t>3</w:t>
            </w:r>
            <w:r>
              <w:rPr>
                <w:rFonts w:ascii="Times New Roman" w:hAnsi="Times New Roman"/>
                <w:sz w:val="24"/>
              </w:rPr>
              <w:t>)</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(b)</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4CE588FF" w14:textId="77777777" w:rsidTr="00660F94">
        <w:trPr>
          <w:cantSplit/>
        </w:trPr>
        <w:tc>
          <w:tcPr>
            <w:tcW w:w="1172" w:type="dxa"/>
          </w:tcPr>
          <w:p w14:paraId="29EF5190" w14:textId="77777777" w:rsidR="00365027" w:rsidRPr="002A677E" w:rsidRDefault="00365027" w:rsidP="00B23A0D">
            <w:pPr>
              <w:rPr>
                <w:rFonts w:ascii="Times New Roman" w:hAnsi="Times New Roman"/>
                <w:sz w:val="24"/>
              </w:rPr>
            </w:pPr>
            <w:r>
              <w:rPr>
                <w:rFonts w:ascii="Times New Roman" w:hAnsi="Times New Roman"/>
                <w:sz w:val="24"/>
              </w:rPr>
              <w:t>0080-0110</w:t>
            </w:r>
          </w:p>
        </w:tc>
        <w:tc>
          <w:tcPr>
            <w:tcW w:w="7844" w:type="dxa"/>
          </w:tcPr>
          <w:p w14:paraId="5D18C173" w14:textId="77777777" w:rsidR="00365027" w:rsidRDefault="00365027" w:rsidP="00B23A0D">
            <w:pPr>
              <w:rPr>
                <w:rFonts w:ascii="Times New Roman" w:hAnsi="Times New Roman"/>
                <w:b/>
                <w:bCs/>
                <w:sz w:val="24"/>
                <w:u w:val="single"/>
              </w:rPr>
            </w:pPr>
            <w:r>
              <w:rPr>
                <w:rFonts w:ascii="Times New Roman" w:hAnsi="Times New Roman"/>
                <w:b/>
                <w:bCs/>
                <w:sz w:val="24"/>
                <w:u w:val="single"/>
              </w:rPr>
              <w:t>FULL BA-CVA APPROACH</w:t>
            </w:r>
          </w:p>
          <w:p w14:paraId="19C24534" w14:textId="77777777" w:rsidR="00365027" w:rsidRPr="002A677E" w:rsidRDefault="00365027" w:rsidP="00B23A0D">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7BC5AA12" w14:textId="77777777" w:rsidTr="00660F94">
        <w:trPr>
          <w:cantSplit/>
        </w:trPr>
        <w:tc>
          <w:tcPr>
            <w:tcW w:w="1172" w:type="dxa"/>
          </w:tcPr>
          <w:p w14:paraId="1CC585D1" w14:textId="77777777" w:rsidR="00365027" w:rsidRPr="002A677E" w:rsidRDefault="00365027" w:rsidP="00B23A0D">
            <w:pPr>
              <w:rPr>
                <w:rFonts w:ascii="Times New Roman" w:hAnsi="Times New Roman"/>
                <w:sz w:val="24"/>
              </w:rPr>
            </w:pPr>
            <w:r>
              <w:rPr>
                <w:rFonts w:ascii="Times New Roman" w:hAnsi="Times New Roman"/>
                <w:sz w:val="24"/>
              </w:rPr>
              <w:t>0080</w:t>
            </w:r>
          </w:p>
        </w:tc>
        <w:tc>
          <w:tcPr>
            <w:tcW w:w="7844" w:type="dxa"/>
          </w:tcPr>
          <w:p w14:paraId="60AB5AF8" w14:textId="77777777" w:rsidR="00365027" w:rsidRDefault="00365027" w:rsidP="00B23A0D">
            <w:pPr>
              <w:rPr>
                <w:rFonts w:ascii="Times New Roman" w:hAnsi="Times New Roman"/>
                <w:b/>
                <w:bCs/>
                <w:sz w:val="24"/>
                <w:u w:val="single"/>
              </w:rPr>
            </w:pPr>
            <w:r>
              <w:rPr>
                <w:rFonts w:ascii="Times New Roman" w:hAnsi="Times New Roman"/>
                <w:b/>
                <w:bCs/>
                <w:sz w:val="24"/>
                <w:u w:val="single"/>
              </w:rPr>
              <w:t>Notional of CVA hedges</w:t>
            </w:r>
          </w:p>
          <w:p w14:paraId="28CDD734" w14:textId="77777777" w:rsidR="00365027" w:rsidRPr="002A677E" w:rsidRDefault="00365027" w:rsidP="00B23A0D">
            <w:pPr>
              <w:rPr>
                <w:rFonts w:ascii="Times New Roman" w:hAnsi="Times New Roman"/>
                <w:sz w:val="24"/>
              </w:rPr>
            </w:pPr>
            <w:r>
              <w:rPr>
                <w:rFonts w:ascii="Times New Roman" w:hAnsi="Times New Roman"/>
                <w:sz w:val="24"/>
              </w:rPr>
              <w:lastRenderedPageBreak/>
              <w:t xml:space="preserve">Notional of CVA </w:t>
            </w:r>
            <w:r w:rsidRPr="005C217A">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0C7D5B9F" w14:textId="77777777" w:rsidTr="00660F94">
        <w:trPr>
          <w:cantSplit/>
        </w:trPr>
        <w:tc>
          <w:tcPr>
            <w:tcW w:w="1172" w:type="dxa"/>
          </w:tcPr>
          <w:p w14:paraId="691A7FFA" w14:textId="77777777" w:rsidR="00365027" w:rsidRPr="002A677E" w:rsidRDefault="00365027" w:rsidP="00B23A0D">
            <w:pPr>
              <w:rPr>
                <w:rFonts w:ascii="Times New Roman" w:hAnsi="Times New Roman"/>
                <w:sz w:val="24"/>
              </w:rPr>
            </w:pPr>
            <w:r>
              <w:rPr>
                <w:rFonts w:ascii="Times New Roman" w:hAnsi="Times New Roman"/>
                <w:sz w:val="24"/>
              </w:rPr>
              <w:lastRenderedPageBreak/>
              <w:t>0090</w:t>
            </w:r>
          </w:p>
        </w:tc>
        <w:tc>
          <w:tcPr>
            <w:tcW w:w="7844" w:type="dxa"/>
          </w:tcPr>
          <w:p w14:paraId="38AC9B5F" w14:textId="77777777" w:rsidR="00365027" w:rsidRPr="005C217A" w:rsidRDefault="00365027" w:rsidP="00B23A0D">
            <w:pPr>
              <w:rPr>
                <w:rFonts w:ascii="Times New Roman" w:hAnsi="Times New Roman"/>
                <w:sz w:val="24"/>
              </w:rPr>
            </w:pPr>
            <w:r w:rsidRPr="00E7245A">
              <w:rPr>
                <w:rFonts w:ascii="Times New Roman" w:hAnsi="Times New Roman"/>
                <w:b/>
                <w:sz w:val="24"/>
                <w:u w:val="single"/>
              </w:rPr>
              <w:t>BACVA</w:t>
            </w:r>
            <w:r w:rsidRPr="005C217A">
              <w:rPr>
                <w:rFonts w:ascii="Times New Roman" w:hAnsi="Times New Roman"/>
                <w:b/>
                <w:sz w:val="24"/>
                <w:vertAlign w:val="superscript"/>
              </w:rPr>
              <w:t>csr-unhedged</w:t>
            </w:r>
          </w:p>
          <w:p w14:paraId="50D16786" w14:textId="77777777" w:rsidR="00365027" w:rsidRPr="002A677E" w:rsidRDefault="00365027" w:rsidP="00B23A0D">
            <w:pPr>
              <w:rPr>
                <w:rFonts w:ascii="Times New Roman" w:hAnsi="Times New Roman"/>
                <w:sz w:val="24"/>
              </w:rPr>
            </w:pPr>
            <w:r w:rsidRPr="00FD4C20">
              <w:rPr>
                <w:rFonts w:ascii="Times New Roman" w:hAnsi="Times New Roman"/>
                <w:sz w:val="24"/>
              </w:rPr>
              <w:t>BACVAcsr-unhedged</w:t>
            </w:r>
            <w:r w:rsidRPr="00FD4C20" w:rsidDel="00FD4C20">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5C217A">
              <w:rPr>
                <w:rFonts w:ascii="Times New Roman" w:hAnsi="Times New Roman"/>
                <w:sz w:val="24"/>
              </w:rPr>
              <w:t xml:space="preserve">the basic approach as calculated in accordance with </w:t>
            </w:r>
            <w:r>
              <w:rPr>
                <w:rFonts w:ascii="Times New Roman" w:hAnsi="Times New Roman"/>
                <w:sz w:val="24"/>
              </w:rPr>
              <w:t>Article 384(3)</w:t>
            </w:r>
            <w:r w:rsidRPr="005C217A">
              <w:rPr>
                <w:rFonts w:ascii="Times New Roman" w:hAnsi="Times New Roman"/>
                <w:sz w:val="24"/>
              </w:rPr>
              <w:t xml:space="preserve"> for an institution that meets the condition laid down in </w:t>
            </w:r>
            <w:r>
              <w:rPr>
                <w:rFonts w:ascii="Times New Roman" w:hAnsi="Times New Roman"/>
                <w:sz w:val="24"/>
              </w:rPr>
              <w:t>Article 384(1)</w:t>
            </w:r>
            <w:r w:rsidRPr="005C217A">
              <w:rPr>
                <w:rFonts w:ascii="Times New Roman" w:hAnsi="Times New Roman"/>
                <w:sz w:val="24"/>
              </w:rPr>
              <w:t>(</w:t>
            </w:r>
            <w:r>
              <w:rPr>
                <w:rFonts w:ascii="Times New Roman" w:hAnsi="Times New Roman"/>
                <w:sz w:val="24"/>
              </w:rPr>
              <w:t>b</w:t>
            </w:r>
            <w:r w:rsidRPr="005C217A">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6666759C" w14:textId="77777777" w:rsidTr="00660F94">
        <w:trPr>
          <w:cantSplit/>
        </w:trPr>
        <w:tc>
          <w:tcPr>
            <w:tcW w:w="1172" w:type="dxa"/>
          </w:tcPr>
          <w:p w14:paraId="4030915E" w14:textId="77777777" w:rsidR="00365027" w:rsidRPr="002A677E" w:rsidDel="00024DEA" w:rsidRDefault="00365027" w:rsidP="00B23A0D">
            <w:pPr>
              <w:rPr>
                <w:rFonts w:ascii="Times New Roman" w:hAnsi="Times New Roman"/>
                <w:sz w:val="24"/>
              </w:rPr>
            </w:pPr>
            <w:r>
              <w:rPr>
                <w:rFonts w:ascii="Times New Roman" w:hAnsi="Times New Roman"/>
                <w:sz w:val="24"/>
              </w:rPr>
              <w:t>0100</w:t>
            </w:r>
          </w:p>
        </w:tc>
        <w:tc>
          <w:tcPr>
            <w:tcW w:w="7844" w:type="dxa"/>
          </w:tcPr>
          <w:p w14:paraId="22459C3E" w14:textId="77777777" w:rsidR="00365027" w:rsidRDefault="00365027" w:rsidP="00B23A0D">
            <w:pPr>
              <w:rPr>
                <w:rFonts w:ascii="Times New Roman" w:hAnsi="Times New Roman"/>
                <w:b/>
                <w:sz w:val="24"/>
                <w:vertAlign w:val="superscript"/>
              </w:rPr>
            </w:pPr>
            <w:r w:rsidRPr="00CA5F82">
              <w:rPr>
                <w:rFonts w:ascii="Times New Roman" w:hAnsi="Times New Roman"/>
                <w:b/>
                <w:sz w:val="24"/>
                <w:u w:val="single"/>
              </w:rPr>
              <w:t>BACVA</w:t>
            </w:r>
            <w:r w:rsidRPr="005C217A">
              <w:rPr>
                <w:rFonts w:ascii="Times New Roman" w:hAnsi="Times New Roman"/>
                <w:b/>
                <w:sz w:val="24"/>
                <w:vertAlign w:val="superscript"/>
              </w:rPr>
              <w:t>csr-hedged</w:t>
            </w:r>
          </w:p>
          <w:p w14:paraId="6387A8E0" w14:textId="18C4A81B" w:rsidR="00365027" w:rsidRPr="002A677E" w:rsidDel="00024DEA" w:rsidRDefault="00365027" w:rsidP="00B23A0D">
            <w:pPr>
              <w:rPr>
                <w:rFonts w:ascii="Times New Roman" w:hAnsi="Times New Roman"/>
                <w:b/>
                <w:sz w:val="24"/>
                <w:u w:val="single"/>
              </w:rPr>
            </w:pPr>
            <w:r w:rsidRPr="00595503">
              <w:rPr>
                <w:rFonts w:ascii="Times New Roman" w:hAnsi="Times New Roman"/>
                <w:sz w:val="24"/>
              </w:rPr>
              <w:t>BACVAcsr-hedged</w:t>
            </w:r>
            <w:r w:rsidRPr="007B1FA4">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 xml:space="preserve">the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365027" w:rsidRPr="002A677E" w14:paraId="70CE6B68" w14:textId="77777777" w:rsidTr="00660F94">
        <w:trPr>
          <w:cantSplit/>
        </w:trPr>
        <w:tc>
          <w:tcPr>
            <w:tcW w:w="1172" w:type="dxa"/>
          </w:tcPr>
          <w:p w14:paraId="03BAD285" w14:textId="77777777" w:rsidR="00365027" w:rsidRPr="002A677E" w:rsidDel="00024DEA" w:rsidRDefault="00365027" w:rsidP="00B23A0D">
            <w:pPr>
              <w:rPr>
                <w:rFonts w:ascii="Times New Roman" w:hAnsi="Times New Roman"/>
                <w:sz w:val="24"/>
              </w:rPr>
            </w:pPr>
            <w:r>
              <w:rPr>
                <w:rFonts w:ascii="Times New Roman" w:hAnsi="Times New Roman"/>
                <w:sz w:val="24"/>
              </w:rPr>
              <w:t>0110</w:t>
            </w:r>
          </w:p>
        </w:tc>
        <w:tc>
          <w:tcPr>
            <w:tcW w:w="7844" w:type="dxa"/>
          </w:tcPr>
          <w:p w14:paraId="312ADA8F" w14:textId="77777777" w:rsidR="00365027" w:rsidRDefault="00365027" w:rsidP="00B23A0D">
            <w:pPr>
              <w:rPr>
                <w:rFonts w:ascii="Times New Roman" w:hAnsi="Times New Roman"/>
                <w:b/>
                <w:bCs/>
                <w:sz w:val="24"/>
                <w:u w:val="single"/>
              </w:rPr>
            </w:pPr>
            <w:r>
              <w:rPr>
                <w:rFonts w:ascii="Times New Roman" w:hAnsi="Times New Roman"/>
                <w:b/>
                <w:bCs/>
                <w:sz w:val="24"/>
                <w:u w:val="single"/>
              </w:rPr>
              <w:t>Own funds requirements</w:t>
            </w:r>
          </w:p>
          <w:p w14:paraId="540F7A29"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Total o</w:t>
            </w:r>
            <w:r w:rsidRPr="007B1FA4">
              <w:rPr>
                <w:rFonts w:ascii="Times New Roman" w:hAnsi="Times New Roman"/>
                <w:sz w:val="24"/>
              </w:rPr>
              <w:t xml:space="preserve">wn funds requirements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the</w:t>
            </w:r>
            <w:r>
              <w:rPr>
                <w:rFonts w:ascii="Times New Roman" w:hAnsi="Times New Roman"/>
                <w:sz w:val="24"/>
              </w:rPr>
              <w:t xml:space="preserve"> full</w:t>
            </w:r>
            <w:r w:rsidRPr="007B1FA4">
              <w:rPr>
                <w:rFonts w:ascii="Times New Roman" w:hAnsi="Times New Roman"/>
                <w:sz w:val="24"/>
              </w:rPr>
              <w:t xml:space="preserv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p>
        </w:tc>
      </w:tr>
      <w:tr w:rsidR="00365027" w:rsidRPr="002A677E" w14:paraId="64F82F79" w14:textId="77777777" w:rsidTr="00660F94">
        <w:trPr>
          <w:cantSplit/>
        </w:trPr>
        <w:tc>
          <w:tcPr>
            <w:tcW w:w="1172" w:type="dxa"/>
          </w:tcPr>
          <w:p w14:paraId="39FB5FEE" w14:textId="77777777" w:rsidR="00365027" w:rsidRPr="002A677E" w:rsidDel="00024DEA" w:rsidRDefault="00365027" w:rsidP="00B23A0D">
            <w:pPr>
              <w:rPr>
                <w:rFonts w:ascii="Times New Roman" w:hAnsi="Times New Roman"/>
                <w:sz w:val="24"/>
              </w:rPr>
            </w:pPr>
            <w:r>
              <w:rPr>
                <w:rFonts w:ascii="Times New Roman" w:hAnsi="Times New Roman"/>
                <w:sz w:val="24"/>
              </w:rPr>
              <w:t>0120-0270</w:t>
            </w:r>
          </w:p>
        </w:tc>
        <w:tc>
          <w:tcPr>
            <w:tcW w:w="7844" w:type="dxa"/>
          </w:tcPr>
          <w:p w14:paraId="7B9BFDB5" w14:textId="77777777" w:rsidR="00365027" w:rsidRDefault="00365027" w:rsidP="00B23A0D">
            <w:pPr>
              <w:rPr>
                <w:rFonts w:ascii="Times New Roman" w:hAnsi="Times New Roman"/>
                <w:b/>
                <w:bCs/>
                <w:sz w:val="24"/>
                <w:u w:val="single"/>
              </w:rPr>
            </w:pPr>
            <w:r>
              <w:rPr>
                <w:rFonts w:ascii="Times New Roman" w:hAnsi="Times New Roman"/>
                <w:b/>
                <w:bCs/>
                <w:sz w:val="24"/>
                <w:u w:val="single"/>
              </w:rPr>
              <w:t>SA-CVA APPROACH</w:t>
            </w:r>
          </w:p>
          <w:p w14:paraId="2A60F733"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383</w:t>
            </w:r>
            <w:r w:rsidRPr="007B1FA4">
              <w:rPr>
                <w:rFonts w:ascii="Times New Roman" w:hAnsi="Times New Roman"/>
                <w:sz w:val="24"/>
              </w:rPr>
              <w:t xml:space="preserve"> for an institution that meets the condition laid down in </w:t>
            </w:r>
            <w:r>
              <w:rPr>
                <w:rFonts w:ascii="Times New Roman" w:hAnsi="Times New Roman"/>
                <w:sz w:val="24"/>
              </w:rPr>
              <w:t>Article 382a(1)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2DE0E9BC" w14:textId="77777777" w:rsidTr="00660F94">
        <w:trPr>
          <w:cantSplit/>
        </w:trPr>
        <w:tc>
          <w:tcPr>
            <w:tcW w:w="1172" w:type="dxa"/>
          </w:tcPr>
          <w:p w14:paraId="20422DE5" w14:textId="77777777" w:rsidR="00365027" w:rsidRPr="002A677E" w:rsidDel="00024DEA" w:rsidRDefault="00365027" w:rsidP="00B23A0D">
            <w:pPr>
              <w:rPr>
                <w:rFonts w:ascii="Times New Roman" w:hAnsi="Times New Roman"/>
                <w:sz w:val="24"/>
              </w:rPr>
            </w:pPr>
            <w:r>
              <w:rPr>
                <w:rFonts w:ascii="Times New Roman" w:hAnsi="Times New Roman"/>
                <w:sz w:val="24"/>
              </w:rPr>
              <w:t>0120</w:t>
            </w:r>
          </w:p>
        </w:tc>
        <w:tc>
          <w:tcPr>
            <w:tcW w:w="7844" w:type="dxa"/>
          </w:tcPr>
          <w:p w14:paraId="25E7641D" w14:textId="77777777" w:rsidR="00365027" w:rsidRDefault="00365027" w:rsidP="00B23A0D">
            <w:pPr>
              <w:rPr>
                <w:rFonts w:ascii="Times New Roman" w:hAnsi="Times New Roman"/>
                <w:b/>
                <w:bCs/>
                <w:sz w:val="24"/>
                <w:u w:val="single"/>
              </w:rPr>
            </w:pPr>
            <w:r>
              <w:rPr>
                <w:rFonts w:ascii="Times New Roman" w:hAnsi="Times New Roman"/>
                <w:b/>
                <w:bCs/>
                <w:sz w:val="24"/>
                <w:u w:val="single"/>
              </w:rPr>
              <w:t>Notional of CVA hedges</w:t>
            </w:r>
          </w:p>
          <w:p w14:paraId="38F86FAC"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Notional of CVA </w:t>
            </w:r>
            <w:r w:rsidRPr="006E1C89">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4B96B8D2" w14:textId="77777777" w:rsidTr="00660F94">
        <w:trPr>
          <w:cantSplit/>
        </w:trPr>
        <w:tc>
          <w:tcPr>
            <w:tcW w:w="1172" w:type="dxa"/>
          </w:tcPr>
          <w:p w14:paraId="28739961" w14:textId="77777777" w:rsidR="00365027" w:rsidRPr="002A677E" w:rsidDel="00024DEA" w:rsidRDefault="00365027" w:rsidP="00B23A0D">
            <w:pPr>
              <w:rPr>
                <w:rFonts w:ascii="Times New Roman" w:hAnsi="Times New Roman"/>
                <w:sz w:val="24"/>
              </w:rPr>
            </w:pPr>
            <w:r>
              <w:rPr>
                <w:rFonts w:ascii="Times New Roman" w:hAnsi="Times New Roman"/>
                <w:sz w:val="24"/>
              </w:rPr>
              <w:t>0130</w:t>
            </w:r>
          </w:p>
        </w:tc>
        <w:tc>
          <w:tcPr>
            <w:tcW w:w="7844" w:type="dxa"/>
          </w:tcPr>
          <w:p w14:paraId="75CFEE09" w14:textId="77777777" w:rsidR="00365027" w:rsidRPr="002A677E" w:rsidRDefault="00365027" w:rsidP="00B23A0D">
            <w:pPr>
              <w:rPr>
                <w:rFonts w:ascii="Times New Roman" w:hAnsi="Times New Roman"/>
                <w:b/>
                <w:sz w:val="24"/>
                <w:u w:val="single"/>
              </w:rPr>
            </w:pPr>
            <w:r w:rsidRPr="002A677E">
              <w:rPr>
                <w:rFonts w:ascii="Times New Roman" w:hAnsi="Times New Roman"/>
                <w:b/>
                <w:sz w:val="24"/>
                <w:u w:val="single"/>
              </w:rPr>
              <w:t>Number of counterparties</w:t>
            </w:r>
          </w:p>
          <w:p w14:paraId="44EBBA44" w14:textId="77777777" w:rsidR="00365027" w:rsidRPr="002A677E" w:rsidRDefault="00365027" w:rsidP="00B23A0D">
            <w:pPr>
              <w:rPr>
                <w:rFonts w:ascii="Times New Roman" w:hAnsi="Times New Roman"/>
                <w:sz w:val="24"/>
              </w:rPr>
            </w:pPr>
            <w:r w:rsidRPr="002A677E">
              <w:rPr>
                <w:rFonts w:ascii="Times New Roman" w:hAnsi="Times New Roman"/>
                <w:sz w:val="24"/>
              </w:rPr>
              <w:t xml:space="preserve">Article </w:t>
            </w:r>
            <w:r>
              <w:rPr>
                <w:rFonts w:ascii="Times New Roman" w:hAnsi="Times New Roman"/>
                <w:sz w:val="24"/>
              </w:rPr>
              <w:t>445a(1)(c)</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2255AB3B" w14:textId="77777777" w:rsidR="00365027" w:rsidRPr="005C217A" w:rsidDel="00024DEA" w:rsidRDefault="00365027" w:rsidP="00B23A0D">
            <w:pPr>
              <w:rPr>
                <w:rFonts w:ascii="Times New Roman" w:hAnsi="Times New Roman"/>
                <w:sz w:val="24"/>
              </w:rPr>
            </w:pPr>
            <w:r w:rsidRPr="002A677E">
              <w:rPr>
                <w:rFonts w:ascii="Times New Roman" w:hAnsi="Times New Roman"/>
                <w:sz w:val="24"/>
              </w:rPr>
              <w:t>Number of counterparties</w:t>
            </w:r>
            <w:r>
              <w:rPr>
                <w:rFonts w:ascii="Times New Roman" w:hAnsi="Times New Roman"/>
                <w:sz w:val="24"/>
              </w:rPr>
              <w:t xml:space="preserve"> as defined in Article 383(1) of </w:t>
            </w:r>
            <w:r w:rsidRPr="001235ED">
              <w:rPr>
                <w:rFonts w:ascii="Times New Roman" w:hAnsi="Times New Roman"/>
                <w:sz w:val="24"/>
                <w:lang w:val="en-US"/>
              </w:rPr>
              <w:t>Regulation (EU) No 575/2013</w:t>
            </w:r>
            <w:r w:rsidRPr="002A677E">
              <w:rPr>
                <w:rFonts w:ascii="Times New Roman" w:hAnsi="Times New Roman"/>
                <w:sz w:val="24"/>
              </w:rPr>
              <w:t xml:space="preserve"> included in calculation of own funds for </w:t>
            </w:r>
            <w:r>
              <w:rPr>
                <w:rFonts w:ascii="Times New Roman" w:hAnsi="Times New Roman"/>
                <w:sz w:val="24"/>
              </w:rPr>
              <w:t>SA-</w:t>
            </w:r>
            <w:r w:rsidRPr="002A677E">
              <w:rPr>
                <w:rFonts w:ascii="Times New Roman" w:hAnsi="Times New Roman"/>
                <w:sz w:val="24"/>
              </w:rPr>
              <w:t>CVA risk</w:t>
            </w:r>
            <w:r>
              <w:rPr>
                <w:rFonts w:ascii="Times New Roman" w:hAnsi="Times New Roman"/>
                <w:sz w:val="24"/>
              </w:rPr>
              <w:t>. The total number shall be reported in row 0010 and the breakdown by counterparty type in rows 0170-0220.</w:t>
            </w:r>
          </w:p>
        </w:tc>
      </w:tr>
      <w:tr w:rsidR="00365027" w:rsidRPr="002A677E" w14:paraId="25592F6D" w14:textId="77777777" w:rsidTr="00660F94">
        <w:trPr>
          <w:cantSplit/>
        </w:trPr>
        <w:tc>
          <w:tcPr>
            <w:tcW w:w="1172" w:type="dxa"/>
          </w:tcPr>
          <w:p w14:paraId="703D2794" w14:textId="77777777" w:rsidR="00365027" w:rsidRPr="002A677E" w:rsidDel="00024DEA" w:rsidRDefault="00365027" w:rsidP="00B23A0D">
            <w:pPr>
              <w:rPr>
                <w:rFonts w:ascii="Times New Roman" w:hAnsi="Times New Roman"/>
                <w:sz w:val="24"/>
              </w:rPr>
            </w:pPr>
            <w:r>
              <w:rPr>
                <w:rFonts w:ascii="Times New Roman" w:hAnsi="Times New Roman"/>
                <w:sz w:val="24"/>
              </w:rPr>
              <w:t>0140-0250</w:t>
            </w:r>
          </w:p>
        </w:tc>
        <w:tc>
          <w:tcPr>
            <w:tcW w:w="7844" w:type="dxa"/>
          </w:tcPr>
          <w:p w14:paraId="75244A0E"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ts for netting sets under the SA-CVA approach</w:t>
            </w:r>
          </w:p>
          <w:p w14:paraId="0C39ED81"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Own funds requirements for SA-CVA risk in accordance with </w:t>
            </w:r>
            <w:r w:rsidRPr="002A677E">
              <w:rPr>
                <w:rFonts w:ascii="Times New Roman" w:hAnsi="Times New Roman"/>
                <w:sz w:val="24"/>
              </w:rPr>
              <w:t xml:space="preserve">Article </w:t>
            </w:r>
            <w:r>
              <w:rPr>
                <w:rFonts w:ascii="Times New Roman" w:hAnsi="Times New Roman"/>
                <w:sz w:val="24"/>
              </w:rPr>
              <w:t>383</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including a breakdown by risk classes as defined in Article 383(2)(a) and for each of the risk classes the own funds requirements for delta risks and for vega risks as required in Article 383(3) and in accordance with Article 383b 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5700B118" w14:textId="77777777" w:rsidTr="00660F94">
        <w:trPr>
          <w:cantSplit/>
        </w:trPr>
        <w:tc>
          <w:tcPr>
            <w:tcW w:w="1172" w:type="dxa"/>
          </w:tcPr>
          <w:p w14:paraId="697D3FF6" w14:textId="77777777" w:rsidR="00365027" w:rsidRPr="002A677E" w:rsidDel="00024DEA" w:rsidRDefault="00365027" w:rsidP="00B23A0D">
            <w:pPr>
              <w:rPr>
                <w:rFonts w:ascii="Times New Roman" w:hAnsi="Times New Roman"/>
                <w:sz w:val="24"/>
              </w:rPr>
            </w:pPr>
            <w:r>
              <w:rPr>
                <w:rFonts w:ascii="Times New Roman" w:hAnsi="Times New Roman"/>
                <w:sz w:val="24"/>
              </w:rPr>
              <w:t>0140-0150</w:t>
            </w:r>
          </w:p>
        </w:tc>
        <w:tc>
          <w:tcPr>
            <w:tcW w:w="7844" w:type="dxa"/>
          </w:tcPr>
          <w:p w14:paraId="050BB8A2"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interest rate risk</w:t>
            </w:r>
          </w:p>
          <w:p w14:paraId="2DB6C06C"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Articles 383c, 383i, 383j, 383k, 383l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23B1E622" w14:textId="77777777" w:rsidTr="00660F94">
        <w:trPr>
          <w:cantSplit/>
        </w:trPr>
        <w:tc>
          <w:tcPr>
            <w:tcW w:w="1172" w:type="dxa"/>
          </w:tcPr>
          <w:p w14:paraId="5096D8F5" w14:textId="77777777" w:rsidR="00365027" w:rsidRPr="002A677E" w:rsidDel="00024DEA" w:rsidRDefault="00365027" w:rsidP="00B23A0D">
            <w:pPr>
              <w:rPr>
                <w:rFonts w:ascii="Times New Roman" w:hAnsi="Times New Roman"/>
                <w:sz w:val="24"/>
              </w:rPr>
            </w:pPr>
            <w:r>
              <w:rPr>
                <w:rFonts w:ascii="Times New Roman" w:hAnsi="Times New Roman"/>
                <w:sz w:val="24"/>
              </w:rPr>
              <w:t>0160-0170</w:t>
            </w:r>
          </w:p>
        </w:tc>
        <w:tc>
          <w:tcPr>
            <w:tcW w:w="7844" w:type="dxa"/>
          </w:tcPr>
          <w:p w14:paraId="460E16C8"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foreign exchange risk</w:t>
            </w:r>
          </w:p>
          <w:p w14:paraId="258CC017"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lastRenderedPageBreak/>
              <w:t xml:space="preserve">Articles 383d, 383i, 383j, 383m, 383n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0FAFE1F1" w14:textId="77777777" w:rsidTr="00660F94">
        <w:trPr>
          <w:cantSplit/>
        </w:trPr>
        <w:tc>
          <w:tcPr>
            <w:tcW w:w="1172" w:type="dxa"/>
          </w:tcPr>
          <w:p w14:paraId="7AD66D88" w14:textId="77777777" w:rsidR="00365027" w:rsidRPr="002A677E" w:rsidDel="00024DEA" w:rsidRDefault="00365027" w:rsidP="00B23A0D">
            <w:pPr>
              <w:rPr>
                <w:rFonts w:ascii="Times New Roman" w:hAnsi="Times New Roman"/>
                <w:sz w:val="24"/>
              </w:rPr>
            </w:pPr>
            <w:r>
              <w:rPr>
                <w:rFonts w:ascii="Times New Roman" w:hAnsi="Times New Roman"/>
                <w:sz w:val="24"/>
              </w:rPr>
              <w:lastRenderedPageBreak/>
              <w:t>0180-0190</w:t>
            </w:r>
          </w:p>
        </w:tc>
        <w:tc>
          <w:tcPr>
            <w:tcW w:w="7844" w:type="dxa"/>
          </w:tcPr>
          <w:p w14:paraId="0F34E9AE"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counterparty credit spread risk</w:t>
            </w:r>
          </w:p>
          <w:p w14:paraId="7BF561A5"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Articles 383e, 383i, 383j, 383o, 383p, 383q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56BEE17A" w14:textId="77777777" w:rsidTr="00660F94">
        <w:trPr>
          <w:cantSplit/>
        </w:trPr>
        <w:tc>
          <w:tcPr>
            <w:tcW w:w="1172" w:type="dxa"/>
          </w:tcPr>
          <w:p w14:paraId="697B9CB6" w14:textId="77777777" w:rsidR="00365027" w:rsidRPr="002A677E" w:rsidDel="00024DEA" w:rsidRDefault="00365027" w:rsidP="00B23A0D">
            <w:pPr>
              <w:rPr>
                <w:rFonts w:ascii="Times New Roman" w:hAnsi="Times New Roman"/>
                <w:sz w:val="24"/>
              </w:rPr>
            </w:pPr>
            <w:r>
              <w:rPr>
                <w:rFonts w:ascii="Times New Roman" w:hAnsi="Times New Roman"/>
                <w:sz w:val="24"/>
              </w:rPr>
              <w:t>0200-0210</w:t>
            </w:r>
          </w:p>
        </w:tc>
        <w:tc>
          <w:tcPr>
            <w:tcW w:w="7844" w:type="dxa"/>
          </w:tcPr>
          <w:p w14:paraId="4637DADE"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reference credit spread risk</w:t>
            </w:r>
          </w:p>
          <w:p w14:paraId="67D44DF0"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Articles 383f, 383i, 383j, 383r, 383s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3C6D21BA" w14:textId="77777777" w:rsidTr="00660F94">
        <w:trPr>
          <w:cantSplit/>
        </w:trPr>
        <w:tc>
          <w:tcPr>
            <w:tcW w:w="1172" w:type="dxa"/>
          </w:tcPr>
          <w:p w14:paraId="73DCF7BC" w14:textId="77777777" w:rsidR="00365027" w:rsidRDefault="00365027" w:rsidP="00B23A0D">
            <w:pPr>
              <w:rPr>
                <w:rFonts w:ascii="Times New Roman" w:hAnsi="Times New Roman"/>
                <w:sz w:val="24"/>
              </w:rPr>
            </w:pPr>
            <w:r>
              <w:rPr>
                <w:rFonts w:ascii="Times New Roman" w:hAnsi="Times New Roman"/>
                <w:sz w:val="24"/>
              </w:rPr>
              <w:t>0220-0230</w:t>
            </w:r>
          </w:p>
        </w:tc>
        <w:tc>
          <w:tcPr>
            <w:tcW w:w="7844" w:type="dxa"/>
          </w:tcPr>
          <w:p w14:paraId="7F18CF25"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equity risk</w:t>
            </w:r>
          </w:p>
          <w:p w14:paraId="75CFB55A" w14:textId="77777777" w:rsidR="00365027" w:rsidRPr="00460424" w:rsidRDefault="00365027" w:rsidP="00B23A0D">
            <w:pPr>
              <w:rPr>
                <w:rFonts w:ascii="Times New Roman" w:hAnsi="Times New Roman"/>
                <w:b/>
                <w:sz w:val="24"/>
                <w:u w:val="single"/>
              </w:rPr>
            </w:pPr>
            <w:r>
              <w:rPr>
                <w:rFonts w:ascii="Times New Roman" w:hAnsi="Times New Roman"/>
                <w:sz w:val="24"/>
              </w:rPr>
              <w:t xml:space="preserve">Articles 383g, 383i, 383j, 383t, 383u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703B5EEE" w14:textId="77777777" w:rsidTr="00660F94">
        <w:trPr>
          <w:cantSplit/>
        </w:trPr>
        <w:tc>
          <w:tcPr>
            <w:tcW w:w="1172" w:type="dxa"/>
          </w:tcPr>
          <w:p w14:paraId="41B3A2EE" w14:textId="77777777" w:rsidR="00365027" w:rsidRPr="002A677E" w:rsidDel="00024DEA" w:rsidRDefault="00365027" w:rsidP="00B23A0D">
            <w:pPr>
              <w:rPr>
                <w:rFonts w:ascii="Times New Roman" w:hAnsi="Times New Roman"/>
                <w:sz w:val="24"/>
              </w:rPr>
            </w:pPr>
            <w:r>
              <w:rPr>
                <w:rFonts w:ascii="Times New Roman" w:hAnsi="Times New Roman"/>
                <w:sz w:val="24"/>
              </w:rPr>
              <w:t>0240-0250</w:t>
            </w:r>
          </w:p>
        </w:tc>
        <w:tc>
          <w:tcPr>
            <w:tcW w:w="7844" w:type="dxa"/>
          </w:tcPr>
          <w:p w14:paraId="237E4D71" w14:textId="77777777" w:rsidR="00365027" w:rsidRDefault="00365027" w:rsidP="00B23A0D">
            <w:pPr>
              <w:rPr>
                <w:rFonts w:ascii="Times New Roman" w:hAnsi="Times New Roman"/>
                <w:b/>
                <w:sz w:val="24"/>
                <w:u w:val="single"/>
              </w:rPr>
            </w:pP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commodity risk</w:t>
            </w:r>
          </w:p>
          <w:p w14:paraId="3F6DBEBE"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 xml:space="preserve">Articles 383h, 383i, 383j, 383v, 383w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p>
        </w:tc>
      </w:tr>
      <w:tr w:rsidR="00365027" w:rsidRPr="002A677E" w14:paraId="6AD354E7" w14:textId="77777777" w:rsidTr="00660F94">
        <w:trPr>
          <w:cantSplit/>
        </w:trPr>
        <w:tc>
          <w:tcPr>
            <w:tcW w:w="1172" w:type="dxa"/>
          </w:tcPr>
          <w:p w14:paraId="30B5BD7C" w14:textId="77777777" w:rsidR="00365027" w:rsidRPr="002A677E" w:rsidDel="00024DEA" w:rsidRDefault="00365027" w:rsidP="00B23A0D">
            <w:pPr>
              <w:rPr>
                <w:rFonts w:ascii="Times New Roman" w:hAnsi="Times New Roman"/>
                <w:sz w:val="24"/>
              </w:rPr>
            </w:pPr>
            <w:r>
              <w:rPr>
                <w:rFonts w:ascii="Times New Roman" w:hAnsi="Times New Roman"/>
                <w:sz w:val="24"/>
              </w:rPr>
              <w:t>0260</w:t>
            </w:r>
          </w:p>
        </w:tc>
        <w:tc>
          <w:tcPr>
            <w:tcW w:w="7844" w:type="dxa"/>
          </w:tcPr>
          <w:p w14:paraId="4732FC9D" w14:textId="77777777" w:rsidR="00365027" w:rsidRPr="00D143CE" w:rsidRDefault="00365027" w:rsidP="00B23A0D">
            <w:pPr>
              <w:rPr>
                <w:rFonts w:ascii="Times New Roman" w:hAnsi="Times New Roman"/>
                <w:b/>
                <w:sz w:val="24"/>
                <w:u w:val="single"/>
              </w:rPr>
            </w:pPr>
            <w:r w:rsidRPr="005C217A">
              <w:rPr>
                <w:rFonts w:ascii="Times New Roman" w:hAnsi="Times New Roman"/>
                <w:b/>
                <w:i/>
                <w:iCs/>
                <w:sz w:val="24"/>
                <w:u w:val="single"/>
                <w:vertAlign w:val="superscript"/>
              </w:rPr>
              <w:t>m</w:t>
            </w:r>
            <w:r w:rsidRPr="00D143CE">
              <w:rPr>
                <w:rFonts w:ascii="Times New Roman" w:hAnsi="Times New Roman"/>
                <w:b/>
                <w:sz w:val="24"/>
                <w:u w:val="single"/>
              </w:rPr>
              <w:t>CVA</w:t>
            </w:r>
          </w:p>
          <w:p w14:paraId="0A11E037"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V</w:t>
            </w:r>
            <w:r w:rsidRPr="005C217A">
              <w:rPr>
                <w:rFonts w:ascii="Times New Roman" w:hAnsi="Times New Roman"/>
                <w:sz w:val="24"/>
              </w:rPr>
              <w:t xml:space="preserve">alue of the </w:t>
            </w:r>
            <w:r w:rsidRPr="00FC501B">
              <w:rPr>
                <w:rFonts w:ascii="Cambria Math" w:hAnsi="Cambria Math" w:cs="Cambria Math"/>
                <w:sz w:val="24"/>
              </w:rPr>
              <w:t>𝑚𝐶</w:t>
            </w:r>
            <w:r w:rsidRPr="00C71961">
              <w:rPr>
                <w:rFonts w:ascii="Cambria Math" w:hAnsi="Cambria Math" w:cs="Cambria Math"/>
                <w:sz w:val="24"/>
              </w:rPr>
              <w:t>𝑉𝐴</w:t>
            </w:r>
            <w:r w:rsidRPr="00C71961">
              <w:rPr>
                <w:rFonts w:ascii="Times New Roman" w:hAnsi="Times New Roman"/>
                <w:sz w:val="24"/>
              </w:rPr>
              <w:t xml:space="preserve"> multiplier factor </w:t>
            </w:r>
            <w:r>
              <w:rPr>
                <w:rFonts w:ascii="Times New Roman" w:hAnsi="Times New Roman"/>
                <w:sz w:val="24"/>
              </w:rPr>
              <w:t xml:space="preserve">in accordance with </w:t>
            </w:r>
            <w:r w:rsidRPr="004A3647">
              <w:rPr>
                <w:rFonts w:ascii="Times New Roman" w:hAnsi="Times New Roman"/>
                <w:sz w:val="24"/>
              </w:rPr>
              <w:t>Article 383b(8)</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 xml:space="preserve">. </w:t>
            </w:r>
            <w:r>
              <w:rPr>
                <w:rFonts w:ascii="Times New Roman" w:hAnsi="Times New Roman"/>
                <w:sz w:val="24"/>
              </w:rPr>
              <w:t>The value used in the calculation of the own funds requirements shall be reported (value equal to 1 or value increased by the competent authorities).</w:t>
            </w:r>
          </w:p>
        </w:tc>
      </w:tr>
      <w:tr w:rsidR="00365027" w:rsidRPr="002A677E" w14:paraId="6EA69530" w14:textId="77777777" w:rsidTr="00660F94">
        <w:trPr>
          <w:cantSplit/>
        </w:trPr>
        <w:tc>
          <w:tcPr>
            <w:tcW w:w="1172" w:type="dxa"/>
          </w:tcPr>
          <w:p w14:paraId="486D013A" w14:textId="77777777" w:rsidR="00365027" w:rsidRPr="002A677E" w:rsidDel="00024DEA" w:rsidRDefault="00365027" w:rsidP="00B23A0D">
            <w:pPr>
              <w:rPr>
                <w:rFonts w:ascii="Times New Roman" w:hAnsi="Times New Roman"/>
                <w:sz w:val="24"/>
              </w:rPr>
            </w:pPr>
            <w:r>
              <w:rPr>
                <w:rFonts w:ascii="Times New Roman" w:hAnsi="Times New Roman"/>
                <w:sz w:val="24"/>
              </w:rPr>
              <w:t>0270</w:t>
            </w:r>
          </w:p>
        </w:tc>
        <w:tc>
          <w:tcPr>
            <w:tcW w:w="7844" w:type="dxa"/>
          </w:tcPr>
          <w:p w14:paraId="18D4E9B6" w14:textId="77777777" w:rsidR="00365027" w:rsidRDefault="00365027" w:rsidP="00B23A0D">
            <w:pPr>
              <w:rPr>
                <w:rFonts w:ascii="Times New Roman" w:hAnsi="Times New Roman"/>
                <w:b/>
                <w:bCs/>
                <w:sz w:val="24"/>
                <w:u w:val="single"/>
              </w:rPr>
            </w:pPr>
            <w:r>
              <w:rPr>
                <w:rFonts w:ascii="Times New Roman" w:hAnsi="Times New Roman"/>
                <w:b/>
                <w:bCs/>
                <w:sz w:val="24"/>
                <w:u w:val="single"/>
              </w:rPr>
              <w:t>Own funds requirements</w:t>
            </w:r>
          </w:p>
          <w:p w14:paraId="3B16A437"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Own funds requirements for transactions subject to the SA-CVA calculated in accordance with Article 383</w:t>
            </w:r>
            <w:r w:rsidRPr="007B1FA4">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65F6106A" w14:textId="77777777" w:rsidTr="00660F94">
        <w:trPr>
          <w:cantSplit/>
        </w:trPr>
        <w:tc>
          <w:tcPr>
            <w:tcW w:w="1172" w:type="dxa"/>
          </w:tcPr>
          <w:p w14:paraId="07B65005" w14:textId="77777777" w:rsidR="00365027" w:rsidRPr="002A677E" w:rsidDel="00024DEA" w:rsidRDefault="00365027" w:rsidP="00B23A0D">
            <w:pPr>
              <w:rPr>
                <w:rFonts w:ascii="Times New Roman" w:hAnsi="Times New Roman"/>
                <w:sz w:val="24"/>
              </w:rPr>
            </w:pPr>
            <w:r>
              <w:rPr>
                <w:rFonts w:ascii="Times New Roman" w:hAnsi="Times New Roman"/>
                <w:sz w:val="24"/>
              </w:rPr>
              <w:t>0280</w:t>
            </w:r>
          </w:p>
        </w:tc>
        <w:tc>
          <w:tcPr>
            <w:tcW w:w="7844" w:type="dxa"/>
          </w:tcPr>
          <w:p w14:paraId="782893C6" w14:textId="77777777" w:rsidR="00365027" w:rsidRDefault="00365027" w:rsidP="00B23A0D">
            <w:pPr>
              <w:rPr>
                <w:rFonts w:ascii="Times New Roman" w:hAnsi="Times New Roman"/>
                <w:b/>
                <w:bCs/>
                <w:sz w:val="24"/>
                <w:u w:val="single"/>
              </w:rPr>
            </w:pPr>
            <w:r>
              <w:rPr>
                <w:rFonts w:ascii="Times New Roman" w:hAnsi="Times New Roman"/>
                <w:b/>
                <w:bCs/>
                <w:sz w:val="24"/>
                <w:u w:val="single"/>
              </w:rPr>
              <w:t>TOTAL OWN FUNDS REQUIREMENTS</w:t>
            </w:r>
          </w:p>
          <w:p w14:paraId="47BA0977" w14:textId="77777777" w:rsidR="00365027" w:rsidRPr="002A677E" w:rsidRDefault="00365027" w:rsidP="00B23A0D">
            <w:pPr>
              <w:rPr>
                <w:rFonts w:ascii="Times New Roman" w:hAnsi="Times New Roman"/>
                <w:sz w:val="24"/>
              </w:rPr>
            </w:pP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(d)</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70A01DB" w14:textId="77777777" w:rsidR="00365027" w:rsidRPr="002A677E" w:rsidDel="00024DEA" w:rsidRDefault="00365027" w:rsidP="00B23A0D">
            <w:pPr>
              <w:rPr>
                <w:rFonts w:ascii="Times New Roman" w:hAnsi="Times New Roman"/>
                <w:b/>
                <w:sz w:val="24"/>
                <w:u w:val="single"/>
              </w:rPr>
            </w:pPr>
            <w:r>
              <w:rPr>
                <w:rFonts w:ascii="Times New Roman" w:hAnsi="Times New Roman"/>
                <w:sz w:val="24"/>
              </w:rPr>
              <w:t>Total o</w:t>
            </w:r>
            <w:r w:rsidRPr="002A677E">
              <w:rPr>
                <w:rFonts w:ascii="Times New Roman" w:hAnsi="Times New Roman"/>
                <w:sz w:val="24"/>
              </w:rPr>
              <w:t xml:space="preserve">wn funds requirements for CVA Risk </w:t>
            </w:r>
            <w:r>
              <w:rPr>
                <w:rFonts w:ascii="Times New Roman" w:hAnsi="Times New Roman"/>
                <w:sz w:val="24"/>
              </w:rPr>
              <w:t xml:space="preserve">calculated </w:t>
            </w:r>
            <w:r w:rsidRPr="00290C53">
              <w:rPr>
                <w:rFonts w:ascii="Times New Roman" w:hAnsi="Times New Roman"/>
                <w:sz w:val="24"/>
              </w:rPr>
              <w:t>using any of the applicable approaches referred to in Article 382a</w:t>
            </w:r>
            <w:r>
              <w:rPr>
                <w:rFonts w:ascii="Times New Roman" w:hAnsi="Times New Roman"/>
                <w:sz w:val="24"/>
              </w:rPr>
              <w:t xml:space="preserve"> of Regulation (EU) No 575/2013.  In case more than one approach is applied, the simple sum of all own funds requirements of each approach shall be reported.</w:t>
            </w:r>
          </w:p>
        </w:tc>
      </w:tr>
      <w:tr w:rsidR="00365027" w:rsidRPr="002A677E" w14:paraId="4E5E9A6C" w14:textId="77777777" w:rsidTr="00660F94">
        <w:trPr>
          <w:cantSplit/>
        </w:trPr>
        <w:tc>
          <w:tcPr>
            <w:tcW w:w="1172" w:type="dxa"/>
          </w:tcPr>
          <w:p w14:paraId="2BE094E4" w14:textId="77777777" w:rsidR="00365027" w:rsidRPr="002A677E" w:rsidDel="00024DEA" w:rsidRDefault="00365027" w:rsidP="00B23A0D">
            <w:pPr>
              <w:rPr>
                <w:rFonts w:ascii="Times New Roman" w:hAnsi="Times New Roman"/>
                <w:sz w:val="24"/>
              </w:rPr>
            </w:pPr>
            <w:r>
              <w:rPr>
                <w:rFonts w:ascii="Times New Roman" w:hAnsi="Times New Roman"/>
                <w:sz w:val="24"/>
              </w:rPr>
              <w:t>0290</w:t>
            </w:r>
          </w:p>
        </w:tc>
        <w:tc>
          <w:tcPr>
            <w:tcW w:w="7844" w:type="dxa"/>
          </w:tcPr>
          <w:p w14:paraId="61BCB542" w14:textId="77777777" w:rsidR="00365027" w:rsidRDefault="00365027" w:rsidP="00B23A0D">
            <w:pPr>
              <w:rPr>
                <w:rFonts w:ascii="Times New Roman" w:hAnsi="Times New Roman"/>
                <w:b/>
                <w:bCs/>
                <w:sz w:val="24"/>
                <w:u w:val="single"/>
              </w:rPr>
            </w:pPr>
            <w:r>
              <w:rPr>
                <w:rFonts w:ascii="Times New Roman" w:hAnsi="Times New Roman"/>
                <w:b/>
                <w:bCs/>
                <w:sz w:val="24"/>
                <w:u w:val="single"/>
              </w:rPr>
              <w:t>TOTAL RISK EXPOSURE AMOUNTS</w:t>
            </w:r>
          </w:p>
          <w:p w14:paraId="1F829B4A" w14:textId="77777777" w:rsidR="00365027" w:rsidRPr="002A677E" w:rsidRDefault="00365027" w:rsidP="00B23A0D">
            <w:pPr>
              <w:rPr>
                <w:rFonts w:ascii="Times New Roman" w:hAnsi="Times New Roman"/>
                <w:sz w:val="24"/>
              </w:rPr>
            </w:pPr>
            <w:r w:rsidRPr="002A677E">
              <w:rPr>
                <w:rFonts w:ascii="Times New Roman" w:hAnsi="Times New Roman"/>
                <w:sz w:val="24"/>
              </w:rPr>
              <w:t>Article 92(</w:t>
            </w:r>
            <w:r>
              <w:rPr>
                <w:rFonts w:ascii="Times New Roman" w:hAnsi="Times New Roman"/>
                <w:sz w:val="24"/>
              </w:rPr>
              <w:t>7</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08C3873" w14:textId="77777777" w:rsidR="00365027" w:rsidRPr="005C217A" w:rsidDel="00024DEA" w:rsidRDefault="00365027" w:rsidP="00B23A0D">
            <w:pPr>
              <w:rPr>
                <w:rFonts w:ascii="Times New Roman" w:hAnsi="Times New Roman"/>
                <w:bCs/>
                <w:sz w:val="24"/>
              </w:rPr>
            </w:pPr>
            <w:r w:rsidRPr="002A677E">
              <w:rPr>
                <w:rFonts w:ascii="Times New Roman" w:hAnsi="Times New Roman"/>
                <w:sz w:val="24"/>
              </w:rPr>
              <w:t>Own funds requirements multiplied by 12.5.</w:t>
            </w:r>
          </w:p>
        </w:tc>
      </w:tr>
      <w:tr w:rsidR="00365027" w:rsidRPr="002A677E" w14:paraId="0C467E6B" w14:textId="77777777" w:rsidTr="00660F94">
        <w:trPr>
          <w:cantSplit/>
        </w:trPr>
        <w:tc>
          <w:tcPr>
            <w:tcW w:w="9016" w:type="dxa"/>
            <w:gridSpan w:val="2"/>
            <w:tcBorders>
              <w:left w:val="nil"/>
              <w:right w:val="nil"/>
            </w:tcBorders>
            <w:shd w:val="clear" w:color="auto" w:fill="auto"/>
          </w:tcPr>
          <w:p w14:paraId="1E570AD0" w14:textId="77777777" w:rsidR="00365027" w:rsidRDefault="00365027" w:rsidP="00B23A0D">
            <w:pPr>
              <w:rPr>
                <w:rFonts w:ascii="Times New Roman" w:hAnsi="Times New Roman"/>
                <w:b/>
                <w:sz w:val="24"/>
              </w:rPr>
            </w:pPr>
          </w:p>
        </w:tc>
      </w:tr>
      <w:tr w:rsidR="00365027" w:rsidRPr="002A677E" w14:paraId="6B49C58D" w14:textId="77777777" w:rsidTr="00660F94">
        <w:trPr>
          <w:cantSplit/>
        </w:trPr>
        <w:tc>
          <w:tcPr>
            <w:tcW w:w="9016" w:type="dxa"/>
            <w:gridSpan w:val="2"/>
            <w:shd w:val="clear" w:color="auto" w:fill="CCCCCC"/>
          </w:tcPr>
          <w:p w14:paraId="076C92D6" w14:textId="77777777" w:rsidR="00365027" w:rsidRPr="002A677E" w:rsidRDefault="00365027" w:rsidP="00B23A0D">
            <w:pPr>
              <w:rPr>
                <w:rFonts w:ascii="Times New Roman" w:hAnsi="Times New Roman"/>
                <w:b/>
                <w:sz w:val="24"/>
              </w:rPr>
            </w:pPr>
            <w:r>
              <w:rPr>
                <w:rFonts w:ascii="Times New Roman" w:hAnsi="Times New Roman"/>
                <w:b/>
                <w:sz w:val="24"/>
              </w:rPr>
              <w:t>Rows</w:t>
            </w:r>
          </w:p>
        </w:tc>
      </w:tr>
      <w:tr w:rsidR="00365027" w:rsidRPr="002A677E" w14:paraId="442FE6B5" w14:textId="77777777" w:rsidTr="00660F94">
        <w:trPr>
          <w:cantSplit/>
        </w:trPr>
        <w:tc>
          <w:tcPr>
            <w:tcW w:w="1172" w:type="dxa"/>
          </w:tcPr>
          <w:p w14:paraId="082C99B4" w14:textId="77777777" w:rsidR="00365027" w:rsidRPr="002A677E" w:rsidRDefault="00365027" w:rsidP="00B23A0D">
            <w:pPr>
              <w:rPr>
                <w:rFonts w:ascii="Times New Roman" w:hAnsi="Times New Roman"/>
                <w:sz w:val="24"/>
              </w:rPr>
            </w:pPr>
            <w:r>
              <w:rPr>
                <w:rFonts w:ascii="Times New Roman" w:hAnsi="Times New Roman"/>
                <w:sz w:val="24"/>
              </w:rPr>
              <w:t>0010</w:t>
            </w:r>
          </w:p>
        </w:tc>
        <w:tc>
          <w:tcPr>
            <w:tcW w:w="7844" w:type="dxa"/>
          </w:tcPr>
          <w:p w14:paraId="32113C06" w14:textId="77777777" w:rsidR="00365027" w:rsidRPr="005C217A" w:rsidRDefault="00365027" w:rsidP="00B23A0D">
            <w:pPr>
              <w:rPr>
                <w:rFonts w:ascii="Times New Roman" w:hAnsi="Times New Roman"/>
                <w:b/>
                <w:bCs/>
                <w:caps/>
                <w:sz w:val="24"/>
                <w:u w:val="single"/>
              </w:rPr>
            </w:pPr>
            <w:r w:rsidRPr="005C217A">
              <w:rPr>
                <w:rFonts w:ascii="Times New Roman" w:hAnsi="Times New Roman"/>
                <w:b/>
                <w:bCs/>
                <w:caps/>
                <w:sz w:val="24"/>
                <w:u w:val="single"/>
              </w:rPr>
              <w:t>Transactions in scope of the own funds requirement for CVA risk</w:t>
            </w:r>
          </w:p>
          <w:p w14:paraId="5A387D68" w14:textId="77777777" w:rsidR="00365027" w:rsidRPr="00DB28D1" w:rsidRDefault="00365027" w:rsidP="00B23A0D">
            <w:pPr>
              <w:rPr>
                <w:rFonts w:ascii="Times New Roman" w:hAnsi="Times New Roman"/>
                <w:sz w:val="24"/>
              </w:rPr>
            </w:pPr>
            <w:r>
              <w:rPr>
                <w:rFonts w:ascii="Times New Roman" w:hAnsi="Times New Roman"/>
                <w:sz w:val="24"/>
              </w:rPr>
              <w:t xml:space="preserve">Article 382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350D2AC0" w14:textId="77777777" w:rsidTr="00660F94">
        <w:trPr>
          <w:cantSplit/>
        </w:trPr>
        <w:tc>
          <w:tcPr>
            <w:tcW w:w="1172" w:type="dxa"/>
          </w:tcPr>
          <w:p w14:paraId="7CB2851E" w14:textId="77777777" w:rsidR="00365027" w:rsidRPr="002A677E" w:rsidRDefault="00365027" w:rsidP="00B23A0D">
            <w:pPr>
              <w:rPr>
                <w:rFonts w:ascii="Times New Roman" w:hAnsi="Times New Roman"/>
                <w:sz w:val="24"/>
              </w:rPr>
            </w:pPr>
            <w:r>
              <w:rPr>
                <w:rFonts w:ascii="Times New Roman" w:hAnsi="Times New Roman"/>
                <w:sz w:val="24"/>
              </w:rPr>
              <w:t>0020</w:t>
            </w:r>
          </w:p>
        </w:tc>
        <w:tc>
          <w:tcPr>
            <w:tcW w:w="7844" w:type="dxa"/>
          </w:tcPr>
          <w:p w14:paraId="67A9C828"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Of which: derivatives only</w:t>
            </w:r>
          </w:p>
          <w:p w14:paraId="777094E6" w14:textId="77777777" w:rsidR="00365027" w:rsidRPr="002A677E" w:rsidRDefault="00365027" w:rsidP="00B23A0D">
            <w:pPr>
              <w:rPr>
                <w:rFonts w:ascii="Times New Roman" w:hAnsi="Times New Roman"/>
                <w:sz w:val="24"/>
              </w:rPr>
            </w:pPr>
            <w:r>
              <w:rPr>
                <w:rFonts w:ascii="Times New Roman" w:hAnsi="Times New Roman"/>
                <w:sz w:val="24"/>
              </w:rPr>
              <w:lastRenderedPageBreak/>
              <w:t xml:space="preserve">Derivatives in scope of Article 382 </w:t>
            </w:r>
            <w:r w:rsidRPr="001235ED">
              <w:rPr>
                <w:rFonts w:ascii="Times New Roman" w:hAnsi="Times New Roman"/>
                <w:sz w:val="24"/>
                <w:lang w:val="en-US"/>
              </w:rPr>
              <w:t>of Regulation (EU) No 575/2013</w:t>
            </w:r>
            <w:r>
              <w:rPr>
                <w:rFonts w:ascii="Times New Roman" w:hAnsi="Times New Roman"/>
                <w:sz w:val="24"/>
                <w:lang w:val="en-US"/>
              </w:rPr>
              <w:t xml:space="preserve"> (i.e. all transactions reported in row 0010, excluding securities financing transactions).</w:t>
            </w:r>
          </w:p>
        </w:tc>
      </w:tr>
      <w:tr w:rsidR="00365027" w:rsidRPr="002A677E" w14:paraId="6BCE2D51" w14:textId="77777777" w:rsidTr="00660F94">
        <w:trPr>
          <w:cantSplit/>
        </w:trPr>
        <w:tc>
          <w:tcPr>
            <w:tcW w:w="1172" w:type="dxa"/>
          </w:tcPr>
          <w:p w14:paraId="552DD081" w14:textId="77777777" w:rsidR="00365027" w:rsidRPr="002A677E" w:rsidRDefault="00365027" w:rsidP="00B23A0D">
            <w:pPr>
              <w:rPr>
                <w:rFonts w:ascii="Times New Roman" w:hAnsi="Times New Roman"/>
                <w:sz w:val="24"/>
              </w:rPr>
            </w:pPr>
            <w:r>
              <w:rPr>
                <w:rFonts w:ascii="Times New Roman" w:hAnsi="Times New Roman"/>
                <w:sz w:val="24"/>
              </w:rPr>
              <w:lastRenderedPageBreak/>
              <w:t>0030</w:t>
            </w:r>
          </w:p>
        </w:tc>
        <w:tc>
          <w:tcPr>
            <w:tcW w:w="7844" w:type="dxa"/>
          </w:tcPr>
          <w:p w14:paraId="59A4CD03"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Of which:  Otherwise exempted transactions that institutions choose to reintegrate in the calculation of own funds requirements</w:t>
            </w:r>
          </w:p>
          <w:p w14:paraId="2259D85D" w14:textId="77777777" w:rsidR="00365027" w:rsidRPr="002A677E" w:rsidRDefault="00365027" w:rsidP="00B23A0D">
            <w:pPr>
              <w:rPr>
                <w:rFonts w:ascii="Times New Roman" w:hAnsi="Times New Roman"/>
                <w:sz w:val="24"/>
              </w:rPr>
            </w:pPr>
            <w:r>
              <w:rPr>
                <w:rFonts w:ascii="Times New Roman" w:hAnsi="Times New Roman"/>
                <w:sz w:val="24"/>
              </w:rPr>
              <w:t xml:space="preserve">Article </w:t>
            </w:r>
            <w:r w:rsidRPr="008859FB">
              <w:rPr>
                <w:rFonts w:ascii="Times New Roman" w:hAnsi="Times New Roman"/>
                <w:sz w:val="24"/>
              </w:rPr>
              <w:t>382(4a)</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365027" w:rsidRPr="002A677E" w14:paraId="0E21AF38" w14:textId="77777777" w:rsidTr="00660F94">
        <w:trPr>
          <w:cantSplit/>
        </w:trPr>
        <w:tc>
          <w:tcPr>
            <w:tcW w:w="1172" w:type="dxa"/>
          </w:tcPr>
          <w:p w14:paraId="5FAD6BD8" w14:textId="77777777" w:rsidR="00365027" w:rsidRPr="002A677E" w:rsidRDefault="00365027" w:rsidP="00B23A0D">
            <w:pPr>
              <w:rPr>
                <w:rFonts w:ascii="Times New Roman" w:hAnsi="Times New Roman"/>
                <w:sz w:val="24"/>
              </w:rPr>
            </w:pPr>
            <w:r>
              <w:rPr>
                <w:rFonts w:ascii="Times New Roman" w:hAnsi="Times New Roman"/>
                <w:sz w:val="24"/>
              </w:rPr>
              <w:t>0040-0220</w:t>
            </w:r>
          </w:p>
        </w:tc>
        <w:tc>
          <w:tcPr>
            <w:tcW w:w="7844" w:type="dxa"/>
          </w:tcPr>
          <w:p w14:paraId="1B0F1B35" w14:textId="77777777" w:rsidR="00365027" w:rsidRPr="006E1C89" w:rsidRDefault="00365027" w:rsidP="00B23A0D">
            <w:pPr>
              <w:rPr>
                <w:rFonts w:ascii="Times New Roman" w:hAnsi="Times New Roman"/>
                <w:b/>
                <w:bCs/>
                <w:caps/>
                <w:sz w:val="24"/>
                <w:u w:val="single"/>
              </w:rPr>
            </w:pPr>
            <w:r>
              <w:rPr>
                <w:rFonts w:ascii="Times New Roman" w:hAnsi="Times New Roman"/>
                <w:b/>
                <w:bCs/>
                <w:caps/>
                <w:sz w:val="24"/>
                <w:u w:val="single"/>
              </w:rPr>
              <w:t>MEMORANDUM ITEMS</w:t>
            </w:r>
          </w:p>
          <w:p w14:paraId="2D937CA6" w14:textId="77777777" w:rsidR="00365027" w:rsidRPr="002A677E" w:rsidRDefault="00365027" w:rsidP="00B23A0D">
            <w:pPr>
              <w:rPr>
                <w:rFonts w:ascii="Times New Roman" w:hAnsi="Times New Roman"/>
                <w:sz w:val="24"/>
              </w:rPr>
            </w:pPr>
          </w:p>
        </w:tc>
      </w:tr>
      <w:tr w:rsidR="00365027" w:rsidRPr="002A677E" w14:paraId="237E86FF" w14:textId="77777777" w:rsidTr="00660F94">
        <w:trPr>
          <w:cantSplit/>
        </w:trPr>
        <w:tc>
          <w:tcPr>
            <w:tcW w:w="1172" w:type="dxa"/>
          </w:tcPr>
          <w:p w14:paraId="3D4BB2B0" w14:textId="77777777" w:rsidR="00365027" w:rsidRPr="002A677E" w:rsidRDefault="00365027" w:rsidP="00B23A0D">
            <w:pPr>
              <w:rPr>
                <w:rFonts w:ascii="Times New Roman" w:hAnsi="Times New Roman"/>
                <w:sz w:val="24"/>
              </w:rPr>
            </w:pPr>
            <w:r>
              <w:rPr>
                <w:rFonts w:ascii="Times New Roman" w:hAnsi="Times New Roman"/>
                <w:sz w:val="24"/>
              </w:rPr>
              <w:t>0040-0110</w:t>
            </w:r>
          </w:p>
        </w:tc>
        <w:tc>
          <w:tcPr>
            <w:tcW w:w="7844" w:type="dxa"/>
          </w:tcPr>
          <w:p w14:paraId="1C12DE62"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 xml:space="preserve">CVA </w:t>
            </w:r>
            <w:r w:rsidRPr="005C217A">
              <w:rPr>
                <w:rFonts w:ascii="Times New Roman" w:hAnsi="Times New Roman"/>
                <w:b/>
                <w:bCs/>
                <w:caps/>
                <w:sz w:val="24"/>
                <w:u w:val="single"/>
              </w:rPr>
              <w:t>exemptions: marginal impact of reintegration</w:t>
            </w:r>
          </w:p>
          <w:p w14:paraId="1AEA2447" w14:textId="77777777" w:rsidR="00365027" w:rsidRPr="005C217A" w:rsidRDefault="00365027" w:rsidP="00B23A0D">
            <w:pPr>
              <w:rPr>
                <w:rFonts w:ascii="Times New Roman" w:hAnsi="Times New Roman"/>
                <w:sz w:val="24"/>
                <w:lang w:val="en-US"/>
              </w:rPr>
            </w:pPr>
            <w:r>
              <w:rPr>
                <w:rFonts w:ascii="Times New Roman" w:hAnsi="Times New Roman"/>
                <w:sz w:val="24"/>
              </w:rPr>
              <w:t xml:space="preserve">Marginal impact of reintegration of CVA exemptions as defined in Articles </w:t>
            </w:r>
            <w:r w:rsidRPr="00264A88">
              <w:rPr>
                <w:rFonts w:ascii="Times New Roman" w:hAnsi="Times New Roman"/>
                <w:sz w:val="24"/>
              </w:rPr>
              <w:t>382(3) and (4)</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separately for each exemption. The marginal impact is the difference, expressed in absolute amount, between the relevant metric for the scope of transactions referred to in row 0010 after reintegrating the exemption, and the relevant metric for the scope of transactions referred to in row 0010. </w:t>
            </w:r>
            <w:r>
              <w:rPr>
                <w:szCs w:val="20"/>
              </w:rPr>
              <w:t xml:space="preserve"> </w:t>
            </w:r>
          </w:p>
        </w:tc>
      </w:tr>
      <w:tr w:rsidR="00365027" w:rsidRPr="002A677E" w14:paraId="21DEA345" w14:textId="77777777" w:rsidTr="00660F94">
        <w:trPr>
          <w:cantSplit/>
        </w:trPr>
        <w:tc>
          <w:tcPr>
            <w:tcW w:w="1172" w:type="dxa"/>
          </w:tcPr>
          <w:p w14:paraId="480D97E3" w14:textId="77777777" w:rsidR="00365027" w:rsidRPr="002A677E" w:rsidRDefault="00365027" w:rsidP="00B23A0D">
            <w:pPr>
              <w:rPr>
                <w:rFonts w:ascii="Times New Roman" w:hAnsi="Times New Roman"/>
                <w:sz w:val="24"/>
              </w:rPr>
            </w:pPr>
            <w:r>
              <w:rPr>
                <w:rFonts w:ascii="Times New Roman" w:hAnsi="Times New Roman"/>
                <w:sz w:val="24"/>
              </w:rPr>
              <w:t>0040</w:t>
            </w:r>
          </w:p>
        </w:tc>
        <w:tc>
          <w:tcPr>
            <w:tcW w:w="7844" w:type="dxa"/>
          </w:tcPr>
          <w:p w14:paraId="4C88C298" w14:textId="77777777" w:rsidR="00365027" w:rsidRPr="006E1C89" w:rsidRDefault="00365027" w:rsidP="00B23A0D">
            <w:pPr>
              <w:rPr>
                <w:rFonts w:ascii="Times New Roman" w:hAnsi="Times New Roman"/>
                <w:b/>
                <w:bCs/>
                <w:sz w:val="24"/>
                <w:u w:val="single"/>
              </w:rPr>
            </w:pPr>
            <w:r>
              <w:rPr>
                <w:rFonts w:ascii="Times New Roman" w:hAnsi="Times New Roman"/>
                <w:b/>
                <w:bCs/>
                <w:sz w:val="24"/>
                <w:u w:val="single"/>
              </w:rPr>
              <w:t>All transactions exempted</w:t>
            </w:r>
          </w:p>
          <w:p w14:paraId="359E26F9" w14:textId="77777777" w:rsidR="00365027" w:rsidRDefault="00365027" w:rsidP="00B23A0D">
            <w:pPr>
              <w:pStyle w:val="Default"/>
              <w:jc w:val="both"/>
              <w:rPr>
                <w:sz w:val="20"/>
                <w:szCs w:val="20"/>
              </w:rPr>
            </w:pPr>
            <w:r>
              <w:rPr>
                <w:rFonts w:ascii="Times New Roman" w:hAnsi="Times New Roman"/>
              </w:rPr>
              <w:t xml:space="preserve">Marginal impact of reintegration of all CVA exemptions as defined in Articles </w:t>
            </w:r>
            <w:r w:rsidRPr="00264A88">
              <w:rPr>
                <w:rFonts w:ascii="Times New Roman" w:hAnsi="Times New Roman"/>
              </w:rPr>
              <w:t>382(3) and (4)</w:t>
            </w:r>
            <w:r>
              <w:rPr>
                <w:rFonts w:ascii="Times New Roman" w:hAnsi="Times New Roman"/>
              </w:rPr>
              <w:t xml:space="preserve"> </w:t>
            </w:r>
            <w:r w:rsidRPr="001235ED">
              <w:rPr>
                <w:rFonts w:ascii="Times New Roman" w:hAnsi="Times New Roman"/>
                <w:lang w:val="en-US"/>
              </w:rPr>
              <w:t>of Regulation (EU) No 575/2013</w:t>
            </w:r>
            <w:r>
              <w:rPr>
                <w:rFonts w:ascii="Times New Roman" w:hAnsi="Times New Roman"/>
                <w:lang w:val="en-US"/>
              </w:rPr>
              <w:t xml:space="preserve">. </w:t>
            </w:r>
          </w:p>
          <w:p w14:paraId="0F49EB90" w14:textId="77777777" w:rsidR="00365027" w:rsidRPr="008A700D" w:rsidRDefault="00365027" w:rsidP="00B23A0D">
            <w:pPr>
              <w:pStyle w:val="Default"/>
              <w:rPr>
                <w:rFonts w:ascii="Times New Roman" w:hAnsi="Times New Roman"/>
              </w:rPr>
            </w:pPr>
            <w:r w:rsidRPr="005C217A">
              <w:rPr>
                <w:rFonts w:ascii="Times New Roman" w:eastAsia="Times New Roman" w:hAnsi="Times New Roman" w:cs="Times New Roman"/>
                <w:color w:val="auto"/>
                <w:lang w:eastAsia="en-US"/>
              </w:rPr>
              <w:t xml:space="preserve">The scope of transactions should consist of all transactions reported row 0010, disregarding the exemption for client’s transactions with a clearing member mentioned in article 382(3) and </w:t>
            </w:r>
            <w:r>
              <w:rPr>
                <w:rFonts w:ascii="Times New Roman" w:eastAsia="Times New Roman" w:hAnsi="Times New Roman" w:cs="Times New Roman"/>
                <w:color w:val="auto"/>
                <w:lang w:eastAsia="en-US"/>
              </w:rPr>
              <w:t>the</w:t>
            </w:r>
            <w:r w:rsidRPr="005C217A">
              <w:rPr>
                <w:rFonts w:ascii="Times New Roman" w:eastAsia="Times New Roman" w:hAnsi="Times New Roman" w:cs="Times New Roman"/>
                <w:color w:val="auto"/>
                <w:lang w:eastAsia="en-US"/>
              </w:rPr>
              <w:t xml:space="preserve"> exemptions listed in Article 382(4)</w:t>
            </w:r>
            <w:r>
              <w:rPr>
                <w:rFonts w:ascii="Times New Roman" w:eastAsia="Times New Roman" w:hAnsi="Times New Roman" w:cs="Times New Roman"/>
                <w:color w:val="auto"/>
                <w:lang w:eastAsia="en-US"/>
              </w:rPr>
              <w:t>(a), (b) and (d)</w:t>
            </w:r>
            <w:r w:rsidRPr="005C217A">
              <w:rPr>
                <w:rFonts w:ascii="Times New Roman" w:eastAsia="Times New Roman" w:hAnsi="Times New Roman" w:cs="Times New Roman"/>
                <w:color w:val="auto"/>
                <w:lang w:eastAsia="en-US"/>
              </w:rPr>
              <w:t xml:space="preserve">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Specifically, the aforementioned transactions currently excluded from the CVA capital requirements calculation pursuant to these articles should be reintegrated for the purpose of this row. </w:t>
            </w:r>
            <w:r>
              <w:rPr>
                <w:rFonts w:ascii="Times New Roman" w:eastAsia="Times New Roman" w:hAnsi="Times New Roman" w:cs="Times New Roman"/>
                <w:color w:val="auto"/>
                <w:lang w:eastAsia="en-US"/>
              </w:rPr>
              <w:t xml:space="preserve">Transactions mentioned in Article 382(4)(c) are not considered exempted transactions, since the transitional provisions for the application of that exemption expired. </w:t>
            </w:r>
            <w:r w:rsidRPr="005C217A">
              <w:rPr>
                <w:rFonts w:ascii="Times New Roman" w:eastAsia="Times New Roman" w:hAnsi="Times New Roman" w:cs="Times New Roman"/>
                <w:color w:val="auto"/>
                <w:lang w:eastAsia="en-US"/>
              </w:rPr>
              <w:t>With regard to the e</w:t>
            </w:r>
            <w:r>
              <w:rPr>
                <w:rFonts w:ascii="Times New Roman" w:eastAsia="Times New Roman" w:hAnsi="Times New Roman" w:cs="Times New Roman"/>
                <w:color w:val="auto"/>
                <w:lang w:eastAsia="en-US"/>
              </w:rPr>
              <w:t>x</w:t>
            </w:r>
            <w:r w:rsidRPr="005C217A">
              <w:rPr>
                <w:rFonts w:ascii="Times New Roman" w:eastAsia="Times New Roman" w:hAnsi="Times New Roman" w:cs="Times New Roman"/>
                <w:color w:val="auto"/>
                <w:lang w:eastAsia="en-US"/>
              </w:rPr>
              <w:t>emption in Article 382(3)</w:t>
            </w:r>
            <w:r>
              <w:rPr>
                <w:rFonts w:ascii="Times New Roman" w:eastAsia="Times New Roman" w:hAnsi="Times New Roman" w:cs="Times New Roman"/>
                <w:color w:val="auto"/>
                <w:lang w:eastAsia="en-US"/>
              </w:rPr>
              <w:t xml:space="preserve">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w:t>
            </w:r>
            <w:r>
              <w:rPr>
                <w:rFonts w:ascii="Times New Roman" w:eastAsia="Times New Roman" w:hAnsi="Times New Roman" w:cs="Times New Roman"/>
                <w:color w:val="auto"/>
                <w:lang w:eastAsia="en-US"/>
              </w:rPr>
              <w:t>institutions</w:t>
            </w:r>
            <w:r w:rsidRPr="005C217A">
              <w:rPr>
                <w:rFonts w:ascii="Times New Roman" w:eastAsia="Times New Roman" w:hAnsi="Times New Roman" w:cs="Times New Roman"/>
                <w:color w:val="auto"/>
                <w:lang w:eastAsia="en-US"/>
              </w:rPr>
              <w:t xml:space="preserve"> should reintegrate in scope the same transactions that are reintegrated for the purposes of row </w:t>
            </w:r>
            <w:r>
              <w:rPr>
                <w:rFonts w:ascii="Times New Roman" w:eastAsia="Times New Roman" w:hAnsi="Times New Roman" w:cs="Times New Roman"/>
                <w:color w:val="auto"/>
                <w:lang w:eastAsia="en-US"/>
              </w:rPr>
              <w:t>0050.</w:t>
            </w:r>
            <w:r w:rsidRPr="005C217A">
              <w:rPr>
                <w:rFonts w:ascii="Times New Roman" w:eastAsia="Times New Roman" w:hAnsi="Times New Roman" w:cs="Times New Roman"/>
                <w:color w:val="auto"/>
                <w:lang w:eastAsia="en-US"/>
              </w:rPr>
              <w:t xml:space="preserve"> </w:t>
            </w:r>
          </w:p>
        </w:tc>
      </w:tr>
      <w:tr w:rsidR="00365027" w:rsidRPr="002A677E" w14:paraId="740E210F" w14:textId="77777777" w:rsidTr="00660F94">
        <w:trPr>
          <w:cantSplit/>
        </w:trPr>
        <w:tc>
          <w:tcPr>
            <w:tcW w:w="1172" w:type="dxa"/>
          </w:tcPr>
          <w:p w14:paraId="752A4B21" w14:textId="77777777" w:rsidR="00365027" w:rsidRPr="002A677E" w:rsidRDefault="00365027" w:rsidP="00B23A0D">
            <w:pPr>
              <w:rPr>
                <w:rFonts w:ascii="Times New Roman" w:hAnsi="Times New Roman"/>
                <w:sz w:val="24"/>
              </w:rPr>
            </w:pPr>
            <w:r>
              <w:rPr>
                <w:rFonts w:ascii="Times New Roman" w:hAnsi="Times New Roman"/>
                <w:sz w:val="24"/>
              </w:rPr>
              <w:t>0050</w:t>
            </w:r>
          </w:p>
        </w:tc>
        <w:tc>
          <w:tcPr>
            <w:tcW w:w="7844" w:type="dxa"/>
          </w:tcPr>
          <w:p w14:paraId="7291329D" w14:textId="77777777" w:rsidR="00365027" w:rsidRDefault="00365027" w:rsidP="00B23A0D">
            <w:pPr>
              <w:pStyle w:val="Default"/>
              <w:jc w:val="both"/>
              <w:rPr>
                <w:rFonts w:ascii="Times New Roman" w:eastAsia="Times New Roman" w:hAnsi="Times New Roman" w:cs="Times New Roman"/>
                <w:b/>
                <w:bCs/>
                <w:color w:val="auto"/>
                <w:u w:val="single"/>
                <w:lang w:eastAsia="en-US"/>
              </w:rPr>
            </w:pPr>
            <w:r w:rsidRPr="00924279">
              <w:rPr>
                <w:rFonts w:ascii="Times New Roman" w:eastAsia="Times New Roman" w:hAnsi="Times New Roman" w:cs="Times New Roman"/>
                <w:b/>
                <w:bCs/>
                <w:color w:val="auto"/>
                <w:u w:val="single"/>
                <w:lang w:eastAsia="en-US"/>
              </w:rPr>
              <w:t>Client’s transactions</w:t>
            </w:r>
          </w:p>
          <w:p w14:paraId="474F942A" w14:textId="77777777" w:rsidR="00365027" w:rsidRDefault="00365027" w:rsidP="00B23A0D">
            <w:pPr>
              <w:pStyle w:val="Default"/>
              <w:jc w:val="both"/>
              <w:rPr>
                <w:rFonts w:ascii="Times New Roman" w:hAnsi="Times New Roman"/>
                <w:lang w:val="en-US"/>
              </w:rPr>
            </w:pPr>
            <w:r>
              <w:rPr>
                <w:rFonts w:ascii="Times New Roman" w:hAnsi="Times New Roman"/>
              </w:rPr>
              <w:t xml:space="preserve">Marginal impact of reintegration of client’s transactions as defined in Article </w:t>
            </w:r>
            <w:r w:rsidRPr="00264A88">
              <w:rPr>
                <w:rFonts w:ascii="Times New Roman" w:hAnsi="Times New Roman"/>
              </w:rPr>
              <w:t xml:space="preserve">382(3) </w:t>
            </w:r>
            <w:r w:rsidRPr="001235ED">
              <w:rPr>
                <w:rFonts w:ascii="Times New Roman" w:hAnsi="Times New Roman"/>
                <w:lang w:val="en-US"/>
              </w:rPr>
              <w:t>of Regulation (EU) No 575/2013</w:t>
            </w:r>
            <w:r>
              <w:rPr>
                <w:rFonts w:ascii="Times New Roman" w:hAnsi="Times New Roman"/>
                <w:lang w:val="en-US"/>
              </w:rPr>
              <w:t>.</w:t>
            </w:r>
          </w:p>
          <w:p w14:paraId="52F3F516" w14:textId="77777777" w:rsidR="00365027" w:rsidRPr="005C217A" w:rsidRDefault="00365027" w:rsidP="00B23A0D">
            <w:pPr>
              <w:pStyle w:val="Default"/>
              <w:rPr>
                <w:sz w:val="20"/>
                <w:szCs w:val="20"/>
              </w:rPr>
            </w:pPr>
            <w:r w:rsidRPr="005C217A">
              <w:rPr>
                <w:rFonts w:ascii="Times New Roman" w:hAnsi="Times New Roman"/>
              </w:rPr>
              <w:t xml:space="preserve">Marginal impact of reintegrating transactions between a client and a clearing member, when the clearing member is acting as an intermediary between the client and a qualifying central counterparty, which are exempted under Article 382(3) </w:t>
            </w:r>
            <w:r w:rsidRPr="001235ED">
              <w:rPr>
                <w:rFonts w:ascii="Times New Roman" w:hAnsi="Times New Roman"/>
                <w:lang w:val="en-US"/>
              </w:rPr>
              <w:t>of Regulation (EU) No 575/2013</w:t>
            </w:r>
            <w:r>
              <w:rPr>
                <w:rFonts w:ascii="Times New Roman" w:hAnsi="Times New Roman"/>
                <w:lang w:val="en-US"/>
              </w:rPr>
              <w:t xml:space="preserve"> </w:t>
            </w:r>
            <w:r>
              <w:rPr>
                <w:rFonts w:ascii="Times New Roman" w:hAnsi="Times New Roman"/>
              </w:rPr>
              <w:t>from</w:t>
            </w:r>
            <w:r w:rsidRPr="005C217A">
              <w:rPr>
                <w:rFonts w:ascii="Times New Roman" w:hAnsi="Times New Roman"/>
              </w:rPr>
              <w:t xml:space="preserve"> the scope of row 0010. Clients should not re-integrate those transactions when the transaction meet the requirements in Article 305(2), (3) and (4) of </w:t>
            </w:r>
            <w:r>
              <w:rPr>
                <w:rFonts w:ascii="Times New Roman" w:hAnsi="Times New Roman"/>
              </w:rPr>
              <w:t>that Regulation</w:t>
            </w:r>
            <w:r w:rsidRPr="005C217A">
              <w:rPr>
                <w:rFonts w:ascii="Times New Roman" w:hAnsi="Times New Roman"/>
              </w:rPr>
              <w:t xml:space="preserve">. </w:t>
            </w:r>
          </w:p>
        </w:tc>
      </w:tr>
      <w:tr w:rsidR="00365027" w:rsidRPr="002A677E" w14:paraId="3E875812" w14:textId="77777777" w:rsidTr="00660F94">
        <w:trPr>
          <w:cantSplit/>
        </w:trPr>
        <w:tc>
          <w:tcPr>
            <w:tcW w:w="1172" w:type="dxa"/>
          </w:tcPr>
          <w:p w14:paraId="5D173502" w14:textId="77777777" w:rsidR="00365027" w:rsidRPr="002A677E" w:rsidRDefault="00365027" w:rsidP="00B23A0D">
            <w:pPr>
              <w:rPr>
                <w:rFonts w:ascii="Times New Roman" w:hAnsi="Times New Roman"/>
                <w:sz w:val="24"/>
              </w:rPr>
            </w:pPr>
            <w:r>
              <w:rPr>
                <w:rFonts w:ascii="Times New Roman" w:hAnsi="Times New Roman"/>
                <w:sz w:val="24"/>
              </w:rPr>
              <w:t>0060</w:t>
            </w:r>
          </w:p>
        </w:tc>
        <w:tc>
          <w:tcPr>
            <w:tcW w:w="7844" w:type="dxa"/>
          </w:tcPr>
          <w:p w14:paraId="5E59719B" w14:textId="77777777" w:rsidR="00365027" w:rsidRDefault="00365027" w:rsidP="00B23A0D">
            <w:pPr>
              <w:rPr>
                <w:rFonts w:ascii="Times New Roman" w:hAnsi="Times New Roman"/>
                <w:b/>
                <w:bCs/>
                <w:sz w:val="24"/>
                <w:u w:val="single"/>
              </w:rPr>
            </w:pPr>
            <w:r w:rsidRPr="00604229">
              <w:rPr>
                <w:rFonts w:ascii="Times New Roman" w:hAnsi="Times New Roman"/>
                <w:b/>
                <w:bCs/>
                <w:sz w:val="24"/>
                <w:u w:val="single"/>
              </w:rPr>
              <w:t>Transactions with non-financial counterparties</w:t>
            </w:r>
          </w:p>
          <w:p w14:paraId="28682605" w14:textId="77777777" w:rsidR="00365027" w:rsidRPr="002A677E" w:rsidRDefault="00365027" w:rsidP="00B23A0D">
            <w:pPr>
              <w:rPr>
                <w:rFonts w:ascii="Times New Roman" w:hAnsi="Times New Roman"/>
                <w:sz w:val="24"/>
              </w:rPr>
            </w:pPr>
            <w:r w:rsidRPr="005C217A">
              <w:rPr>
                <w:rFonts w:ascii="Times New Roman" w:hAnsi="Times New Roman"/>
                <w:sz w:val="24"/>
                <w:lang w:val="en-US"/>
              </w:rPr>
              <w:t xml:space="preserve">Marginal impact of reintegration of </w:t>
            </w:r>
            <w:r>
              <w:rPr>
                <w:rFonts w:ascii="Times New Roman" w:hAnsi="Times New Roman"/>
                <w:sz w:val="24"/>
                <w:lang w:val="en-US"/>
              </w:rPr>
              <w:t>transactions with non-financial counterparties</w:t>
            </w:r>
            <w:r w:rsidRPr="005C217A">
              <w:rPr>
                <w:rFonts w:ascii="Times New Roman" w:hAnsi="Times New Roman"/>
                <w:sz w:val="24"/>
                <w:lang w:val="en-US"/>
              </w:rPr>
              <w:t xml:space="preserve"> as defined</w:t>
            </w:r>
            <w:r>
              <w:rPr>
                <w:rFonts w:ascii="Times New Roman" w:hAnsi="Times New Roman"/>
                <w:sz w:val="24"/>
              </w:rPr>
              <w:t xml:space="preserve">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(a)</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365027" w:rsidRPr="002A677E" w14:paraId="4DE58A1A" w14:textId="77777777" w:rsidTr="00660F94">
        <w:trPr>
          <w:cantSplit/>
        </w:trPr>
        <w:tc>
          <w:tcPr>
            <w:tcW w:w="1172" w:type="dxa"/>
          </w:tcPr>
          <w:p w14:paraId="694A849A" w14:textId="77777777" w:rsidR="00365027" w:rsidRPr="002A677E" w:rsidRDefault="00365027" w:rsidP="00B23A0D">
            <w:pPr>
              <w:rPr>
                <w:rFonts w:ascii="Times New Roman" w:hAnsi="Times New Roman"/>
                <w:sz w:val="24"/>
              </w:rPr>
            </w:pPr>
            <w:r>
              <w:rPr>
                <w:rFonts w:ascii="Times New Roman" w:hAnsi="Times New Roman"/>
                <w:sz w:val="24"/>
              </w:rPr>
              <w:t>0070</w:t>
            </w:r>
          </w:p>
        </w:tc>
        <w:tc>
          <w:tcPr>
            <w:tcW w:w="7844" w:type="dxa"/>
          </w:tcPr>
          <w:p w14:paraId="6ACDEE85" w14:textId="77777777" w:rsidR="00365027" w:rsidRDefault="00365027" w:rsidP="00B23A0D">
            <w:pPr>
              <w:rPr>
                <w:rFonts w:ascii="Times New Roman" w:hAnsi="Times New Roman"/>
                <w:b/>
                <w:bCs/>
                <w:sz w:val="24"/>
                <w:u w:val="single"/>
              </w:rPr>
            </w:pPr>
            <w:r w:rsidRPr="00062BB9">
              <w:rPr>
                <w:rFonts w:ascii="Times New Roman" w:hAnsi="Times New Roman"/>
                <w:b/>
                <w:bCs/>
                <w:sz w:val="24"/>
                <w:u w:val="single"/>
              </w:rPr>
              <w:t>Transactions with EU non-financial counterparties only</w:t>
            </w:r>
          </w:p>
          <w:p w14:paraId="794457B4" w14:textId="77777777" w:rsidR="00365027" w:rsidRPr="002A677E" w:rsidRDefault="00365027" w:rsidP="00B23A0D">
            <w:pPr>
              <w:rPr>
                <w:rFonts w:ascii="Times New Roman" w:hAnsi="Times New Roman"/>
                <w:sz w:val="24"/>
              </w:rPr>
            </w:pPr>
            <w:r w:rsidRPr="006E1C89">
              <w:rPr>
                <w:rFonts w:ascii="Times New Roman" w:hAnsi="Times New Roman"/>
                <w:sz w:val="24"/>
                <w:lang w:val="en-US"/>
              </w:rPr>
              <w:lastRenderedPageBreak/>
              <w:t xml:space="preserve">Marginal impact of reintegration of </w:t>
            </w:r>
            <w:r>
              <w:rPr>
                <w:rFonts w:ascii="Times New Roman" w:hAnsi="Times New Roman"/>
                <w:sz w:val="24"/>
                <w:lang w:val="en-US"/>
              </w:rPr>
              <w:t xml:space="preserve">transactions with EU non-financial counterparties only. </w:t>
            </w:r>
            <w:r w:rsidRPr="005C217A">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5C217A">
              <w:rPr>
                <w:rFonts w:ascii="Times New Roman" w:hAnsi="Times New Roman"/>
                <w:sz w:val="24"/>
                <w:lang w:val="en-US"/>
              </w:rPr>
              <w:t xml:space="preserve"> row 00</w:t>
            </w:r>
            <w:r>
              <w:rPr>
                <w:rFonts w:ascii="Times New Roman" w:hAnsi="Times New Roman"/>
                <w:sz w:val="24"/>
                <w:lang w:val="en-US"/>
              </w:rPr>
              <w:t>6</w:t>
            </w:r>
            <w:r w:rsidRPr="005C217A">
              <w:rPr>
                <w:rFonts w:ascii="Times New Roman" w:hAnsi="Times New Roman"/>
                <w:sz w:val="24"/>
                <w:lang w:val="en-US"/>
              </w:rPr>
              <w:t xml:space="preserve">0, </w:t>
            </w:r>
            <w:r>
              <w:rPr>
                <w:rFonts w:ascii="Times New Roman" w:hAnsi="Times New Roman"/>
                <w:sz w:val="24"/>
                <w:lang w:val="en-US"/>
              </w:rPr>
              <w:t>less the scope of transactions reported in row 0080</w:t>
            </w:r>
            <w:r w:rsidRPr="005C217A">
              <w:rPr>
                <w:rFonts w:ascii="Times New Roman" w:hAnsi="Times New Roman"/>
                <w:sz w:val="24"/>
                <w:lang w:val="en-US"/>
              </w:rPr>
              <w:t>.</w:t>
            </w:r>
          </w:p>
        </w:tc>
      </w:tr>
      <w:tr w:rsidR="00365027" w:rsidRPr="002A677E" w14:paraId="19E80F14" w14:textId="77777777" w:rsidTr="00660F94">
        <w:trPr>
          <w:cantSplit/>
        </w:trPr>
        <w:tc>
          <w:tcPr>
            <w:tcW w:w="1172" w:type="dxa"/>
          </w:tcPr>
          <w:p w14:paraId="79EFEF11" w14:textId="77777777" w:rsidR="00365027" w:rsidRPr="002A677E" w:rsidRDefault="00365027" w:rsidP="00B23A0D">
            <w:pPr>
              <w:rPr>
                <w:rFonts w:ascii="Times New Roman" w:hAnsi="Times New Roman"/>
                <w:sz w:val="24"/>
              </w:rPr>
            </w:pPr>
            <w:r>
              <w:rPr>
                <w:rFonts w:ascii="Times New Roman" w:hAnsi="Times New Roman"/>
                <w:sz w:val="24"/>
              </w:rPr>
              <w:lastRenderedPageBreak/>
              <w:t>0080</w:t>
            </w:r>
          </w:p>
        </w:tc>
        <w:tc>
          <w:tcPr>
            <w:tcW w:w="7844" w:type="dxa"/>
          </w:tcPr>
          <w:p w14:paraId="04B36766" w14:textId="77777777" w:rsidR="00365027" w:rsidRDefault="00365027" w:rsidP="00B23A0D">
            <w:pPr>
              <w:rPr>
                <w:rFonts w:ascii="Times New Roman" w:hAnsi="Times New Roman"/>
                <w:b/>
                <w:bCs/>
                <w:sz w:val="24"/>
                <w:u w:val="single"/>
              </w:rPr>
            </w:pPr>
            <w:r w:rsidRPr="00B56B48">
              <w:rPr>
                <w:rFonts w:ascii="Times New Roman" w:hAnsi="Times New Roman"/>
                <w:b/>
                <w:bCs/>
                <w:sz w:val="24"/>
                <w:u w:val="single"/>
              </w:rPr>
              <w:t>Transactions with third country non-financial counterparties only</w:t>
            </w:r>
          </w:p>
          <w:p w14:paraId="71927038" w14:textId="77777777" w:rsidR="00365027" w:rsidRPr="002A677E" w:rsidRDefault="00365027" w:rsidP="00B23A0D">
            <w:pPr>
              <w:rPr>
                <w:rFonts w:ascii="Times New Roman" w:hAnsi="Times New Roman"/>
                <w:b/>
                <w:sz w:val="24"/>
                <w:u w:val="single"/>
              </w:rPr>
            </w:pP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third country non-financial counterparties only. </w:t>
            </w:r>
            <w:r w:rsidRPr="006E1C89">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6E1C89">
              <w:rPr>
                <w:rFonts w:ascii="Times New Roman" w:hAnsi="Times New Roman"/>
                <w:sz w:val="24"/>
                <w:lang w:val="en-US"/>
              </w:rPr>
              <w:t xml:space="preserve"> row 00</w:t>
            </w:r>
            <w:r>
              <w:rPr>
                <w:rFonts w:ascii="Times New Roman" w:hAnsi="Times New Roman"/>
                <w:sz w:val="24"/>
                <w:lang w:val="en-US"/>
              </w:rPr>
              <w:t>6</w:t>
            </w:r>
            <w:r w:rsidRPr="006E1C89">
              <w:rPr>
                <w:rFonts w:ascii="Times New Roman" w:hAnsi="Times New Roman"/>
                <w:sz w:val="24"/>
                <w:lang w:val="en-US"/>
              </w:rPr>
              <w:t xml:space="preserve">0, </w:t>
            </w:r>
            <w:r>
              <w:rPr>
                <w:rFonts w:ascii="Times New Roman" w:hAnsi="Times New Roman"/>
                <w:sz w:val="24"/>
                <w:lang w:val="en-US"/>
              </w:rPr>
              <w:t>less the scope of transactions reported in row 0070</w:t>
            </w:r>
            <w:r>
              <w:rPr>
                <w:rFonts w:ascii="Times New Roman" w:hAnsi="Times New Roman"/>
                <w:lang w:val="en-US"/>
              </w:rPr>
              <w:t>.</w:t>
            </w:r>
          </w:p>
        </w:tc>
      </w:tr>
      <w:tr w:rsidR="00365027" w:rsidRPr="002A677E" w14:paraId="41525F35" w14:textId="77777777" w:rsidTr="00660F94">
        <w:trPr>
          <w:cantSplit/>
        </w:trPr>
        <w:tc>
          <w:tcPr>
            <w:tcW w:w="1172" w:type="dxa"/>
          </w:tcPr>
          <w:p w14:paraId="76973A1E" w14:textId="77777777" w:rsidR="00365027" w:rsidRPr="002A677E" w:rsidRDefault="00365027" w:rsidP="00B23A0D">
            <w:pPr>
              <w:rPr>
                <w:rFonts w:ascii="Times New Roman" w:hAnsi="Times New Roman"/>
                <w:sz w:val="24"/>
              </w:rPr>
            </w:pPr>
            <w:r>
              <w:rPr>
                <w:rFonts w:ascii="Times New Roman" w:hAnsi="Times New Roman"/>
                <w:sz w:val="24"/>
              </w:rPr>
              <w:t>0090</w:t>
            </w:r>
          </w:p>
        </w:tc>
        <w:tc>
          <w:tcPr>
            <w:tcW w:w="7844" w:type="dxa"/>
          </w:tcPr>
          <w:p w14:paraId="229D9885" w14:textId="77777777" w:rsidR="00365027" w:rsidRDefault="00365027" w:rsidP="00B23A0D">
            <w:pPr>
              <w:rPr>
                <w:rFonts w:ascii="Times New Roman" w:hAnsi="Times New Roman"/>
                <w:b/>
                <w:bCs/>
                <w:sz w:val="24"/>
                <w:u w:val="single"/>
              </w:rPr>
            </w:pPr>
            <w:r w:rsidRPr="005C4AA2">
              <w:rPr>
                <w:rFonts w:ascii="Times New Roman" w:hAnsi="Times New Roman"/>
                <w:b/>
                <w:bCs/>
                <w:sz w:val="24"/>
                <w:u w:val="single"/>
              </w:rPr>
              <w:t>Intragroup transactions</w:t>
            </w:r>
          </w:p>
          <w:p w14:paraId="12F0F778" w14:textId="77777777" w:rsidR="00365027" w:rsidRPr="002A677E" w:rsidRDefault="00365027" w:rsidP="00B23A0D">
            <w:pPr>
              <w:rPr>
                <w:rFonts w:ascii="Times New Roman" w:hAnsi="Times New Roman"/>
                <w:sz w:val="24"/>
              </w:rPr>
            </w:pPr>
            <w:r>
              <w:rPr>
                <w:rFonts w:ascii="Times New Roman" w:hAnsi="Times New Roman"/>
                <w:sz w:val="24"/>
              </w:rPr>
              <w:t xml:space="preserve">Marginal impact of reintegration of intragroup </w:t>
            </w:r>
            <w:r w:rsidRPr="005C217A">
              <w:rPr>
                <w:rFonts w:ascii="Times New Roman" w:hAnsi="Times New Roman"/>
                <w:sz w:val="24"/>
              </w:rPr>
              <w:t xml:space="preserve">transactions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(b)</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365027" w:rsidRPr="002A677E" w14:paraId="577028F6" w14:textId="77777777" w:rsidTr="00660F94">
        <w:trPr>
          <w:cantSplit/>
        </w:trPr>
        <w:tc>
          <w:tcPr>
            <w:tcW w:w="1172" w:type="dxa"/>
          </w:tcPr>
          <w:p w14:paraId="101B38F7" w14:textId="2EA658D3" w:rsidR="00365027" w:rsidRPr="002A677E" w:rsidRDefault="00365027" w:rsidP="00B23A0D">
            <w:pPr>
              <w:rPr>
                <w:rFonts w:ascii="Times New Roman" w:hAnsi="Times New Roman"/>
                <w:sz w:val="24"/>
              </w:rPr>
            </w:pPr>
            <w:r>
              <w:rPr>
                <w:rFonts w:ascii="Times New Roman" w:hAnsi="Times New Roman"/>
                <w:sz w:val="24"/>
              </w:rPr>
              <w:t>01</w:t>
            </w:r>
            <w:r w:rsidR="005E6318">
              <w:rPr>
                <w:rFonts w:ascii="Times New Roman" w:hAnsi="Times New Roman"/>
                <w:sz w:val="24"/>
              </w:rPr>
              <w:t>0</w:t>
            </w:r>
            <w:r>
              <w:rPr>
                <w:rFonts w:ascii="Times New Roman" w:hAnsi="Times New Roman"/>
                <w:sz w:val="24"/>
              </w:rPr>
              <w:t>0</w:t>
            </w:r>
          </w:p>
        </w:tc>
        <w:tc>
          <w:tcPr>
            <w:tcW w:w="7844" w:type="dxa"/>
          </w:tcPr>
          <w:p w14:paraId="7F6524DB" w14:textId="77777777" w:rsidR="00365027" w:rsidRDefault="00365027" w:rsidP="00B23A0D">
            <w:pPr>
              <w:rPr>
                <w:rFonts w:ascii="Times New Roman" w:hAnsi="Times New Roman"/>
                <w:b/>
                <w:bCs/>
                <w:sz w:val="24"/>
                <w:u w:val="single"/>
              </w:rPr>
            </w:pPr>
            <w:r w:rsidRPr="00AA44FD">
              <w:rPr>
                <w:rFonts w:ascii="Times New Roman" w:hAnsi="Times New Roman"/>
                <w:b/>
                <w:bCs/>
                <w:sz w:val="24"/>
                <w:u w:val="single"/>
              </w:rPr>
              <w:t>Transactions with sovereign counterparties</w:t>
            </w:r>
          </w:p>
          <w:p w14:paraId="6643F08C" w14:textId="77777777" w:rsidR="00365027" w:rsidRPr="002A677E" w:rsidRDefault="00365027" w:rsidP="00B23A0D">
            <w:pPr>
              <w:rPr>
                <w:rFonts w:ascii="Times New Roman" w:hAnsi="Times New Roman"/>
                <w:sz w:val="24"/>
              </w:rPr>
            </w:pP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sovereign counterparties</w:t>
            </w:r>
            <w:r w:rsidRPr="005C217A">
              <w:rPr>
                <w:rFonts w:ascii="Times New Roman" w:hAnsi="Times New Roman"/>
                <w:sz w:val="24"/>
              </w:rPr>
              <w:t xml:space="preserve">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(d)</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p>
        </w:tc>
      </w:tr>
      <w:tr w:rsidR="00365027" w:rsidRPr="002A677E" w14:paraId="54A3586D" w14:textId="77777777" w:rsidTr="00660F94">
        <w:trPr>
          <w:cantSplit/>
        </w:trPr>
        <w:tc>
          <w:tcPr>
            <w:tcW w:w="1172" w:type="dxa"/>
          </w:tcPr>
          <w:p w14:paraId="04E05A1C" w14:textId="7A007A0A" w:rsidR="00365027" w:rsidRPr="002A677E" w:rsidRDefault="00365027" w:rsidP="00B23A0D">
            <w:pPr>
              <w:rPr>
                <w:rFonts w:ascii="Times New Roman" w:hAnsi="Times New Roman"/>
                <w:sz w:val="24"/>
              </w:rPr>
            </w:pPr>
            <w:r>
              <w:rPr>
                <w:rFonts w:ascii="Times New Roman" w:hAnsi="Times New Roman"/>
                <w:sz w:val="24"/>
              </w:rPr>
              <w:t>01</w:t>
            </w:r>
            <w:r w:rsidR="005E6318">
              <w:rPr>
                <w:rFonts w:ascii="Times New Roman" w:hAnsi="Times New Roman"/>
                <w:sz w:val="24"/>
              </w:rPr>
              <w:t>1</w:t>
            </w:r>
            <w:r>
              <w:rPr>
                <w:rFonts w:ascii="Times New Roman" w:hAnsi="Times New Roman"/>
                <w:sz w:val="24"/>
              </w:rPr>
              <w:t>0</w:t>
            </w:r>
          </w:p>
        </w:tc>
        <w:tc>
          <w:tcPr>
            <w:tcW w:w="7844" w:type="dxa"/>
          </w:tcPr>
          <w:p w14:paraId="2DED9780" w14:textId="77777777" w:rsidR="00365027" w:rsidRPr="005C217A" w:rsidRDefault="00365027" w:rsidP="00B23A0D">
            <w:pPr>
              <w:rPr>
                <w:rFonts w:ascii="Times New Roman" w:hAnsi="Times New Roman"/>
                <w:b/>
                <w:bCs/>
                <w:caps/>
                <w:sz w:val="24"/>
                <w:u w:val="single"/>
              </w:rPr>
            </w:pPr>
            <w:r w:rsidRPr="005C217A">
              <w:rPr>
                <w:rFonts w:ascii="Times New Roman" w:hAnsi="Times New Roman"/>
                <w:b/>
                <w:bCs/>
                <w:caps/>
                <w:sz w:val="24"/>
                <w:u w:val="single"/>
              </w:rPr>
              <w:t>CVA hedges of exempted transaction</w:t>
            </w:r>
            <w:r>
              <w:rPr>
                <w:rFonts w:ascii="Times New Roman" w:hAnsi="Times New Roman"/>
                <w:b/>
                <w:bCs/>
                <w:caps/>
                <w:sz w:val="24"/>
                <w:u w:val="single"/>
              </w:rPr>
              <w:t xml:space="preserve">s not included in scope of cva </w:t>
            </w:r>
          </w:p>
          <w:p w14:paraId="0ED9CD3D" w14:textId="77777777" w:rsidR="00365027" w:rsidRPr="002A677E" w:rsidRDefault="00365027" w:rsidP="00B23A0D">
            <w:pPr>
              <w:rPr>
                <w:rFonts w:ascii="Times New Roman" w:hAnsi="Times New Roman"/>
                <w:sz w:val="24"/>
              </w:rPr>
            </w:pPr>
            <w:r w:rsidRPr="00072833">
              <w:rPr>
                <w:rFonts w:ascii="Times New Roman" w:hAnsi="Times New Roman"/>
                <w:sz w:val="24"/>
              </w:rPr>
              <w:t>CVA hedges of exempted transactions that are not included in the scope of own funds requirements for CVA risk and are subject to capital requirements for market risk</w:t>
            </w:r>
            <w:r w:rsidRPr="005C217A">
              <w:rPr>
                <w:rFonts w:ascii="Times New Roman" w:hAnsi="Times New Roman"/>
                <w:sz w:val="24"/>
              </w:rPr>
              <w:t xml:space="preserve">. </w:t>
            </w:r>
          </w:p>
        </w:tc>
      </w:tr>
      <w:tr w:rsidR="00365027" w:rsidRPr="002A677E" w14:paraId="4E523726" w14:textId="77777777" w:rsidTr="00660F94">
        <w:trPr>
          <w:cantSplit/>
        </w:trPr>
        <w:tc>
          <w:tcPr>
            <w:tcW w:w="1172" w:type="dxa"/>
          </w:tcPr>
          <w:p w14:paraId="19844171" w14:textId="325FA0CD" w:rsidR="00365027" w:rsidRPr="002A677E" w:rsidRDefault="00365027" w:rsidP="00B23A0D">
            <w:pPr>
              <w:rPr>
                <w:rFonts w:ascii="Times New Roman" w:hAnsi="Times New Roman"/>
                <w:sz w:val="24"/>
              </w:rPr>
            </w:pPr>
            <w:r>
              <w:rPr>
                <w:rFonts w:ascii="Times New Roman" w:hAnsi="Times New Roman"/>
                <w:sz w:val="24"/>
              </w:rPr>
              <w:t>01</w:t>
            </w:r>
            <w:r w:rsidR="005E6318">
              <w:rPr>
                <w:rFonts w:ascii="Times New Roman" w:hAnsi="Times New Roman"/>
                <w:sz w:val="24"/>
              </w:rPr>
              <w:t>2</w:t>
            </w:r>
            <w:r>
              <w:rPr>
                <w:rFonts w:ascii="Times New Roman" w:hAnsi="Times New Roman"/>
                <w:sz w:val="24"/>
              </w:rPr>
              <w:t>0</w:t>
            </w:r>
          </w:p>
        </w:tc>
        <w:tc>
          <w:tcPr>
            <w:tcW w:w="7844" w:type="dxa"/>
          </w:tcPr>
          <w:p w14:paraId="01CF387D" w14:textId="77777777" w:rsidR="00365027" w:rsidRPr="005C217A" w:rsidRDefault="00365027" w:rsidP="00B23A0D">
            <w:pPr>
              <w:rPr>
                <w:rFonts w:ascii="Times New Roman" w:hAnsi="Times New Roman"/>
                <w:b/>
                <w:bCs/>
                <w:caps/>
                <w:sz w:val="24"/>
                <w:u w:val="single"/>
              </w:rPr>
            </w:pPr>
            <w:r w:rsidRPr="005C217A">
              <w:rPr>
                <w:rFonts w:ascii="Times New Roman" w:hAnsi="Times New Roman"/>
                <w:b/>
                <w:bCs/>
                <w:sz w:val="24"/>
                <w:u w:val="single"/>
              </w:rPr>
              <w:t>SFT</w:t>
            </w:r>
            <w:r>
              <w:rPr>
                <w:rFonts w:ascii="Times New Roman" w:hAnsi="Times New Roman"/>
                <w:b/>
                <w:bCs/>
                <w:sz w:val="24"/>
                <w:u w:val="single"/>
              </w:rPr>
              <w:t>s</w:t>
            </w:r>
            <w:r w:rsidRPr="005C217A">
              <w:rPr>
                <w:rFonts w:ascii="Times New Roman" w:hAnsi="Times New Roman"/>
                <w:b/>
                <w:bCs/>
                <w:caps/>
                <w:sz w:val="24"/>
                <w:u w:val="single"/>
              </w:rPr>
              <w:t xml:space="preserve"> that are fair-valued for accounting purposes</w:t>
            </w:r>
          </w:p>
          <w:p w14:paraId="05B6BBE0" w14:textId="77777777" w:rsidR="00365027" w:rsidRPr="002A677E" w:rsidRDefault="00365027" w:rsidP="00B23A0D">
            <w:pPr>
              <w:rPr>
                <w:rFonts w:ascii="Times New Roman" w:hAnsi="Times New Roman"/>
                <w:sz w:val="24"/>
              </w:rPr>
            </w:pPr>
            <w:r w:rsidRPr="00A725FA">
              <w:rPr>
                <w:rFonts w:ascii="Times New Roman" w:hAnsi="Times New Roman"/>
                <w:sz w:val="24"/>
              </w:rPr>
              <w:t>All SFTs that are fair-valued for accounting purposes, irrespective of whether the CVA risk exposures arising from them are material.</w:t>
            </w:r>
          </w:p>
        </w:tc>
      </w:tr>
      <w:tr w:rsidR="00365027" w:rsidRPr="002A677E" w14:paraId="1AF29A81" w14:textId="77777777" w:rsidTr="00660F94">
        <w:trPr>
          <w:cantSplit/>
        </w:trPr>
        <w:tc>
          <w:tcPr>
            <w:tcW w:w="1172" w:type="dxa"/>
          </w:tcPr>
          <w:p w14:paraId="431A952C" w14:textId="13E5BAF3" w:rsidR="00365027" w:rsidRPr="002A677E" w:rsidRDefault="00365027" w:rsidP="00B23A0D">
            <w:pPr>
              <w:rPr>
                <w:rFonts w:ascii="Times New Roman" w:hAnsi="Times New Roman"/>
                <w:sz w:val="24"/>
              </w:rPr>
            </w:pPr>
            <w:r>
              <w:rPr>
                <w:rFonts w:ascii="Times New Roman" w:hAnsi="Times New Roman"/>
                <w:sz w:val="24"/>
              </w:rPr>
              <w:t>01</w:t>
            </w:r>
            <w:r w:rsidR="005E6318">
              <w:rPr>
                <w:rFonts w:ascii="Times New Roman" w:hAnsi="Times New Roman"/>
                <w:sz w:val="24"/>
              </w:rPr>
              <w:t>3</w:t>
            </w:r>
            <w:r>
              <w:rPr>
                <w:rFonts w:ascii="Times New Roman" w:hAnsi="Times New Roman"/>
                <w:sz w:val="24"/>
              </w:rPr>
              <w:t>0-01</w:t>
            </w:r>
            <w:r w:rsidR="005E6318">
              <w:rPr>
                <w:rFonts w:ascii="Times New Roman" w:hAnsi="Times New Roman"/>
                <w:sz w:val="24"/>
              </w:rPr>
              <w:t>5</w:t>
            </w:r>
            <w:r>
              <w:rPr>
                <w:rFonts w:ascii="Times New Roman" w:hAnsi="Times New Roman"/>
                <w:sz w:val="24"/>
              </w:rPr>
              <w:t>0</w:t>
            </w:r>
          </w:p>
        </w:tc>
        <w:tc>
          <w:tcPr>
            <w:tcW w:w="7844" w:type="dxa"/>
          </w:tcPr>
          <w:p w14:paraId="6DD98482" w14:textId="77777777" w:rsidR="00365027" w:rsidRDefault="00365027" w:rsidP="00B23A0D">
            <w:pPr>
              <w:rPr>
                <w:rFonts w:ascii="Times New Roman" w:hAnsi="Times New Roman"/>
                <w:b/>
                <w:bCs/>
                <w:caps/>
                <w:sz w:val="24"/>
                <w:u w:val="single"/>
              </w:rPr>
            </w:pPr>
            <w:r w:rsidRPr="005C217A">
              <w:rPr>
                <w:rFonts w:ascii="Times New Roman" w:hAnsi="Times New Roman"/>
                <w:b/>
                <w:bCs/>
                <w:caps/>
                <w:sz w:val="24"/>
                <w:u w:val="single"/>
              </w:rPr>
              <w:t>CVA hedges</w:t>
            </w:r>
          </w:p>
          <w:p w14:paraId="4CBD7306" w14:textId="77777777" w:rsidR="00365027" w:rsidRPr="005C217A" w:rsidRDefault="00365027" w:rsidP="00B23A0D">
            <w:pPr>
              <w:rPr>
                <w:rFonts w:ascii="Times New Roman" w:hAnsi="Times New Roman"/>
                <w:b/>
                <w:bCs/>
                <w:caps/>
                <w:sz w:val="24"/>
                <w:u w:val="single"/>
              </w:rPr>
            </w:pPr>
            <w:r w:rsidRPr="006E1C89">
              <w:rPr>
                <w:rFonts w:ascii="Times New Roman" w:hAnsi="Times New Roman"/>
                <w:sz w:val="24"/>
                <w:lang w:val="en-US"/>
              </w:rPr>
              <w:t>Article 386</w:t>
            </w:r>
            <w:r>
              <w:rPr>
                <w:rFonts w:ascii="Times New Roman" w:hAnsi="Times New Roman"/>
                <w:sz w:val="24"/>
                <w:lang w:val="en-US"/>
              </w:rPr>
              <w:t xml:space="preserve"> </w:t>
            </w:r>
            <w:r w:rsidRPr="001235ED">
              <w:rPr>
                <w:rFonts w:ascii="Times New Roman" w:hAnsi="Times New Roman"/>
                <w:sz w:val="24"/>
                <w:lang w:val="en-US"/>
              </w:rPr>
              <w:t xml:space="preserve">of </w:t>
            </w:r>
            <w:r w:rsidRPr="00D26DDD">
              <w:rPr>
                <w:rFonts w:ascii="Times New Roman" w:hAnsi="Times New Roman"/>
                <w:sz w:val="24"/>
                <w:lang w:val="en-US"/>
              </w:rPr>
              <w:t>Regulation (</w:t>
            </w:r>
            <w:r w:rsidRPr="001235ED">
              <w:rPr>
                <w:rFonts w:ascii="Times New Roman" w:hAnsi="Times New Roman"/>
                <w:sz w:val="24"/>
                <w:lang w:val="en-US"/>
              </w:rPr>
              <w:t>EU) No 575/2013</w:t>
            </w:r>
            <w:r>
              <w:rPr>
                <w:rFonts w:ascii="Times New Roman" w:hAnsi="Times New Roman"/>
                <w:sz w:val="24"/>
                <w:lang w:val="en-US"/>
              </w:rPr>
              <w:t>.</w:t>
            </w:r>
          </w:p>
        </w:tc>
      </w:tr>
      <w:tr w:rsidR="00365027" w:rsidRPr="002A677E" w14:paraId="35063B6B" w14:textId="77777777" w:rsidTr="00660F94">
        <w:trPr>
          <w:cantSplit/>
        </w:trPr>
        <w:tc>
          <w:tcPr>
            <w:tcW w:w="1172" w:type="dxa"/>
          </w:tcPr>
          <w:p w14:paraId="681DFADD" w14:textId="05723962"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3</w:t>
            </w:r>
            <w:r>
              <w:rPr>
                <w:rFonts w:ascii="Times New Roman" w:hAnsi="Times New Roman"/>
                <w:sz w:val="24"/>
              </w:rPr>
              <w:t>0</w:t>
            </w:r>
          </w:p>
        </w:tc>
        <w:tc>
          <w:tcPr>
            <w:tcW w:w="7844" w:type="dxa"/>
          </w:tcPr>
          <w:p w14:paraId="612DCC5F"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Single name CDS</w:t>
            </w:r>
          </w:p>
        </w:tc>
      </w:tr>
      <w:tr w:rsidR="00365027" w:rsidRPr="002A677E" w14:paraId="7DE26FE4" w14:textId="77777777" w:rsidTr="00660F94">
        <w:trPr>
          <w:cantSplit/>
        </w:trPr>
        <w:tc>
          <w:tcPr>
            <w:tcW w:w="1172" w:type="dxa"/>
          </w:tcPr>
          <w:p w14:paraId="4B2248B8" w14:textId="03170A62"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4</w:t>
            </w:r>
            <w:r>
              <w:rPr>
                <w:rFonts w:ascii="Times New Roman" w:hAnsi="Times New Roman"/>
                <w:sz w:val="24"/>
              </w:rPr>
              <w:t>0</w:t>
            </w:r>
          </w:p>
        </w:tc>
        <w:tc>
          <w:tcPr>
            <w:tcW w:w="7844" w:type="dxa"/>
          </w:tcPr>
          <w:p w14:paraId="7D4C944E"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Index CDS</w:t>
            </w:r>
          </w:p>
        </w:tc>
      </w:tr>
      <w:tr w:rsidR="00365027" w:rsidRPr="002A677E" w14:paraId="5E312F8F" w14:textId="77777777" w:rsidTr="00660F94">
        <w:trPr>
          <w:cantSplit/>
        </w:trPr>
        <w:tc>
          <w:tcPr>
            <w:tcW w:w="1172" w:type="dxa"/>
          </w:tcPr>
          <w:p w14:paraId="72EB6BE5" w14:textId="7357657B"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5</w:t>
            </w:r>
            <w:r>
              <w:rPr>
                <w:rFonts w:ascii="Times New Roman" w:hAnsi="Times New Roman"/>
                <w:sz w:val="24"/>
              </w:rPr>
              <w:t>0</w:t>
            </w:r>
          </w:p>
        </w:tc>
        <w:tc>
          <w:tcPr>
            <w:tcW w:w="7844" w:type="dxa"/>
          </w:tcPr>
          <w:p w14:paraId="4C9729F3"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Other derivatives classified as CVA risk hedges</w:t>
            </w:r>
          </w:p>
        </w:tc>
      </w:tr>
      <w:tr w:rsidR="00365027" w:rsidRPr="002A677E" w14:paraId="6D99D954" w14:textId="77777777" w:rsidTr="00660F94">
        <w:trPr>
          <w:cantSplit/>
        </w:trPr>
        <w:tc>
          <w:tcPr>
            <w:tcW w:w="1172" w:type="dxa"/>
          </w:tcPr>
          <w:p w14:paraId="1FFA6A73" w14:textId="336E8DF1"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6</w:t>
            </w:r>
            <w:r>
              <w:rPr>
                <w:rFonts w:ascii="Times New Roman" w:hAnsi="Times New Roman"/>
                <w:sz w:val="24"/>
              </w:rPr>
              <w:t>0-02</w:t>
            </w:r>
            <w:r w:rsidR="00994E26">
              <w:rPr>
                <w:rFonts w:ascii="Times New Roman" w:hAnsi="Times New Roman"/>
                <w:sz w:val="24"/>
              </w:rPr>
              <w:t>1</w:t>
            </w:r>
            <w:r>
              <w:rPr>
                <w:rFonts w:ascii="Times New Roman" w:hAnsi="Times New Roman"/>
                <w:sz w:val="24"/>
              </w:rPr>
              <w:t>0</w:t>
            </w:r>
          </w:p>
        </w:tc>
        <w:tc>
          <w:tcPr>
            <w:tcW w:w="7844" w:type="dxa"/>
          </w:tcPr>
          <w:p w14:paraId="64D28E06" w14:textId="77777777" w:rsidR="00365027" w:rsidRPr="005C217A" w:rsidRDefault="00365027" w:rsidP="00B23A0D">
            <w:pPr>
              <w:rPr>
                <w:rFonts w:ascii="Times New Roman" w:hAnsi="Times New Roman"/>
                <w:b/>
                <w:bCs/>
                <w:caps/>
                <w:sz w:val="24"/>
                <w:u w:val="single"/>
              </w:rPr>
            </w:pPr>
            <w:r w:rsidRPr="005C217A">
              <w:rPr>
                <w:rFonts w:ascii="Times New Roman" w:hAnsi="Times New Roman"/>
                <w:b/>
                <w:bCs/>
                <w:caps/>
                <w:sz w:val="24"/>
                <w:u w:val="single"/>
              </w:rPr>
              <w:t>Counterparty types of transactions subject to the SA-CVA approach</w:t>
            </w:r>
          </w:p>
          <w:p w14:paraId="7C9F6A9F" w14:textId="77777777" w:rsidR="00365027" w:rsidRDefault="00365027" w:rsidP="00B23A0D">
            <w:pPr>
              <w:rPr>
                <w:rFonts w:ascii="Times New Roman" w:hAnsi="Times New Roman"/>
                <w:sz w:val="24"/>
                <w:lang w:val="en-US"/>
              </w:rPr>
            </w:pPr>
            <w:r>
              <w:rPr>
                <w:rFonts w:ascii="Times New Roman" w:hAnsi="Times New Roman"/>
                <w:sz w:val="24"/>
              </w:rPr>
              <w:t>Article 445a</w:t>
            </w:r>
            <w:r w:rsidRPr="00264A88">
              <w:rPr>
                <w:rFonts w:ascii="Times New Roman" w:hAnsi="Times New Roman"/>
                <w:sz w:val="24"/>
              </w:rPr>
              <w:t>(</w:t>
            </w:r>
            <w:r>
              <w:rPr>
                <w:rFonts w:ascii="Times New Roman" w:hAnsi="Times New Roman"/>
                <w:sz w:val="24"/>
              </w:rPr>
              <w:t>1</w:t>
            </w:r>
            <w:r w:rsidRPr="00264A88">
              <w:rPr>
                <w:rFonts w:ascii="Times New Roman" w:hAnsi="Times New Roman"/>
                <w:sz w:val="24"/>
              </w:rPr>
              <w:t>)</w:t>
            </w:r>
            <w:r>
              <w:rPr>
                <w:rFonts w:ascii="Times New Roman" w:hAnsi="Times New Roman"/>
                <w:sz w:val="24"/>
              </w:rPr>
              <w:t xml:space="preserve">(c) </w:t>
            </w:r>
            <w:r w:rsidRPr="001235ED">
              <w:rPr>
                <w:rFonts w:ascii="Times New Roman" w:hAnsi="Times New Roman"/>
                <w:sz w:val="24"/>
                <w:lang w:val="en-US"/>
              </w:rPr>
              <w:t>of Regulation (EU) No 575/2013</w:t>
            </w:r>
            <w:r>
              <w:rPr>
                <w:rFonts w:ascii="Times New Roman" w:hAnsi="Times New Roman"/>
                <w:sz w:val="24"/>
                <w:lang w:val="en-US"/>
              </w:rPr>
              <w:t>.</w:t>
            </w:r>
          </w:p>
          <w:p w14:paraId="0ACA4BED" w14:textId="77777777" w:rsidR="00365027" w:rsidRDefault="00365027" w:rsidP="00660F94">
            <w:pPr>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r>
              <w:rPr>
                <w:rFonts w:ascii="Times New Roman" w:hAnsi="Times New Roman"/>
                <w:sz w:val="24"/>
              </w:rPr>
              <w:t>.</w:t>
            </w:r>
          </w:p>
          <w:p w14:paraId="0DCF87CF" w14:textId="77777777" w:rsidR="00365027" w:rsidRPr="002A677E" w:rsidRDefault="00365027" w:rsidP="00660F94">
            <w:pPr>
              <w:spacing w:before="60"/>
              <w:rPr>
                <w:rFonts w:ascii="Times New Roman" w:hAnsi="Times New Roman"/>
                <w:sz w:val="24"/>
              </w:rPr>
            </w:pPr>
            <w:r>
              <w:rPr>
                <w:rFonts w:ascii="Times New Roman" w:hAnsi="Times New Roman"/>
                <w:sz w:val="24"/>
              </w:rPr>
              <w:t>The number of counterparties by sector shall be reported in column 0130.</w:t>
            </w:r>
          </w:p>
        </w:tc>
      </w:tr>
      <w:tr w:rsidR="00365027" w:rsidRPr="002A677E" w14:paraId="37CDA073" w14:textId="77777777" w:rsidTr="00660F94">
        <w:trPr>
          <w:cantSplit/>
        </w:trPr>
        <w:tc>
          <w:tcPr>
            <w:tcW w:w="1172" w:type="dxa"/>
          </w:tcPr>
          <w:p w14:paraId="42335025" w14:textId="39BD8433"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6</w:t>
            </w:r>
            <w:r>
              <w:rPr>
                <w:rFonts w:ascii="Times New Roman" w:hAnsi="Times New Roman"/>
                <w:sz w:val="24"/>
              </w:rPr>
              <w:t>0</w:t>
            </w:r>
          </w:p>
        </w:tc>
        <w:tc>
          <w:tcPr>
            <w:tcW w:w="7844" w:type="dxa"/>
          </w:tcPr>
          <w:p w14:paraId="4596732F"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Central banks</w:t>
            </w:r>
          </w:p>
        </w:tc>
      </w:tr>
      <w:tr w:rsidR="00365027" w:rsidRPr="002A677E" w14:paraId="4CC27826" w14:textId="77777777" w:rsidTr="00660F94">
        <w:trPr>
          <w:cantSplit/>
        </w:trPr>
        <w:tc>
          <w:tcPr>
            <w:tcW w:w="1172" w:type="dxa"/>
          </w:tcPr>
          <w:p w14:paraId="66913577" w14:textId="223F5E19" w:rsidR="00365027" w:rsidRPr="002A677E" w:rsidRDefault="00365027" w:rsidP="00B23A0D">
            <w:pPr>
              <w:rPr>
                <w:rFonts w:ascii="Times New Roman" w:hAnsi="Times New Roman"/>
                <w:sz w:val="24"/>
              </w:rPr>
            </w:pPr>
            <w:r>
              <w:rPr>
                <w:rFonts w:ascii="Times New Roman" w:hAnsi="Times New Roman"/>
                <w:sz w:val="24"/>
              </w:rPr>
              <w:t>01</w:t>
            </w:r>
            <w:r w:rsidR="00994E26">
              <w:rPr>
                <w:rFonts w:ascii="Times New Roman" w:hAnsi="Times New Roman"/>
                <w:sz w:val="24"/>
              </w:rPr>
              <w:t>7</w:t>
            </w:r>
            <w:r>
              <w:rPr>
                <w:rFonts w:ascii="Times New Roman" w:hAnsi="Times New Roman"/>
                <w:sz w:val="24"/>
              </w:rPr>
              <w:t>0</w:t>
            </w:r>
          </w:p>
        </w:tc>
        <w:tc>
          <w:tcPr>
            <w:tcW w:w="7844" w:type="dxa"/>
          </w:tcPr>
          <w:p w14:paraId="6BBD0054"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General Governments</w:t>
            </w:r>
          </w:p>
        </w:tc>
      </w:tr>
      <w:tr w:rsidR="00365027" w:rsidRPr="002A677E" w14:paraId="6208845B" w14:textId="77777777" w:rsidTr="00660F94">
        <w:trPr>
          <w:cantSplit/>
        </w:trPr>
        <w:tc>
          <w:tcPr>
            <w:tcW w:w="1172" w:type="dxa"/>
          </w:tcPr>
          <w:p w14:paraId="5B88175B" w14:textId="6CD451B1" w:rsidR="00365027" w:rsidRPr="002A677E" w:rsidRDefault="00365027" w:rsidP="00B23A0D">
            <w:pPr>
              <w:rPr>
                <w:rFonts w:ascii="Times New Roman" w:hAnsi="Times New Roman"/>
                <w:sz w:val="24"/>
              </w:rPr>
            </w:pPr>
            <w:r>
              <w:rPr>
                <w:rFonts w:ascii="Times New Roman" w:hAnsi="Times New Roman"/>
                <w:sz w:val="24"/>
              </w:rPr>
              <w:lastRenderedPageBreak/>
              <w:t>01</w:t>
            </w:r>
            <w:r w:rsidR="00994E26">
              <w:rPr>
                <w:rFonts w:ascii="Times New Roman" w:hAnsi="Times New Roman"/>
                <w:sz w:val="24"/>
              </w:rPr>
              <w:t>8</w:t>
            </w:r>
            <w:r>
              <w:rPr>
                <w:rFonts w:ascii="Times New Roman" w:hAnsi="Times New Roman"/>
                <w:sz w:val="24"/>
              </w:rPr>
              <w:t>0</w:t>
            </w:r>
          </w:p>
        </w:tc>
        <w:tc>
          <w:tcPr>
            <w:tcW w:w="7844" w:type="dxa"/>
          </w:tcPr>
          <w:p w14:paraId="0EF4D7D3"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Credit institutions</w:t>
            </w:r>
          </w:p>
        </w:tc>
      </w:tr>
      <w:tr w:rsidR="00365027" w:rsidRPr="002A677E" w14:paraId="5235442D" w14:textId="77777777" w:rsidTr="00660F94">
        <w:trPr>
          <w:cantSplit/>
        </w:trPr>
        <w:tc>
          <w:tcPr>
            <w:tcW w:w="1172" w:type="dxa"/>
          </w:tcPr>
          <w:p w14:paraId="7BCA7491" w14:textId="21C001AB" w:rsidR="00365027" w:rsidRPr="002A677E" w:rsidRDefault="00365027" w:rsidP="00B23A0D">
            <w:pPr>
              <w:rPr>
                <w:rFonts w:ascii="Times New Roman" w:hAnsi="Times New Roman"/>
                <w:sz w:val="24"/>
              </w:rPr>
            </w:pPr>
            <w:r>
              <w:rPr>
                <w:rFonts w:ascii="Times New Roman" w:hAnsi="Times New Roman"/>
                <w:sz w:val="24"/>
              </w:rPr>
              <w:t>0</w:t>
            </w:r>
            <w:r w:rsidR="00994E26">
              <w:rPr>
                <w:rFonts w:ascii="Times New Roman" w:hAnsi="Times New Roman"/>
                <w:sz w:val="24"/>
              </w:rPr>
              <w:t>19</w:t>
            </w:r>
            <w:r>
              <w:rPr>
                <w:rFonts w:ascii="Times New Roman" w:hAnsi="Times New Roman"/>
                <w:sz w:val="24"/>
              </w:rPr>
              <w:t>0</w:t>
            </w:r>
          </w:p>
        </w:tc>
        <w:tc>
          <w:tcPr>
            <w:tcW w:w="7844" w:type="dxa"/>
          </w:tcPr>
          <w:p w14:paraId="20E6D2E4"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Investment firms</w:t>
            </w:r>
          </w:p>
        </w:tc>
      </w:tr>
      <w:tr w:rsidR="00365027" w:rsidRPr="002A677E" w14:paraId="23E2808E" w14:textId="77777777" w:rsidTr="00660F94">
        <w:trPr>
          <w:cantSplit/>
        </w:trPr>
        <w:tc>
          <w:tcPr>
            <w:tcW w:w="1172" w:type="dxa"/>
          </w:tcPr>
          <w:p w14:paraId="608559E6" w14:textId="7630460D" w:rsidR="00365027" w:rsidRPr="002A677E" w:rsidRDefault="00365027" w:rsidP="00B23A0D">
            <w:pPr>
              <w:rPr>
                <w:rFonts w:ascii="Times New Roman" w:hAnsi="Times New Roman"/>
                <w:sz w:val="24"/>
              </w:rPr>
            </w:pPr>
            <w:r>
              <w:rPr>
                <w:rFonts w:ascii="Times New Roman" w:hAnsi="Times New Roman"/>
                <w:sz w:val="24"/>
              </w:rPr>
              <w:t>02</w:t>
            </w:r>
            <w:r w:rsidR="00994E26">
              <w:rPr>
                <w:rFonts w:ascii="Times New Roman" w:hAnsi="Times New Roman"/>
                <w:sz w:val="24"/>
              </w:rPr>
              <w:t>0</w:t>
            </w:r>
            <w:r>
              <w:rPr>
                <w:rFonts w:ascii="Times New Roman" w:hAnsi="Times New Roman"/>
                <w:sz w:val="24"/>
              </w:rPr>
              <w:t>0</w:t>
            </w:r>
          </w:p>
        </w:tc>
        <w:tc>
          <w:tcPr>
            <w:tcW w:w="7844" w:type="dxa"/>
          </w:tcPr>
          <w:p w14:paraId="76D6A771"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Other financial corporations (excluding investment firms)</w:t>
            </w:r>
          </w:p>
        </w:tc>
      </w:tr>
      <w:tr w:rsidR="00365027" w:rsidRPr="002A677E" w14:paraId="56709152" w14:textId="77777777" w:rsidTr="00660F94">
        <w:trPr>
          <w:cantSplit/>
        </w:trPr>
        <w:tc>
          <w:tcPr>
            <w:tcW w:w="1172" w:type="dxa"/>
          </w:tcPr>
          <w:p w14:paraId="436A8DA5" w14:textId="261B93BD" w:rsidR="00365027" w:rsidRPr="002A677E" w:rsidRDefault="00365027" w:rsidP="00B23A0D">
            <w:pPr>
              <w:rPr>
                <w:rFonts w:ascii="Times New Roman" w:hAnsi="Times New Roman"/>
                <w:sz w:val="24"/>
              </w:rPr>
            </w:pPr>
            <w:r>
              <w:rPr>
                <w:rFonts w:ascii="Times New Roman" w:hAnsi="Times New Roman"/>
                <w:sz w:val="24"/>
              </w:rPr>
              <w:t>02</w:t>
            </w:r>
            <w:r w:rsidR="00994E26">
              <w:rPr>
                <w:rFonts w:ascii="Times New Roman" w:hAnsi="Times New Roman"/>
                <w:sz w:val="24"/>
              </w:rPr>
              <w:t>1</w:t>
            </w:r>
            <w:r>
              <w:rPr>
                <w:rFonts w:ascii="Times New Roman" w:hAnsi="Times New Roman"/>
                <w:sz w:val="24"/>
              </w:rPr>
              <w:t>0</w:t>
            </w:r>
          </w:p>
        </w:tc>
        <w:tc>
          <w:tcPr>
            <w:tcW w:w="7844" w:type="dxa"/>
          </w:tcPr>
          <w:p w14:paraId="69C8C669" w14:textId="77777777" w:rsidR="00365027" w:rsidRPr="005C217A" w:rsidRDefault="00365027" w:rsidP="00B23A0D">
            <w:pPr>
              <w:rPr>
                <w:rFonts w:ascii="Times New Roman" w:hAnsi="Times New Roman"/>
                <w:b/>
                <w:bCs/>
                <w:sz w:val="24"/>
                <w:u w:val="single"/>
              </w:rPr>
            </w:pPr>
            <w:r w:rsidRPr="005C217A">
              <w:rPr>
                <w:rFonts w:ascii="Times New Roman" w:hAnsi="Times New Roman"/>
                <w:b/>
                <w:bCs/>
                <w:sz w:val="24"/>
                <w:u w:val="single"/>
              </w:rPr>
              <w:t>Non-financial corporations</w:t>
            </w:r>
          </w:p>
        </w:tc>
      </w:tr>
      <w:tr w:rsidR="00365027" w:rsidRPr="002A677E" w14:paraId="30A0331D" w14:textId="77777777" w:rsidTr="00660F94">
        <w:trPr>
          <w:cantSplit/>
        </w:trPr>
        <w:tc>
          <w:tcPr>
            <w:tcW w:w="1172" w:type="dxa"/>
          </w:tcPr>
          <w:p w14:paraId="3783D533" w14:textId="3E8E79C8" w:rsidR="00365027" w:rsidRDefault="00365027" w:rsidP="00B23A0D">
            <w:pPr>
              <w:rPr>
                <w:rFonts w:ascii="Times New Roman" w:hAnsi="Times New Roman"/>
                <w:sz w:val="24"/>
              </w:rPr>
            </w:pPr>
            <w:r>
              <w:rPr>
                <w:rFonts w:ascii="Times New Roman" w:hAnsi="Times New Roman"/>
                <w:sz w:val="24"/>
              </w:rPr>
              <w:t>02</w:t>
            </w:r>
            <w:r w:rsidR="00994E26">
              <w:rPr>
                <w:rFonts w:ascii="Times New Roman" w:hAnsi="Times New Roman"/>
                <w:sz w:val="24"/>
              </w:rPr>
              <w:t>2</w:t>
            </w:r>
            <w:r>
              <w:rPr>
                <w:rFonts w:ascii="Times New Roman" w:hAnsi="Times New Roman"/>
                <w:sz w:val="24"/>
              </w:rPr>
              <w:t>0</w:t>
            </w:r>
          </w:p>
        </w:tc>
        <w:tc>
          <w:tcPr>
            <w:tcW w:w="7844" w:type="dxa"/>
          </w:tcPr>
          <w:p w14:paraId="5796DA45" w14:textId="77777777" w:rsidR="00365027" w:rsidRDefault="00365027" w:rsidP="00B23A0D">
            <w:pPr>
              <w:rPr>
                <w:rFonts w:ascii="Times New Roman" w:hAnsi="Times New Roman"/>
                <w:b/>
                <w:bCs/>
                <w:sz w:val="24"/>
                <w:u w:val="single"/>
              </w:rPr>
            </w:pPr>
            <w:r>
              <w:rPr>
                <w:rFonts w:ascii="Times New Roman" w:hAnsi="Times New Roman"/>
                <w:b/>
                <w:bCs/>
                <w:sz w:val="24"/>
                <w:u w:val="single"/>
              </w:rPr>
              <w:t>Aggregation of systematic components of CVA risk</w:t>
            </w:r>
          </w:p>
          <w:p w14:paraId="5140739D" w14:textId="77777777" w:rsidR="00365027" w:rsidRPr="009766CF" w:rsidRDefault="00365027" w:rsidP="00B23A0D">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perfect correlation assumption (</w:t>
            </w:r>
            <w:r>
              <w:rPr>
                <w:rFonts w:ascii="Times New Roman" w:hAnsi="Times New Roman"/>
                <w:sz w:val="24"/>
                <w:lang w:val="en-US"/>
              </w:rPr>
              <w:sym w:font="Symbol" w:char="F053"/>
            </w:r>
            <w:r w:rsidRPr="00D15A90">
              <w:rPr>
                <w:rFonts w:ascii="Times New Roman" w:hAnsi="Times New Roman"/>
                <w:sz w:val="24"/>
                <w:vertAlign w:val="subscript"/>
                <w:lang w:val="en-US"/>
              </w:rPr>
              <w:t>c</w:t>
            </w:r>
            <w:r>
              <w:rPr>
                <w:rFonts w:ascii="Times New Roman" w:hAnsi="Times New Roman"/>
                <w:sz w:val="24"/>
                <w:lang w:val="en-US"/>
              </w:rPr>
              <w:t>SCVA</w:t>
            </w:r>
            <w:r w:rsidRPr="00D15A90">
              <w:rPr>
                <w:rFonts w:ascii="Times New Roman" w:hAnsi="Times New Roman"/>
                <w:sz w:val="24"/>
                <w:vertAlign w:val="subscript"/>
                <w:lang w:val="en-US"/>
              </w:rPr>
              <w:t>c</w:t>
            </w:r>
            <w:r>
              <w:rPr>
                <w:rFonts w:ascii="Times New Roman" w:hAnsi="Times New Roman"/>
                <w:sz w:val="24"/>
                <w:vertAlign w:val="subscript"/>
                <w:lang w:val="en-US"/>
              </w:rPr>
              <w:t xml:space="preserve">).  The discount factor </w:t>
            </w:r>
            <w:r>
              <w:rPr>
                <w:rFonts w:ascii="Times New Roman" w:hAnsi="Times New Roman"/>
                <w:sz w:val="24"/>
              </w:rPr>
              <w:t>of 0.65 shall not be applied.</w:t>
            </w:r>
          </w:p>
        </w:tc>
      </w:tr>
      <w:tr w:rsidR="00365027" w:rsidRPr="002A677E" w14:paraId="115E2E13" w14:textId="77777777" w:rsidTr="00660F94">
        <w:trPr>
          <w:cantSplit/>
        </w:trPr>
        <w:tc>
          <w:tcPr>
            <w:tcW w:w="1172" w:type="dxa"/>
          </w:tcPr>
          <w:p w14:paraId="0CD5BAA7" w14:textId="3F4B59B3" w:rsidR="00365027" w:rsidRDefault="00365027" w:rsidP="00B23A0D">
            <w:pPr>
              <w:rPr>
                <w:rFonts w:ascii="Times New Roman" w:hAnsi="Times New Roman"/>
                <w:sz w:val="24"/>
              </w:rPr>
            </w:pPr>
            <w:r>
              <w:rPr>
                <w:rFonts w:ascii="Times New Roman" w:hAnsi="Times New Roman"/>
                <w:sz w:val="24"/>
              </w:rPr>
              <w:t>02</w:t>
            </w:r>
            <w:r w:rsidR="00994E26">
              <w:rPr>
                <w:rFonts w:ascii="Times New Roman" w:hAnsi="Times New Roman"/>
                <w:sz w:val="24"/>
              </w:rPr>
              <w:t>3</w:t>
            </w:r>
            <w:r>
              <w:rPr>
                <w:rFonts w:ascii="Times New Roman" w:hAnsi="Times New Roman"/>
                <w:sz w:val="24"/>
              </w:rPr>
              <w:t>0</w:t>
            </w:r>
          </w:p>
        </w:tc>
        <w:tc>
          <w:tcPr>
            <w:tcW w:w="7844" w:type="dxa"/>
          </w:tcPr>
          <w:p w14:paraId="7E664758" w14:textId="77777777" w:rsidR="00365027" w:rsidRDefault="00365027" w:rsidP="00B23A0D">
            <w:pPr>
              <w:rPr>
                <w:rFonts w:ascii="Times New Roman" w:hAnsi="Times New Roman"/>
                <w:b/>
                <w:bCs/>
                <w:sz w:val="24"/>
                <w:u w:val="single"/>
              </w:rPr>
            </w:pPr>
            <w:r>
              <w:rPr>
                <w:rFonts w:ascii="Times New Roman" w:hAnsi="Times New Roman"/>
                <w:b/>
                <w:bCs/>
                <w:sz w:val="24"/>
                <w:u w:val="single"/>
              </w:rPr>
              <w:t>Aggregation of idiosyncratic components of CVA risk</w:t>
            </w:r>
          </w:p>
          <w:p w14:paraId="34CC0164" w14:textId="77777777" w:rsidR="00365027" w:rsidRPr="009766CF" w:rsidRDefault="00365027" w:rsidP="00B23A0D">
            <w:pPr>
              <w:rPr>
                <w:rFonts w:ascii="Times New Roman" w:hAnsi="Times New Roman"/>
                <w:sz w:val="24"/>
              </w:rPr>
            </w:pP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zero correlation assumption (sqrt(</w:t>
            </w:r>
            <w:r>
              <w:rPr>
                <w:rFonts w:ascii="Times New Roman" w:hAnsi="Times New Roman"/>
                <w:sz w:val="24"/>
                <w:lang w:val="en-US"/>
              </w:rPr>
              <w:sym w:font="Symbol" w:char="F053"/>
            </w:r>
            <w:r w:rsidRPr="00F93063">
              <w:rPr>
                <w:rFonts w:ascii="Times New Roman" w:hAnsi="Times New Roman"/>
                <w:sz w:val="24"/>
                <w:vertAlign w:val="subscript"/>
                <w:lang w:val="en-US"/>
              </w:rPr>
              <w:t>c</w:t>
            </w:r>
            <w:r>
              <w:rPr>
                <w:rFonts w:ascii="Times New Roman" w:hAnsi="Times New Roman"/>
                <w:sz w:val="24"/>
                <w:lang w:val="en-US"/>
              </w:rPr>
              <w:t>SCVA</w:t>
            </w:r>
            <w:r w:rsidRPr="00F93063">
              <w:rPr>
                <w:rFonts w:ascii="Times New Roman" w:hAnsi="Times New Roman"/>
                <w:sz w:val="24"/>
                <w:vertAlign w:val="subscript"/>
                <w:lang w:val="en-US"/>
              </w:rPr>
              <w:t>c</w:t>
            </w:r>
            <w:r w:rsidRPr="00D15A90">
              <w:rPr>
                <w:rFonts w:ascii="Times New Roman" w:hAnsi="Times New Roman"/>
                <w:sz w:val="24"/>
                <w:vertAlign w:val="superscript"/>
                <w:lang w:val="en-US"/>
              </w:rPr>
              <w:t>2</w:t>
            </w:r>
            <w:r>
              <w:rPr>
                <w:rFonts w:ascii="Times New Roman" w:hAnsi="Times New Roman"/>
                <w:sz w:val="24"/>
                <w:lang w:val="en-US"/>
              </w:rPr>
              <w:t xml:space="preserve">)). </w:t>
            </w:r>
            <w:r>
              <w:rPr>
                <w:rFonts w:ascii="Times New Roman" w:hAnsi="Times New Roman"/>
                <w:sz w:val="24"/>
                <w:vertAlign w:val="subscript"/>
                <w:lang w:val="en-US"/>
              </w:rPr>
              <w:t xml:space="preserve">The discount factor </w:t>
            </w:r>
            <w:r>
              <w:rPr>
                <w:rFonts w:ascii="Times New Roman" w:hAnsi="Times New Roman"/>
                <w:sz w:val="24"/>
              </w:rPr>
              <w:t>of 0.65 shall not be applied.</w:t>
            </w:r>
          </w:p>
        </w:tc>
      </w:tr>
      <w:bookmarkEnd w:id="750"/>
    </w:tbl>
    <w:p w14:paraId="7248070D" w14:textId="4B71CE54" w:rsidR="001C1737" w:rsidRPr="002A677E" w:rsidRDefault="001C1737" w:rsidP="001C1737">
      <w:pPr>
        <w:spacing w:before="0" w:after="0"/>
        <w:jc w:val="left"/>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lang w:val="en-GB"/>
        </w:rPr>
      </w:pPr>
      <w:bookmarkStart w:id="751" w:name="_Toc151714509"/>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751"/>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2" w:name="_Toc151714510"/>
      <w:r w:rsidRPr="002A677E">
        <w:rPr>
          <w:rFonts w:ascii="Times New Roman" w:hAnsi="Times New Roman" w:cs="Times New Roman"/>
          <w:sz w:val="24"/>
          <w:u w:val="none"/>
          <w:lang w:val="en-GB"/>
        </w:rPr>
        <w:t>6.</w:t>
      </w:r>
      <w:r w:rsidR="00DD41BE"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752"/>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3" w:name="_Toc151714511"/>
      <w:r w:rsidRPr="002A677E">
        <w:rPr>
          <w:rFonts w:ascii="Times New Roman" w:hAnsi="Times New Roman" w:cs="Times New Roman"/>
          <w:sz w:val="24"/>
          <w:u w:val="none"/>
          <w:lang w:val="en-GB"/>
        </w:rPr>
        <w:t>6.1.1</w:t>
      </w:r>
      <w:r w:rsidR="00B93FA1"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53"/>
      <w:r w:rsidRPr="002A677E">
        <w:rPr>
          <w:rFonts w:ascii="Times New Roman" w:hAnsi="Times New Roman" w:cs="Times New Roman"/>
          <w:sz w:val="24"/>
          <w:u w:val="none"/>
          <w:lang w:val="en-GB"/>
        </w:rPr>
        <w:t xml:space="preserve"> </w:t>
      </w:r>
    </w:p>
    <w:p w14:paraId="3632770C" w14:textId="08DE5923" w:rsidR="00B828C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178</w:t>
      </w:r>
      <w:r w:rsidRPr="005B57EC">
        <w:rPr>
          <w:noProof/>
        </w:rPr>
        <w:fldChar w:fldCharType="end"/>
      </w:r>
      <w:r w:rsidR="001924F4" w:rsidRPr="002A677E">
        <w:t xml:space="preserve">. </w:t>
      </w:r>
      <w:r w:rsidR="00995A7F" w:rsidRPr="002A677E">
        <w:t xml:space="preserve">This template shall be completed by all institutions, </w:t>
      </w:r>
      <w:r w:rsidR="0016282F" w:rsidRPr="002A677E">
        <w:t xml:space="preserve">irrespective of </w:t>
      </w:r>
      <w:r w:rsidR="00995A7F" w:rsidRPr="002A677E">
        <w:t>whether they have adopted the simplified approach</w:t>
      </w:r>
      <w:r w:rsidR="00B93FA1" w:rsidRPr="002A677E">
        <w:t xml:space="preserve"> for the determination of Additional Valuation Adjustments (‘AVAs’)</w:t>
      </w:r>
      <w:r w:rsidR="00995A7F" w:rsidRPr="002A677E">
        <w:t xml:space="preserve">. </w:t>
      </w:r>
      <w:r w:rsidR="002300C6" w:rsidRPr="002A677E">
        <w:t>This template</w:t>
      </w:r>
      <w:r w:rsidR="00995A7F" w:rsidRPr="002A677E">
        <w:t xml:space="preserve"> is dedicated to the absolute value of fair-valued assets and liabilities used to determine whether the conditions set out in Article</w:t>
      </w:r>
      <w:r w:rsidR="0016282F" w:rsidRPr="002A677E">
        <w:t> </w:t>
      </w:r>
      <w:r w:rsidR="00995A7F" w:rsidRPr="002A677E">
        <w:t xml:space="preserve">4 of </w:t>
      </w:r>
      <w:r w:rsidR="0016282F" w:rsidRPr="002A677E">
        <w:t xml:space="preserve">Commission </w:t>
      </w:r>
      <w:r w:rsidR="009A1A9B" w:rsidRPr="002A677E">
        <w:t>Delegated Regulation (EU) 2016/101</w:t>
      </w:r>
      <w:r w:rsidR="00B828CC" w:rsidRPr="002A677E">
        <w:rPr>
          <w:rStyle w:val="FootnoteReference"/>
        </w:rPr>
        <w:footnoteReference w:id="10"/>
      </w:r>
      <w:r w:rsidR="009A1A9B" w:rsidRPr="002A677E">
        <w:t xml:space="preserve"> </w:t>
      </w:r>
      <w:r w:rsidR="00995A7F" w:rsidRPr="002A677E">
        <w:t>for using the simplified approach for the determination of AVAs are met.</w:t>
      </w:r>
    </w:p>
    <w:p w14:paraId="490DD67C" w14:textId="550E4325" w:rsidR="00995A7F"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179</w:t>
      </w:r>
      <w:r w:rsidRPr="005B57EC">
        <w:rPr>
          <w:noProof/>
        </w:rPr>
        <w:fldChar w:fldCharType="end"/>
      </w:r>
      <w:r w:rsidR="00B93FA1" w:rsidRPr="002A677E">
        <w:t xml:space="preserve">. </w:t>
      </w:r>
      <w:r w:rsidR="009A1A9B" w:rsidRPr="002A677E">
        <w:t>With regard to institutions using the simplified approach, t</w:t>
      </w:r>
      <w:r w:rsidR="00995A7F" w:rsidRPr="002A677E">
        <w:t>his template</w:t>
      </w:r>
      <w:r w:rsidR="009A1A9B" w:rsidRPr="002A677E">
        <w:t xml:space="preserve"> shall</w:t>
      </w:r>
      <w:r w:rsidR="00995A7F" w:rsidRPr="002A677E">
        <w:t xml:space="preserve"> provide the total AVA to be deducted from own funds </w:t>
      </w:r>
      <w:r w:rsidR="002300C6" w:rsidRPr="002A677E">
        <w:t xml:space="preserve">pursuant to </w:t>
      </w:r>
      <w:r w:rsidR="00995A7F" w:rsidRPr="002A677E">
        <w:t>Articles 34 and 105</w:t>
      </w:r>
      <w:r w:rsidR="00B93FA1" w:rsidRPr="002A677E">
        <w:t xml:space="preserve"> </w:t>
      </w:r>
      <w:r w:rsidR="006E347B" w:rsidRPr="001235ED">
        <w:rPr>
          <w:lang w:val="en-US"/>
        </w:rPr>
        <w:t>of Regulation (EU) No 575/2013</w:t>
      </w:r>
      <w:r w:rsidR="00995A7F" w:rsidRPr="002A677E">
        <w:t xml:space="preserve"> as set out in Article 5 of </w:t>
      </w:r>
      <w:r w:rsidR="009A1A9B" w:rsidRPr="002A677E">
        <w:t>the Delegated Regulation (EU) 2016/101</w:t>
      </w:r>
      <w:r w:rsidR="00B93FA1" w:rsidRPr="002A677E">
        <w:t>, which</w:t>
      </w:r>
      <w:r w:rsidR="009A1A9B" w:rsidRPr="002A677E">
        <w:t xml:space="preserve"> shall be </w:t>
      </w:r>
      <w:r w:rsidR="00995A7F" w:rsidRPr="002A677E">
        <w:t xml:space="preserve">reported accordingly in row </w:t>
      </w:r>
      <w:r w:rsidR="00787733" w:rsidRPr="002A677E">
        <w:t>0</w:t>
      </w:r>
      <w:r w:rsidR="00995A7F" w:rsidRPr="002A677E">
        <w:t>290 of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4" w:name="_Toc151714512"/>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5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780F2023"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as stated in the financial statements under the applicable accounting framework, as referred to in Article 4(1) of</w:t>
            </w:r>
            <w:r w:rsidR="009A1A9B" w:rsidRPr="002A677E">
              <w:rPr>
                <w:rFonts w:ascii="Times New Roman" w:hAnsi="Times New Roman"/>
                <w:sz w:val="24"/>
              </w:rPr>
              <w:t xml:space="preserve"> </w:t>
            </w:r>
            <w:r w:rsidR="009A1A9B" w:rsidRPr="002A677E">
              <w:rPr>
                <w:rFonts w:ascii="Times New Roman" w:hAnsi="Times New Roman"/>
                <w:sz w:val="24"/>
              </w:rPr>
              <w:lastRenderedPageBreak/>
              <w:t>Delegated Regulation (EU) 2016/101</w:t>
            </w:r>
            <w:r w:rsidRPr="002A677E">
              <w:rPr>
                <w:rFonts w:ascii="Times New Roman" w:hAnsi="Times New Roman"/>
                <w:sz w:val="24"/>
              </w:rPr>
              <w:t xml:space="preserve">, before any </w:t>
            </w:r>
            <w:r w:rsidR="0016282F" w:rsidRPr="002A677E">
              <w:rPr>
                <w:rFonts w:ascii="Times New Roman" w:hAnsi="Times New Roman"/>
                <w:sz w:val="24"/>
              </w:rPr>
              <w:t>exclusion</w:t>
            </w:r>
            <w:r w:rsidR="009F1F3F" w:rsidRPr="002A677E">
              <w:rPr>
                <w:rFonts w:ascii="Times New Roman" w:hAnsi="Times New Roman"/>
                <w:sz w:val="24"/>
              </w:rPr>
              <w:t xml:space="preserve"> </w:t>
            </w:r>
            <w:r w:rsidR="0016282F" w:rsidRPr="002A677E">
              <w:rPr>
                <w:rFonts w:ascii="Times New Roman" w:hAnsi="Times New Roman"/>
                <w:sz w:val="24"/>
              </w:rPr>
              <w:t xml:space="preserve">in accordance with </w:t>
            </w:r>
            <w:r w:rsidRPr="002A677E">
              <w:rPr>
                <w:rFonts w:ascii="Times New Roman" w:hAnsi="Times New Roman"/>
                <w:sz w:val="24"/>
              </w:rPr>
              <w:t xml:space="preserve">Article 4(2) </w:t>
            </w:r>
            <w:r w:rsidR="0016282F" w:rsidRPr="002A677E">
              <w:rPr>
                <w:rFonts w:ascii="Times New Roman" w:hAnsi="Times New Roman"/>
                <w:sz w:val="24"/>
              </w:rPr>
              <w:t>of Delegated Regulation (EU) 2016/101</w:t>
            </w:r>
            <w:r w:rsidRPr="002A677E">
              <w:rPr>
                <w:rFonts w:ascii="Times New Roman" w:hAnsi="Times New Roman"/>
                <w:sz w:val="24"/>
              </w:rPr>
              <w: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00C05941" w:rsidRPr="002A677E">
              <w:rPr>
                <w:rFonts w:ascii="Times New Roman" w:hAnsi="Times New Roman"/>
                <w:sz w:val="24"/>
              </w:rPr>
              <w:t>.</w:t>
            </w:r>
            <w:r w:rsidRPr="002A677E" w:rsidDel="00CA4AFC">
              <w:rPr>
                <w:rFonts w:ascii="Times New Roman" w:hAnsi="Times New Roman"/>
                <w:sz w:val="24"/>
              </w:rPr>
              <w:t xml:space="preserv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30-0</w:t>
            </w:r>
            <w:r w:rsidR="001924F4" w:rsidRPr="002A677E">
              <w:rPr>
                <w:rFonts w:ascii="Times New Roman" w:hAnsi="Times New Roman"/>
                <w:sz w:val="24"/>
              </w:rPr>
              <w:t>0</w:t>
            </w:r>
            <w:r w:rsidRPr="002A677E">
              <w:rPr>
                <w:rFonts w:ascii="Times New Roman" w:hAnsi="Times New Roman"/>
                <w:sz w:val="24"/>
              </w:rPr>
              <w:t>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 xml:space="preserve">Absolute value of fair-valued assets and liabilities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695D10A9"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Exactly matching, offsetting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35FF7B1B" w14:textId="57ADBEF5" w:rsidR="00B93FA1" w:rsidRPr="002A677E" w:rsidRDefault="00B93FA1" w:rsidP="002300C6">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 </w:t>
            </w:r>
            <w:r w:rsidR="00C11B8D" w:rsidRPr="002A677E">
              <w:rPr>
                <w:rFonts w:ascii="Times New Roman" w:hAnsi="Times New Roman"/>
                <w:sz w:val="24"/>
              </w:rPr>
              <w:t xml:space="preserve">Delegated Regulation (EU) 2016/101 </w:t>
            </w:r>
            <w:r w:rsidRPr="002A677E">
              <w:rPr>
                <w:rFonts w:ascii="Times New Roman" w:hAnsi="Times New Roman"/>
                <w:sz w:val="24"/>
              </w:rPr>
              <w:t xml:space="preserve">due to the transitional </w:t>
            </w:r>
            <w:r w:rsidR="009F1F3F" w:rsidRPr="002A677E">
              <w:rPr>
                <w:rFonts w:ascii="Times New Roman" w:hAnsi="Times New Roman"/>
                <w:sz w:val="24"/>
              </w:rPr>
              <w:t xml:space="preserve">application of the prudential </w:t>
            </w:r>
            <w:r w:rsidRPr="002A677E">
              <w:rPr>
                <w:rFonts w:ascii="Times New Roman" w:hAnsi="Times New Roman"/>
                <w:sz w:val="24"/>
              </w:rPr>
              <w:t xml:space="preserve">filters referred to in Articles 467 and 468 </w:t>
            </w:r>
            <w:r w:rsidR="00FE28F4" w:rsidRPr="001235ED">
              <w:rPr>
                <w:rFonts w:ascii="Times New Roman" w:hAnsi="Times New Roman"/>
                <w:sz w:val="24"/>
                <w:lang w:val="en-US"/>
              </w:rPr>
              <w:t>of Regulation (EU) No 575/2013</w:t>
            </w:r>
            <w:r w:rsidRPr="002A677E">
              <w:rPr>
                <w:rFonts w:ascii="Times New Roman" w:hAnsi="Times New Roman"/>
                <w:sz w:val="24"/>
              </w:rPr>
              <w:t>.</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5A606B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Any other positions excluded </w:t>
            </w:r>
            <w:r w:rsidR="00BB22D4" w:rsidRPr="002A677E">
              <w:rPr>
                <w:rFonts w:ascii="Times New Roman" w:hAnsi="Times New Roman"/>
                <w:sz w:val="24"/>
              </w:rPr>
              <w:t>in accordance with</w:t>
            </w:r>
            <w:r w:rsidRPr="002A677E">
              <w:rPr>
                <w:rFonts w:ascii="Times New Roman" w:hAnsi="Times New Roman"/>
                <w:sz w:val="24"/>
              </w:rPr>
              <w:t xml:space="preserve"> Article</w:t>
            </w:r>
            <w:r w:rsidR="0016282F" w:rsidRPr="002A677E">
              <w:rPr>
                <w:rFonts w:ascii="Times New Roman" w:hAnsi="Times New Roman"/>
                <w:sz w:val="24"/>
              </w:rPr>
              <w:t> </w:t>
            </w:r>
            <w:r w:rsidRPr="002A677E">
              <w:rPr>
                <w:rFonts w:ascii="Times New Roman" w:hAnsi="Times New Roman"/>
                <w:sz w:val="24"/>
              </w:rPr>
              <w:t xml:space="preserve">4(2) of </w:t>
            </w:r>
            <w:r w:rsidR="006A7AEE" w:rsidRPr="002A677E">
              <w:rPr>
                <w:rFonts w:ascii="Times New Roman" w:hAnsi="Times New Roman"/>
                <w:sz w:val="24"/>
              </w:rPr>
              <w:t xml:space="preserve">Delegated Regulation (EU) 2016/101 </w:t>
            </w:r>
            <w:r w:rsidRPr="002A677E">
              <w:rPr>
                <w:rFonts w:ascii="Times New Roman" w:hAnsi="Times New Roman"/>
                <w:sz w:val="24"/>
              </w:rPr>
              <w:t>due to adjustments to their accounting value having only a proportional effect on CET1 capital.</w:t>
            </w:r>
          </w:p>
          <w:p w14:paraId="3FF98FE6"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This row shall only be populated in rare cases where elements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 </w:t>
            </w:r>
            <w:r w:rsidRPr="002A677E">
              <w:rPr>
                <w:rFonts w:ascii="Times New Roman" w:hAnsi="Times New Roman"/>
                <w:sz w:val="24"/>
              </w:rPr>
              <w:t xml:space="preserve">cannot be assigned to columns </w:t>
            </w:r>
            <w:r w:rsidR="001924F4" w:rsidRPr="002A677E">
              <w:rPr>
                <w:rFonts w:ascii="Times New Roman" w:hAnsi="Times New Roman"/>
                <w:sz w:val="24"/>
              </w:rPr>
              <w:t>0</w:t>
            </w:r>
            <w:r w:rsidRPr="002A677E">
              <w:rPr>
                <w:rFonts w:ascii="Times New Roman" w:hAnsi="Times New Roman"/>
                <w:sz w:val="24"/>
              </w:rPr>
              <w:t xml:space="preserve">030, </w:t>
            </w:r>
            <w:r w:rsidR="001924F4" w:rsidRPr="002A677E">
              <w:rPr>
                <w:rFonts w:ascii="Times New Roman" w:hAnsi="Times New Roman"/>
                <w:sz w:val="24"/>
              </w:rPr>
              <w:t>0</w:t>
            </w:r>
            <w:r w:rsidRPr="002A677E">
              <w:rPr>
                <w:rFonts w:ascii="Times New Roman" w:hAnsi="Times New Roman"/>
                <w:sz w:val="24"/>
              </w:rPr>
              <w:t xml:space="preserve">040 or </w:t>
            </w:r>
            <w:r w:rsidR="001924F4" w:rsidRPr="002A677E">
              <w:rPr>
                <w:rFonts w:ascii="Times New Roman" w:hAnsi="Times New Roman"/>
                <w:sz w:val="24"/>
              </w:rPr>
              <w:t>0</w:t>
            </w:r>
            <w:r w:rsidRPr="002A677E">
              <w:rPr>
                <w:rFonts w:ascii="Times New Roman" w:hAnsi="Times New Roman"/>
                <w:sz w:val="24"/>
              </w:rPr>
              <w:t>050 of this template.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sidRPr="002A677E">
              <w:rPr>
                <w:rFonts w:ascii="Times New Roman" w:hAnsi="Times New Roman"/>
                <w:sz w:val="24"/>
              </w:rPr>
              <w:t>T</w:t>
            </w:r>
            <w:r w:rsidR="00B93FA1" w:rsidRPr="002A677E">
              <w:rPr>
                <w:rFonts w:ascii="Times New Roman" w:hAnsi="Times New Roman"/>
                <w:sz w:val="24"/>
              </w:rPr>
              <w:t xml:space="preserve">he main reasons why the positions reported in </w:t>
            </w:r>
            <w:r w:rsidR="005F12F9" w:rsidRPr="002A677E">
              <w:rPr>
                <w:rFonts w:ascii="Times New Roman" w:hAnsi="Times New Roman"/>
                <w:sz w:val="24"/>
              </w:rPr>
              <w:t>column</w:t>
            </w:r>
            <w:r w:rsidR="00B93FA1" w:rsidRPr="002A677E">
              <w:rPr>
                <w:rFonts w:ascii="Times New Roman" w:hAnsi="Times New Roman"/>
                <w:sz w:val="24"/>
              </w:rPr>
              <w:t xml:space="preserve"> </w:t>
            </w:r>
            <w:r w:rsidR="001924F4" w:rsidRPr="002A677E">
              <w:rPr>
                <w:rFonts w:ascii="Times New Roman" w:hAnsi="Times New Roman"/>
                <w:sz w:val="24"/>
              </w:rPr>
              <w:t>0</w:t>
            </w:r>
            <w:r w:rsidR="00B93FA1" w:rsidRPr="002A677E">
              <w:rPr>
                <w:rFonts w:ascii="Times New Roman" w:hAnsi="Times New Roman"/>
                <w:sz w:val="24"/>
              </w:rPr>
              <w:t>060 were excluded</w:t>
            </w:r>
            <w:r w:rsidRPr="002A677E">
              <w:rPr>
                <w:rFonts w:ascii="Times New Roman" w:hAnsi="Times New Roman"/>
                <w:sz w:val="24"/>
              </w:rPr>
              <w:t xml:space="preserve"> shall be provided</w:t>
            </w:r>
            <w:r w:rsidR="00B93FA1" w:rsidRPr="002A677E">
              <w:rPr>
                <w:rFonts w:ascii="Times New Roman" w:hAnsi="Times New Roman"/>
                <w:sz w:val="24"/>
              </w:rPr>
              <w: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w:t>
            </w:r>
            <w:r w:rsidR="00DE223B" w:rsidRPr="002A677E">
              <w:rPr>
                <w:rFonts w:ascii="Times New Roman" w:hAnsi="Times New Roman"/>
                <w:b/>
                <w:caps/>
                <w:sz w:val="24"/>
                <w:u w:val="single"/>
              </w:rPr>
              <w:t>ICLE</w:t>
            </w:r>
            <w:r w:rsidRPr="002A677E">
              <w:rPr>
                <w:rFonts w:ascii="Times New Roman" w:hAnsi="Times New Roman"/>
                <w:b/>
                <w:caps/>
                <w:sz w:val="24"/>
                <w:u w:val="single"/>
              </w:rPr>
              <w:t xml:space="preserve"> 4(1) threshold</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lastRenderedPageBreak/>
              <w:t>Absolute value of fair-valued assets and liabilities actually included in the threshold computation in accordance with Article 4(1)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w:t>
            </w:r>
            <w:r w:rsidR="001924F4" w:rsidRPr="002A677E">
              <w:rPr>
                <w:rFonts w:ascii="Times New Roman" w:hAnsi="Times New Roman"/>
                <w:sz w:val="24"/>
              </w:rPr>
              <w:t xml:space="preserve"> column</w:t>
            </w:r>
            <w:r w:rsidRPr="002A677E">
              <w:rPr>
                <w:rFonts w:ascii="Times New Roman" w:hAnsi="Times New Roman"/>
                <w:sz w:val="24"/>
              </w:rPr>
              <w:t xml:space="preserve"> </w:t>
            </w:r>
            <w:r w:rsidR="001924F4" w:rsidRPr="002A677E">
              <w:rPr>
                <w:rFonts w:ascii="Times New Roman" w:hAnsi="Times New Roman"/>
                <w:sz w:val="24"/>
              </w:rPr>
              <w:t>0</w:t>
            </w:r>
            <w:r w:rsidRPr="002A677E">
              <w:rPr>
                <w:rFonts w:ascii="Times New Roman" w:hAnsi="Times New Roman"/>
                <w:sz w:val="24"/>
              </w:rPr>
              <w:t>080, corresponding to positions held in the trading book.</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 xml:space="preserve">010 – </w:t>
            </w: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sz w:val="24"/>
              </w:rPr>
              <w:t xml:space="preserve">Total of fair-valued assets and liabilities reported in rows </w:t>
            </w:r>
            <w:r w:rsidR="00787733" w:rsidRPr="002A677E">
              <w:rPr>
                <w:rFonts w:ascii="Times New Roman" w:hAnsi="Times New Roman"/>
                <w:sz w:val="24"/>
              </w:rPr>
              <w:t>00</w:t>
            </w:r>
            <w:r w:rsidRPr="002A677E">
              <w:rPr>
                <w:rFonts w:ascii="Times New Roman" w:hAnsi="Times New Roman"/>
                <w:sz w:val="24"/>
              </w:rPr>
              <w:t xml:space="preserve">20 to </w:t>
            </w:r>
            <w:r w:rsidR="00787733" w:rsidRPr="002A677E">
              <w:rPr>
                <w:rFonts w:ascii="Times New Roman" w:hAnsi="Times New Roman"/>
                <w:sz w:val="24"/>
              </w:rPr>
              <w:t>0</w:t>
            </w:r>
            <w:r w:rsidRPr="002A677E">
              <w:rPr>
                <w:rFonts w:ascii="Times New Roman" w:hAnsi="Times New Roman"/>
                <w:sz w:val="24"/>
              </w:rPr>
              <w:t>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4F15BD6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w:t>
            </w:r>
            <w:r w:rsidR="001D4848" w:rsidRPr="002A677E">
              <w:rPr>
                <w:rFonts w:ascii="Times New Roman" w:hAnsi="Times New Roman"/>
                <w:sz w:val="24"/>
              </w:rPr>
              <w:t>00</w:t>
            </w:r>
            <w:r w:rsidRPr="002A677E">
              <w:rPr>
                <w:rFonts w:ascii="Times New Roman" w:hAnsi="Times New Roman"/>
                <w:sz w:val="24"/>
              </w:rPr>
              <w:t xml:space="preserve">30 to </w:t>
            </w:r>
            <w:r w:rsidR="001D4848" w:rsidRPr="002A677E">
              <w:rPr>
                <w:rFonts w:ascii="Times New Roman" w:hAnsi="Times New Roman"/>
                <w:sz w:val="24"/>
              </w:rPr>
              <w:t>0</w:t>
            </w:r>
            <w:r w:rsidRPr="002A677E">
              <w:rPr>
                <w:rFonts w:ascii="Times New Roman" w:hAnsi="Times New Roman"/>
                <w:sz w:val="24"/>
              </w:rPr>
              <w:t xml:space="preserve">140. </w:t>
            </w:r>
          </w:p>
          <w:p w14:paraId="100F7B33"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1D4848" w:rsidRPr="002A677E">
              <w:rPr>
                <w:rFonts w:ascii="Times New Roman" w:hAnsi="Times New Roman"/>
                <w:sz w:val="24"/>
              </w:rPr>
              <w:t>0</w:t>
            </w:r>
            <w:r w:rsidRPr="002A677E">
              <w:rPr>
                <w:rFonts w:ascii="Times New Roman" w:hAnsi="Times New Roman"/>
                <w:sz w:val="24"/>
              </w:rPr>
              <w:t xml:space="preserve">030 to </w:t>
            </w:r>
            <w:r w:rsidR="001D4848" w:rsidRPr="002A677E">
              <w:rPr>
                <w:rFonts w:ascii="Times New Roman" w:hAnsi="Times New Roman"/>
                <w:sz w:val="24"/>
              </w:rPr>
              <w:t>0</w:t>
            </w:r>
            <w:r w:rsidRPr="002A677E">
              <w:rPr>
                <w:rFonts w:ascii="Times New Roman" w:hAnsi="Times New Roman"/>
                <w:sz w:val="24"/>
              </w:rPr>
              <w:t>130 shall be reported in line with FINREP template F</w:t>
            </w:r>
            <w:r w:rsidR="001D4848" w:rsidRPr="002A677E">
              <w:rPr>
                <w:rFonts w:ascii="Times New Roman" w:hAnsi="Times New Roman"/>
                <w:sz w:val="24"/>
              </w:rPr>
              <w:t xml:space="preserve"> </w:t>
            </w:r>
            <w:r w:rsidRPr="002A677E">
              <w:rPr>
                <w:rFonts w:ascii="Times New Roman" w:hAnsi="Times New Roman"/>
                <w:sz w:val="24"/>
              </w:rPr>
              <w:t xml:space="preserve">01.01 of </w:t>
            </w:r>
            <w:r w:rsidR="001D4848" w:rsidRPr="002A677E">
              <w:rPr>
                <w:rFonts w:ascii="Times New Roman" w:hAnsi="Times New Roman"/>
                <w:sz w:val="24"/>
              </w:rPr>
              <w:t xml:space="preserve">Annexes III and IV to this </w:t>
            </w:r>
            <w:r w:rsidR="00B71CD5" w:rsidRPr="002A677E">
              <w:rPr>
                <w:rFonts w:ascii="Times New Roman" w:hAnsi="Times New Roman"/>
                <w:sz w:val="24"/>
              </w:rPr>
              <w:t xml:space="preserve">Implementing </w:t>
            </w:r>
            <w:r w:rsidRPr="002A677E">
              <w:rPr>
                <w:rFonts w:ascii="Times New Roman" w:hAnsi="Times New Roman"/>
                <w:sz w:val="24"/>
              </w:rPr>
              <w:t>Regulation</w:t>
            </w:r>
            <w:r w:rsidR="0016282F" w:rsidRPr="002A677E">
              <w:rPr>
                <w:rFonts w:ascii="Times New Roman" w:hAnsi="Times New Roman"/>
                <w:sz w:val="24"/>
              </w:rPr>
              <w:t>,</w:t>
            </w:r>
            <w:r w:rsidRPr="002A677E">
              <w:rPr>
                <w:rFonts w:ascii="Times New Roman" w:hAnsi="Times New Roman"/>
                <w:sz w:val="24"/>
              </w:rPr>
              <w:t xml:space="preserve"> depending on the institution’s applicable standards:</w:t>
            </w:r>
          </w:p>
          <w:p w14:paraId="3CF60D26"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16282F" w:rsidRPr="002A677E">
              <w:rPr>
                <w:rFonts w:ascii="Times New Roman" w:hAnsi="Times New Roman"/>
                <w:sz w:val="24"/>
              </w:rPr>
              <w:t>C</w:t>
            </w:r>
            <w:r w:rsidRPr="002A677E">
              <w:rPr>
                <w:rFonts w:ascii="Times New Roman" w:hAnsi="Times New Roman"/>
                <w:sz w:val="24"/>
              </w:rPr>
              <w:t xml:space="preserve">) </w:t>
            </w:r>
            <w:r w:rsidR="0016282F" w:rsidRPr="002A677E">
              <w:rPr>
                <w:rFonts w:ascii="Times New Roman" w:hAnsi="Times New Roman"/>
                <w:sz w:val="24"/>
              </w:rPr>
              <w:t>No </w:t>
            </w:r>
            <w:r w:rsidRPr="002A677E">
              <w:rPr>
                <w:rFonts w:ascii="Times New Roman" w:hAnsi="Times New Roman"/>
                <w:sz w:val="24"/>
              </w:rPr>
              <w:t xml:space="preserve">1606/2002 </w:t>
            </w:r>
            <w:r w:rsidR="0016282F" w:rsidRPr="002A677E">
              <w:rPr>
                <w:rFonts w:ascii="Times New Roman" w:hAnsi="Times New Roman"/>
                <w:sz w:val="24"/>
              </w:rPr>
              <w:t xml:space="preserve">of the European Parliament and of the Council </w:t>
            </w:r>
            <w:r w:rsidRPr="002A677E">
              <w:rPr>
                <w:rFonts w:ascii="Times New Roman" w:hAnsi="Times New Roman"/>
                <w:sz w:val="24"/>
              </w:rPr>
              <w:t>(‘EU IFRS’)</w:t>
            </w:r>
            <w:r w:rsidR="0016282F" w:rsidRPr="002A677E">
              <w:rPr>
                <w:rStyle w:val="FootnoteReference"/>
                <w:rFonts w:ascii="Times New Roman" w:hAnsi="Times New Roman"/>
                <w:sz w:val="20"/>
                <w:szCs w:val="20"/>
                <w:vertAlign w:val="superscript"/>
              </w:rPr>
              <w:footnoteReference w:id="11"/>
            </w:r>
            <w:r w:rsidR="0016282F" w:rsidRPr="002A677E">
              <w:rPr>
                <w:rFonts w:ascii="Times New Roman" w:hAnsi="Times New Roman"/>
                <w:sz w:val="24"/>
              </w:rPr>
              <w:t>;</w:t>
            </w:r>
          </w:p>
          <w:p w14:paraId="4663386E"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accounting standards compatible with EU IFRS (‘National GAAP compatible IFRS’)</w:t>
            </w:r>
            <w:r w:rsidR="0016282F" w:rsidRPr="002A677E">
              <w:rPr>
                <w:rFonts w:ascii="Times New Roman" w:hAnsi="Times New Roman"/>
                <w:sz w:val="24"/>
              </w:rPr>
              <w:t xml:space="preserve">; </w:t>
            </w:r>
            <w:r w:rsidRPr="002A677E">
              <w:rPr>
                <w:rFonts w:ascii="Times New Roman" w:hAnsi="Times New Roman"/>
                <w:sz w:val="24"/>
              </w:rPr>
              <w:t>or</w:t>
            </w:r>
          </w:p>
          <w:p w14:paraId="6778B4B1" w14:textId="4A237E5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GAAP based on</w:t>
            </w:r>
            <w:r w:rsidR="00B64EB6" w:rsidRPr="002A677E">
              <w:rPr>
                <w:rFonts w:ascii="Times New Roman" w:hAnsi="Times New Roman"/>
                <w:sz w:val="24"/>
              </w:rPr>
              <w:t xml:space="preserve"> Council Directive 86/635/EEC</w:t>
            </w:r>
            <w:r w:rsidR="00402284">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61B5140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9.Appendix A.</w:t>
            </w:r>
          </w:p>
          <w:p w14:paraId="7ACD732E"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050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this </w:t>
            </w:r>
            <w:r w:rsidR="00133396" w:rsidRPr="002A677E">
              <w:rPr>
                <w:rFonts w:ascii="Times New Roman" w:hAnsi="Times New Roman"/>
                <w:sz w:val="24"/>
              </w:rPr>
              <w:t xml:space="preserve">Implementing </w:t>
            </w:r>
            <w:r w:rsidR="001D4848" w:rsidRPr="002A677E">
              <w:rPr>
                <w:rFonts w:ascii="Times New Roman" w:hAnsi="Times New Roman"/>
                <w:sz w:val="24"/>
              </w:rPr>
              <w:t>Regulation</w:t>
            </w:r>
            <w:r w:rsidRPr="002A677E">
              <w:rPr>
                <w:rFonts w:ascii="Times New Roman" w:hAnsi="Times New Roman"/>
                <w:sz w:val="24"/>
              </w:rPr>
              <w:t>.</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230FCF67" w14:textId="50691181"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Articles 32</w:t>
            </w:r>
            <w:r w:rsidR="0016282F" w:rsidRPr="002A677E">
              <w:rPr>
                <w:rFonts w:ascii="Times New Roman" w:hAnsi="Times New Roman"/>
                <w:sz w:val="24"/>
              </w:rPr>
              <w:t xml:space="preserve"> and </w:t>
            </w:r>
            <w:r w:rsidRPr="002A677E">
              <w:rPr>
                <w:rFonts w:ascii="Times New Roman" w:hAnsi="Times New Roman"/>
                <w:sz w:val="24"/>
              </w:rPr>
              <w:t>33</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P</w:t>
            </w:r>
            <w:r w:rsidRPr="002A677E">
              <w:rPr>
                <w:rFonts w:ascii="Times New Roman" w:hAnsi="Times New Roman"/>
                <w:bCs/>
                <w:sz w:val="24"/>
                <w:lang w:eastAsia="de-DE"/>
              </w:rPr>
              <w:t>art 1.17 of Annex V to this Implementing Regulation</w:t>
            </w:r>
            <w:r w:rsidR="00B93FA1" w:rsidRPr="002A677E">
              <w:rPr>
                <w:rFonts w:ascii="Times New Roman" w:hAnsi="Times New Roman"/>
                <w:sz w:val="24"/>
              </w:rPr>
              <w:t xml:space="preserve"> </w:t>
            </w:r>
          </w:p>
          <w:p w14:paraId="309477B0"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lastRenderedPageBreak/>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091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4C78FD1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096 of template F</w:t>
            </w:r>
            <w:r w:rsidR="001D4848"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3F5C780D" w14:textId="1897C5A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 IFRS 9.4.1.5;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p>
          <w:p w14:paraId="59767246"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100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1.1.5</w:t>
            </w:r>
            <w:r w:rsidR="00402284">
              <w:rPr>
                <w:rFonts w:ascii="Times New Roman" w:hAnsi="Times New Roman"/>
                <w:b/>
                <w:sz w:val="24"/>
                <w:u w:val="single"/>
              </w:rPr>
              <w:t xml:space="preserve"> </w:t>
            </w:r>
            <w:r w:rsidRPr="002A677E">
              <w:rPr>
                <w:rFonts w:ascii="Times New Roman" w:hAnsi="Times New Roman"/>
                <w:b/>
                <w:sz w:val="24"/>
                <w:u w:val="single"/>
              </w:rPr>
              <w:t>FINANCIAL ASSETS AT FAIR VALUE THROUGH OTHER COMPREHENSIVE INCOME</w:t>
            </w:r>
          </w:p>
          <w:p w14:paraId="636C4CC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141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2B5CD1" w:rsidRPr="002A677E">
              <w:rPr>
                <w:rFonts w:ascii="Times New Roman" w:hAnsi="Times New Roman"/>
                <w:sz w:val="24"/>
              </w:rPr>
              <w:t xml:space="preserve">of Annexes III and IV to this </w:t>
            </w:r>
            <w:r w:rsidR="006B2333" w:rsidRPr="002A677E">
              <w:rPr>
                <w:rFonts w:ascii="Times New Roman" w:hAnsi="Times New Roman"/>
                <w:sz w:val="24"/>
              </w:rPr>
              <w:t xml:space="preserve">Implementing </w:t>
            </w:r>
            <w:r w:rsidR="002B5CD1" w:rsidRPr="002A677E">
              <w:rPr>
                <w:rFonts w:ascii="Times New Roman" w:hAnsi="Times New Roman"/>
                <w:sz w:val="24"/>
              </w:rPr>
              <w:t>Regulation</w:t>
            </w:r>
            <w:r w:rsidRPr="002A677E">
              <w:rPr>
                <w:rFonts w:ascii="Times New Roman" w:hAnsi="Times New Roman"/>
                <w:sz w:val="24"/>
              </w:rPr>
              <w:t>.</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sidRPr="002A677E">
              <w:rPr>
                <w:rFonts w:ascii="Times New Roman" w:hAnsi="Times New Roman"/>
                <w:sz w:val="24"/>
              </w:rPr>
              <w:t>Article 36(2)</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00B93FA1" w:rsidRPr="002A677E">
              <w:rPr>
                <w:rFonts w:ascii="Times New Roman" w:hAnsi="Times New Roman"/>
                <w:sz w:val="24"/>
              </w:rPr>
              <w:t xml:space="preserve">correspond to row </w:t>
            </w:r>
            <w:r w:rsidR="00787733" w:rsidRPr="002A677E">
              <w:rPr>
                <w:rFonts w:ascii="Times New Roman" w:hAnsi="Times New Roman"/>
                <w:sz w:val="24"/>
              </w:rPr>
              <w:t>0</w:t>
            </w:r>
            <w:r w:rsidR="00B93FA1" w:rsidRPr="002A677E">
              <w:rPr>
                <w:rFonts w:ascii="Times New Roman" w:hAnsi="Times New Roman"/>
                <w:sz w:val="24"/>
              </w:rPr>
              <w:t xml:space="preserve">171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7C1FCAF2" w14:textId="0788DE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 Article 8(8)</w:t>
            </w:r>
            <w:r w:rsidR="00402284">
              <w:rPr>
                <w:rFonts w:ascii="Times New Roman" w:hAnsi="Times New Roman"/>
                <w:sz w:val="24"/>
              </w:rPr>
              <w:t xml:space="preserve"> </w:t>
            </w:r>
            <w:r w:rsidR="002E27B0" w:rsidRPr="002A677E">
              <w:rPr>
                <w:rFonts w:ascii="Times New Roman" w:hAnsi="Times New Roman"/>
                <w:sz w:val="24"/>
              </w:rPr>
              <w:t>of Directive 2013/34/EU</w:t>
            </w:r>
            <w:r w:rsidR="00402284">
              <w:rPr>
                <w:rFonts w:ascii="Times New Roman" w:hAnsi="Times New Roman"/>
                <w:sz w:val="24"/>
              </w:rPr>
              <w:t xml:space="preserv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C11B8D"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175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21863DB3" w14:textId="2BC6F2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37</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Article 12(7)</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35F9C17D"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 xml:space="preserve">234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w:t>
            </w:r>
            <w:r w:rsidR="0016282F"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26336693" w14:textId="1F07953D"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IFRS 9.6.2.1; </w:t>
            </w:r>
            <w:r w:rsidR="002F78EA" w:rsidRPr="002A677E">
              <w:rPr>
                <w:rFonts w:ascii="Times New Roman" w:hAnsi="Times New Roman"/>
                <w:bCs/>
                <w:sz w:val="24"/>
                <w:lang w:eastAsia="de-DE"/>
              </w:rPr>
              <w:t>Part 1.22 of Annex V to this Implementing Regulation</w:t>
            </w:r>
            <w:r w:rsidRPr="002A677E">
              <w:rPr>
                <w:rFonts w:ascii="Times New Roman" w:hAnsi="Times New Roman"/>
                <w:sz w:val="24"/>
              </w:rPr>
              <w:t>;</w:t>
            </w:r>
            <w:r w:rsidR="00402284">
              <w:rPr>
                <w:rFonts w:ascii="Times New Roman" w:hAnsi="Times New Roman"/>
                <w:sz w:val="24"/>
              </w:rPr>
              <w:t xml:space="preserve">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w:t>
            </w:r>
            <w:r w:rsidR="00587E96" w:rsidRPr="002A677E">
              <w:rPr>
                <w:rFonts w:ascii="Times New Roman" w:hAnsi="Times New Roman"/>
                <w:sz w:val="24"/>
              </w:rPr>
              <w:t>, paragraphs 6 and 8</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IAS 39.9</w:t>
            </w:r>
          </w:p>
          <w:p w14:paraId="1CF2E4FB"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240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w:t>
            </w:r>
            <w:r w:rsidR="002F78EA" w:rsidRPr="002A677E">
              <w:rPr>
                <w:rFonts w:ascii="Times New Roman" w:hAnsi="Times New Roman"/>
                <w:sz w:val="24"/>
              </w:rPr>
              <w:t>Article 8</w:t>
            </w:r>
            <w:r w:rsidR="00587E96" w:rsidRPr="002A677E">
              <w:rPr>
                <w:rFonts w:ascii="Times New Roman" w:hAnsi="Times New Roman"/>
                <w:sz w:val="24"/>
              </w:rPr>
              <w:t xml:space="preserve">, paragraphs 5 and 6 </w:t>
            </w:r>
            <w:r w:rsidR="00AB7835">
              <w:rPr>
                <w:rFonts w:ascii="Times New Roman" w:hAnsi="Times New Roman"/>
                <w:sz w:val="24"/>
              </w:rPr>
              <w:t>of</w:t>
            </w:r>
            <w:r w:rsidR="00AB7835" w:rsidRPr="00D768D3">
              <w:rPr>
                <w:rFonts w:ascii="Times New Roman" w:hAnsi="Times New Roman"/>
                <w:sz w:val="24"/>
              </w:rPr>
              <w:t xml:space="preserve"> Directive 2013/34/EU of the European Parliament and of the Council</w:t>
            </w:r>
            <w:r w:rsidR="00AB7835" w:rsidRPr="002A677E">
              <w:rPr>
                <w:vertAlign w:val="superscript"/>
              </w:rPr>
              <w:footnoteReference w:id="12"/>
            </w:r>
            <w:r w:rsidR="00587E96" w:rsidRPr="002A677E">
              <w:rPr>
                <w:rFonts w:ascii="Times New Roman" w:hAnsi="Times New Roman"/>
                <w:sz w:val="24"/>
              </w:rPr>
              <w:t xml:space="preserve">. </w:t>
            </w: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250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4186901D" w14:textId="3DABF43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1.54(e); </w:t>
            </w:r>
            <w:r w:rsidR="002F78EA" w:rsidRPr="002A677E">
              <w:rPr>
                <w:rFonts w:ascii="Times New Roman" w:hAnsi="Times New Roman"/>
                <w:bCs/>
                <w:sz w:val="24"/>
                <w:lang w:eastAsia="de-DE"/>
              </w:rPr>
              <w:t>Parts 1.21 and 2.4 of Annex V to this Implementing Regulation</w:t>
            </w:r>
            <w:r w:rsidRPr="002A677E">
              <w:rPr>
                <w:rFonts w:ascii="Times New Roman" w:hAnsi="Times New Roman"/>
                <w:sz w:val="24"/>
              </w:rPr>
              <w:t xml:space="preserve">; </w:t>
            </w:r>
            <w:r w:rsidR="002F78EA" w:rsidRPr="002A677E">
              <w:rPr>
                <w:rFonts w:ascii="Times New Roman" w:hAnsi="Times New Roman"/>
                <w:sz w:val="24"/>
              </w:rPr>
              <w:t>Article 4</w:t>
            </w:r>
            <w:r w:rsidR="00587E96" w:rsidRPr="002A677E">
              <w:rPr>
                <w:rFonts w:ascii="Times New Roman" w:hAnsi="Times New Roman"/>
                <w:sz w:val="24"/>
              </w:rPr>
              <w:t>, points (7) and (8)</w:t>
            </w:r>
            <w:r w:rsidR="002E7287">
              <w:rPr>
                <w:rFonts w:ascii="Times New Roman" w:hAnsi="Times New Roman"/>
                <w:sz w:val="24"/>
              </w:rPr>
              <w:t>,</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Article 2(2)</w:t>
            </w:r>
            <w:r w:rsidR="00402284">
              <w:rPr>
                <w:rFonts w:ascii="Times New Roman" w:hAnsi="Times New Roman"/>
                <w:sz w:val="24"/>
              </w:rPr>
              <w:t xml:space="preserve"> </w:t>
            </w:r>
            <w:r w:rsidR="002E27B0" w:rsidRPr="002A677E">
              <w:rPr>
                <w:rFonts w:ascii="Times New Roman" w:hAnsi="Times New Roman"/>
                <w:sz w:val="24"/>
              </w:rPr>
              <w:t>of Directive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260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35FEB8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375 of template</w:t>
            </w:r>
            <w:r w:rsidR="002B5CD1" w:rsidRPr="002A677E">
              <w:rPr>
                <w:rFonts w:ascii="Times New Roman" w:hAnsi="Times New Roman"/>
                <w:sz w:val="24"/>
              </w:rPr>
              <w:t xml:space="preserve"> 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00827BBD" w:rsidRPr="00827BBD">
              <w:rPr>
                <w:rFonts w:ascii="Times New Roman" w:hAnsi="Times New Roman"/>
                <w:b/>
                <w:sz w:val="24"/>
                <w:u w:val="single"/>
              </w:rPr>
              <w:t>NON-CURRENT ASSETS AND DISPOSAL GROUPS CLASSIFIED AS HELD FOR SALE</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aragraph</w:t>
            </w:r>
            <w:r w:rsidR="00827BBD">
              <w:rPr>
                <w:rFonts w:ascii="Times New Roman" w:hAnsi="Times New Roman"/>
                <w:bCs/>
                <w:sz w:val="24"/>
                <w:lang w:eastAsia="de-DE"/>
              </w:rPr>
              <w:t xml:space="preserve">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sidR="00402284">
              <w:rPr>
                <w:rFonts w:ascii="Times New Roman" w:hAnsi="Times New Roman"/>
                <w:b/>
                <w:sz w:val="24"/>
                <w:u w:val="single"/>
              </w:rPr>
              <w:t xml:space="preserve"> </w:t>
            </w:r>
          </w:p>
          <w:p w14:paraId="1444AE8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liabilities reported in rows </w:t>
            </w:r>
            <w:r w:rsidR="002B5CD1" w:rsidRPr="002A677E">
              <w:rPr>
                <w:rFonts w:ascii="Times New Roman" w:hAnsi="Times New Roman"/>
                <w:sz w:val="24"/>
              </w:rPr>
              <w:t>0</w:t>
            </w:r>
            <w:r w:rsidRPr="002A677E">
              <w:rPr>
                <w:rFonts w:ascii="Times New Roman" w:hAnsi="Times New Roman"/>
                <w:sz w:val="24"/>
              </w:rPr>
              <w:t xml:space="preserve">160 to </w:t>
            </w:r>
            <w:r w:rsidR="002B5CD1" w:rsidRPr="002A677E">
              <w:rPr>
                <w:rFonts w:ascii="Times New Roman" w:hAnsi="Times New Roman"/>
                <w:sz w:val="24"/>
              </w:rPr>
              <w:t>0</w:t>
            </w:r>
            <w:r w:rsidRPr="002A677E">
              <w:rPr>
                <w:rFonts w:ascii="Times New Roman" w:hAnsi="Times New Roman"/>
                <w:sz w:val="24"/>
              </w:rPr>
              <w:t>210.</w:t>
            </w:r>
          </w:p>
          <w:p w14:paraId="29E7AA9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2B5CD1" w:rsidRPr="002A677E">
              <w:rPr>
                <w:rFonts w:ascii="Times New Roman" w:hAnsi="Times New Roman"/>
                <w:sz w:val="24"/>
              </w:rPr>
              <w:t>0</w:t>
            </w:r>
            <w:r w:rsidRPr="002A677E">
              <w:rPr>
                <w:rFonts w:ascii="Times New Roman" w:hAnsi="Times New Roman"/>
                <w:sz w:val="24"/>
              </w:rPr>
              <w:t xml:space="preserve">150 to </w:t>
            </w:r>
            <w:r w:rsidR="002B5CD1" w:rsidRPr="002A677E">
              <w:rPr>
                <w:rFonts w:ascii="Times New Roman" w:hAnsi="Times New Roman"/>
                <w:sz w:val="24"/>
              </w:rPr>
              <w:t>0</w:t>
            </w:r>
            <w:r w:rsidRPr="002A677E">
              <w:rPr>
                <w:rFonts w:ascii="Times New Roman" w:hAnsi="Times New Roman"/>
                <w:sz w:val="24"/>
              </w:rPr>
              <w:t xml:space="preserve">190 shall be reported in line with FINREP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Pr="002A677E">
              <w:rPr>
                <w:rFonts w:ascii="Times New Roman" w:hAnsi="Times New Roman"/>
                <w:sz w:val="24"/>
              </w:rPr>
              <w:t xml:space="preserve"> depending on the institution’s applicable standards: </w:t>
            </w:r>
          </w:p>
          <w:p w14:paraId="37890667"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lastRenderedPageBreak/>
              <w:t>IFRS as endorsed by the Union in application of Regulation (E</w:t>
            </w:r>
            <w:r w:rsidR="008D230A" w:rsidRPr="002A677E">
              <w:rPr>
                <w:rFonts w:ascii="Times New Roman" w:hAnsi="Times New Roman"/>
                <w:sz w:val="24"/>
              </w:rPr>
              <w:t>C</w:t>
            </w:r>
            <w:r w:rsidRPr="002A677E">
              <w:rPr>
                <w:rFonts w:ascii="Times New Roman" w:hAnsi="Times New Roman"/>
                <w:sz w:val="24"/>
              </w:rPr>
              <w:t xml:space="preserve">) </w:t>
            </w:r>
            <w:r w:rsidR="008D230A" w:rsidRPr="002A677E">
              <w:rPr>
                <w:rFonts w:ascii="Times New Roman" w:hAnsi="Times New Roman"/>
                <w:sz w:val="24"/>
              </w:rPr>
              <w:t>No </w:t>
            </w:r>
            <w:r w:rsidRPr="002A677E">
              <w:rPr>
                <w:rFonts w:ascii="Times New Roman" w:hAnsi="Times New Roman"/>
                <w:sz w:val="24"/>
              </w:rPr>
              <w:t>1606/2002 (‘EU IFRS’)</w:t>
            </w:r>
          </w:p>
          <w:p w14:paraId="1EC76E31"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63DB204C" w14:textId="27FC359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or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7020356D" w14:textId="13ED189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010 of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4891C92A" w14:textId="001D7CDC"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w:t>
            </w:r>
            <w:r w:rsidR="00402284">
              <w:rPr>
                <w:rFonts w:ascii="Times New Roman" w:hAnsi="Times New Roman"/>
                <w:sz w:val="24"/>
              </w:rPr>
              <w:t xml:space="preserve"> </w:t>
            </w:r>
            <w:r w:rsidRPr="002A677E">
              <w:rPr>
                <w:rFonts w:ascii="Times New Roman" w:hAnsi="Times New Roman"/>
                <w:sz w:val="24"/>
              </w:rPr>
              <w:t>Article 8</w:t>
            </w:r>
            <w:r w:rsidR="00B83DDE">
              <w:rPr>
                <w:rFonts w:ascii="Times New Roman" w:hAnsi="Times New Roman"/>
                <w:sz w:val="24"/>
              </w:rPr>
              <w:t>, p</w:t>
            </w:r>
            <w:r w:rsidR="00587E96" w:rsidRPr="002A677E">
              <w:rPr>
                <w:rFonts w:ascii="Times New Roman" w:hAnsi="Times New Roman"/>
                <w:sz w:val="24"/>
              </w:rPr>
              <w:t>aragraphs 3 and 6</w:t>
            </w:r>
            <w:r w:rsidR="00402284">
              <w:rPr>
                <w:rFonts w:ascii="Times New Roman" w:hAnsi="Times New Roman"/>
                <w:sz w:val="24"/>
              </w:rPr>
              <w:t xml:space="preserve"> </w:t>
            </w:r>
            <w:r w:rsidR="002E27B0" w:rsidRPr="002A677E">
              <w:rPr>
                <w:rFonts w:ascii="Times New Roman" w:hAnsi="Times New Roman"/>
                <w:sz w:val="24"/>
              </w:rPr>
              <w:t>of Directive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061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14ED5A66" w14:textId="74BD209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 IFRS 9.4.2.2;</w:t>
            </w:r>
            <w:r w:rsidR="00DC1E40" w:rsidRPr="002A677E">
              <w:rPr>
                <w:rFonts w:ascii="Times New Roman" w:hAnsi="Times New Roman"/>
                <w:sz w:val="24"/>
              </w:rPr>
              <w:t xml:space="preserve"> Article 8(1)</w:t>
            </w:r>
            <w:r w:rsidR="00B83DDE">
              <w:rPr>
                <w:rFonts w:ascii="Times New Roman" w:hAnsi="Times New Roman"/>
                <w:sz w:val="24"/>
              </w:rPr>
              <w:t>, p</w:t>
            </w:r>
            <w:r w:rsidR="00DC1E40" w:rsidRPr="002A677E">
              <w:rPr>
                <w:rFonts w:ascii="Times New Roman" w:hAnsi="Times New Roman"/>
                <w:sz w:val="24"/>
              </w:rPr>
              <w:t xml:space="preserve">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IAS 39.9. </w:t>
            </w:r>
          </w:p>
          <w:p w14:paraId="70B1BEB6"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070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7E1EF15" w14:textId="5ACCB9B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1.26 of Annex V to this Implementing Regulation</w:t>
            </w:r>
            <w:r w:rsidRPr="002A677E">
              <w:rPr>
                <w:rFonts w:ascii="Times New Roman" w:hAnsi="Times New Roman"/>
                <w:sz w:val="24"/>
              </w:rPr>
              <w:t xml:space="preserve">; </w:t>
            </w:r>
            <w:r w:rsidR="00DC1E40" w:rsidRPr="002A677E">
              <w:rPr>
                <w:rFonts w:ascii="Times New Roman" w:hAnsi="Times New Roman"/>
                <w:sz w:val="24"/>
              </w:rPr>
              <w:t>Article 8(1)</w:t>
            </w:r>
            <w:r w:rsidR="00B83DDE">
              <w:rPr>
                <w:rFonts w:ascii="Times New Roman" w:hAnsi="Times New Roman"/>
                <w:sz w:val="24"/>
              </w:rPr>
              <w:t>, p</w:t>
            </w:r>
            <w:r w:rsidR="00DC1E40" w:rsidRPr="002A677E">
              <w:rPr>
                <w:rFonts w:ascii="Times New Roman" w:hAnsi="Times New Roman"/>
                <w:sz w:val="24"/>
              </w:rPr>
              <w:t>oint (a)</w:t>
            </w:r>
            <w:r w:rsidR="002F78EA" w:rsidRPr="002A677E">
              <w:rPr>
                <w:rFonts w:ascii="Times New Roman" w:hAnsi="Times New Roman"/>
                <w:sz w:val="24"/>
              </w:rPr>
              <w:t>, (6) and (8)</w:t>
            </w:r>
            <w:r w:rsidR="0055144E">
              <w:rPr>
                <w:rFonts w:ascii="Times New Roman" w:hAnsi="Times New Roman"/>
                <w:sz w:val="24"/>
              </w:rPr>
              <w:t>,</w:t>
            </w:r>
            <w:r w:rsidR="0055144E" w:rsidRPr="002A677E">
              <w:rPr>
                <w:rFonts w:ascii="Times New Roman" w:hAnsi="Times New Roman"/>
                <w:sz w:val="24"/>
              </w:rPr>
              <w:t xml:space="preserve"> point (a)</w:t>
            </w:r>
            <w:r w:rsidR="0055144E">
              <w:rPr>
                <w:rFonts w:ascii="Times New Roman" w:hAnsi="Times New Roman"/>
                <w:sz w:val="24"/>
              </w:rPr>
              <w:t>,</w:t>
            </w:r>
            <w:r w:rsidR="002F78EA" w:rsidRPr="002A677E">
              <w:rPr>
                <w:rFonts w:ascii="Times New Roman" w:hAnsi="Times New Roman"/>
                <w:sz w:val="24"/>
              </w:rPr>
              <w:t xml:space="preserve"> </w:t>
            </w:r>
            <w:r w:rsidR="002E27B0" w:rsidRPr="002A677E">
              <w:rPr>
                <w:rFonts w:ascii="Times New Roman" w:hAnsi="Times New Roman"/>
                <w:sz w:val="24"/>
              </w:rPr>
              <w:t>of Directive 2013/34/EU</w:t>
            </w:r>
          </w:p>
          <w:p w14:paraId="619DE6FF"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150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w:t>
            </w:r>
            <w:r w:rsidR="00EC7AB4"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350204C6" w14:textId="6EC34D2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39.89A(b), IFRS 9.6.5.8; </w:t>
            </w:r>
            <w:r w:rsidR="002F78EA" w:rsidRPr="002A677E">
              <w:rPr>
                <w:rFonts w:ascii="Times New Roman" w:hAnsi="Times New Roman"/>
                <w:sz w:val="24"/>
              </w:rPr>
              <w:t>Article 8</w:t>
            </w:r>
            <w:r w:rsidR="00DC1E40" w:rsidRPr="002A677E">
              <w:rPr>
                <w:rFonts w:ascii="Times New Roman" w:hAnsi="Times New Roman"/>
                <w:sz w:val="24"/>
              </w:rPr>
              <w:t xml:space="preserve">, paragraphs 5 and 6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 xml:space="preserve">Part 2.8 of </w:t>
            </w:r>
            <w:r w:rsidRPr="002A677E">
              <w:rPr>
                <w:rFonts w:ascii="Times New Roman" w:hAnsi="Times New Roman"/>
                <w:sz w:val="24"/>
              </w:rPr>
              <w:t>Annex V</w:t>
            </w:r>
            <w:r w:rsidR="002F78EA" w:rsidRPr="002A677E">
              <w:rPr>
                <w:rFonts w:ascii="Times New Roman" w:hAnsi="Times New Roman"/>
                <w:sz w:val="24"/>
              </w:rPr>
              <w:t xml:space="preserve"> to this Implementing Regulation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160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5E306F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295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 xml:space="preserve">Liabilities </w:t>
            </w:r>
            <w:r w:rsidR="00827BBD">
              <w:rPr>
                <w:rFonts w:ascii="Times New Roman" w:hAnsi="Times New Roman"/>
                <w:sz w:val="24"/>
              </w:rPr>
              <w:t xml:space="preserve">as referred to in </w:t>
            </w:r>
            <w:r w:rsidR="00827BBD" w:rsidRPr="002A677E">
              <w:rPr>
                <w:rFonts w:ascii="Times New Roman" w:hAnsi="Times New Roman"/>
                <w:bCs/>
                <w:sz w:val="24"/>
                <w:lang w:eastAsia="de-DE"/>
              </w:rPr>
              <w:t>Annex V</w:t>
            </w:r>
            <w:r w:rsidR="00B83DDE">
              <w:rPr>
                <w:rFonts w:ascii="Times New Roman" w:hAnsi="Times New Roman"/>
                <w:bCs/>
                <w:sz w:val="24"/>
                <w:lang w:eastAsia="de-DE"/>
              </w:rPr>
              <w:t>, p</w:t>
            </w:r>
            <w:r w:rsidR="00827BBD">
              <w:rPr>
                <w:rFonts w:ascii="Times New Roman" w:hAnsi="Times New Roman"/>
                <w:bCs/>
                <w:sz w:val="24"/>
                <w:lang w:eastAsia="de-DE"/>
              </w:rPr>
              <w:t>art 2</w:t>
            </w:r>
            <w:r w:rsidR="00B83DDE">
              <w:rPr>
                <w:rFonts w:ascii="Times New Roman" w:hAnsi="Times New Roman"/>
                <w:bCs/>
                <w:sz w:val="24"/>
                <w:lang w:eastAsia="de-DE"/>
              </w:rPr>
              <w:t>, p</w:t>
            </w:r>
            <w:r w:rsidR="00827BBD">
              <w:rPr>
                <w:rFonts w:ascii="Times New Roman" w:hAnsi="Times New Roman"/>
                <w:bCs/>
                <w:sz w:val="24"/>
                <w:lang w:eastAsia="de-DE"/>
              </w:rPr>
              <w:t xml:space="preserve">aragraph 14 </w:t>
            </w:r>
            <w:r w:rsidR="00827BBD" w:rsidRPr="002A677E">
              <w:rPr>
                <w:rFonts w:ascii="Times New Roman" w:hAnsi="Times New Roman"/>
                <w:bCs/>
                <w:sz w:val="24"/>
                <w:lang w:eastAsia="de-DE"/>
              </w:rPr>
              <w:t>to this Implementing Regulation</w:t>
            </w:r>
            <w:r w:rsidR="00827BBD">
              <w:rPr>
                <w:rFonts w:ascii="Times New Roman" w:hAnsi="Times New Roman"/>
                <w:bCs/>
                <w:sz w:val="24"/>
                <w:lang w:eastAsia="de-DE"/>
              </w:rPr>
              <w:t>, to the extent they are valued at fair value.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5" w:name="_Toc151714513"/>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755"/>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6" w:name="_Toc151714514"/>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56"/>
      <w:r w:rsidRPr="002A677E">
        <w:rPr>
          <w:rFonts w:ascii="Times New Roman" w:hAnsi="Times New Roman" w:cs="Times New Roman"/>
          <w:sz w:val="24"/>
          <w:u w:val="none"/>
          <w:lang w:val="en-GB"/>
        </w:rPr>
        <w:t xml:space="preserve"> </w:t>
      </w:r>
    </w:p>
    <w:p w14:paraId="26158FB2" w14:textId="1F32BB75" w:rsidR="00B93FA1"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180</w:t>
      </w:r>
      <w:r w:rsidRPr="005B57EC">
        <w:rPr>
          <w:noProof/>
        </w:rPr>
        <w:fldChar w:fldCharType="end"/>
      </w:r>
      <w:r w:rsidR="00B93FA1" w:rsidRPr="002A677E">
        <w:t xml:space="preserve">. The purpose of this template is to provide information on the composition of the total AVA to be deducted from own funds under Articles 34 and 105 </w:t>
      </w:r>
      <w:r w:rsidR="00FE28F4" w:rsidRPr="001235ED">
        <w:rPr>
          <w:lang w:val="en-US"/>
        </w:rPr>
        <w:t>of Regulation (EU) No 575/2013</w:t>
      </w:r>
      <w:r w:rsidR="00B93FA1" w:rsidRPr="002A677E">
        <w:t xml:space="preserve"> alongside relevant information about the accounting valuation of the positions that give rise to the determination of AVAs.</w:t>
      </w:r>
    </w:p>
    <w:p w14:paraId="2436765C" w14:textId="784E493F" w:rsidR="00B93FA1"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181</w:t>
      </w:r>
      <w:r w:rsidRPr="005B57EC">
        <w:rPr>
          <w:noProof/>
        </w:rPr>
        <w:fldChar w:fldCharType="end"/>
      </w:r>
      <w:r w:rsidR="00B93FA1" w:rsidRPr="002A677E">
        <w:t xml:space="preserve">. This template shall be completed by all institutions that: </w:t>
      </w:r>
    </w:p>
    <w:p w14:paraId="586760F7" w14:textId="71BC7D2D" w:rsidR="00B93FA1" w:rsidRPr="002A677E" w:rsidRDefault="00B93FA1" w:rsidP="00C112F8">
      <w:pPr>
        <w:pStyle w:val="InstructionsText2"/>
        <w:numPr>
          <w:ilvl w:val="0"/>
          <w:numId w:val="0"/>
        </w:numPr>
        <w:ind w:left="993"/>
      </w:pPr>
      <w:r w:rsidRPr="002A677E">
        <w:t xml:space="preserve">(a) </w:t>
      </w:r>
      <w:r w:rsidR="00973707" w:rsidRPr="002A677E">
        <w:t>a</w:t>
      </w:r>
      <w:r w:rsidRPr="002A677E">
        <w:t xml:space="preserve">re required to use the </w:t>
      </w:r>
      <w:r w:rsidR="002A5BC5" w:rsidRPr="002A677E">
        <w:t>c</w:t>
      </w:r>
      <w:r w:rsidRPr="002A677E">
        <w:t>ore approach because they exceed the threshold referred to in Article 4(1) of</w:t>
      </w:r>
      <w:r w:rsidR="00402284">
        <w:t xml:space="preserve"> </w:t>
      </w:r>
      <w:r w:rsidR="009F5262" w:rsidRPr="002A677E">
        <w:t>Delegated Regulation (EU) 2016/101</w:t>
      </w:r>
      <w:r w:rsidRPr="002A677E">
        <w:t xml:space="preserve">, either on an individual basis or on a consolidated basis as set out in Article 4(3) </w:t>
      </w:r>
      <w:r w:rsidR="002A5BC5" w:rsidRPr="002A677E">
        <w:t xml:space="preserve">of that </w:t>
      </w:r>
      <w:r w:rsidR="009F5262" w:rsidRPr="002A677E">
        <w:t>Regulation</w:t>
      </w:r>
      <w:r w:rsidR="002A5BC5" w:rsidRPr="002A677E">
        <w:t>;</w:t>
      </w:r>
      <w:r w:rsidR="00973707" w:rsidRPr="002A677E">
        <w:t xml:space="preserve"> or</w:t>
      </w:r>
    </w:p>
    <w:p w14:paraId="10FFD0C1" w14:textId="77777777" w:rsidR="00B93FA1" w:rsidRPr="002A677E" w:rsidRDefault="00973707" w:rsidP="00C112F8">
      <w:pPr>
        <w:pStyle w:val="InstructionsText2"/>
        <w:numPr>
          <w:ilvl w:val="0"/>
          <w:numId w:val="0"/>
        </w:numPr>
        <w:ind w:left="993"/>
      </w:pPr>
      <w:r w:rsidRPr="002A677E">
        <w:t>(b) h</w:t>
      </w:r>
      <w:r w:rsidR="00B93FA1" w:rsidRPr="002A677E">
        <w:t xml:space="preserve">ave chosen to apply the </w:t>
      </w:r>
      <w:r w:rsidR="002A5BC5" w:rsidRPr="002A677E">
        <w:t>c</w:t>
      </w:r>
      <w:r w:rsidR="00B93FA1" w:rsidRPr="002A677E">
        <w:t xml:space="preserve">ore approach despite not exceeding the threshold. </w:t>
      </w:r>
    </w:p>
    <w:p w14:paraId="40F83A9B" w14:textId="6E5CFC9B" w:rsidR="00973707"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182</w:t>
      </w:r>
      <w:r w:rsidRPr="005B57EC">
        <w:rPr>
          <w:noProof/>
        </w:rPr>
        <w:fldChar w:fldCharType="end"/>
      </w:r>
      <w:r w:rsidR="00973707" w:rsidRPr="002A677E">
        <w:t>. For the purposes of this template, ‘u</w:t>
      </w:r>
      <w:r w:rsidR="00B93FA1" w:rsidRPr="002A677E">
        <w:t>pside uncertainty</w:t>
      </w:r>
      <w:r w:rsidR="00973707" w:rsidRPr="002A677E">
        <w:t xml:space="preserve">’ shall </w:t>
      </w:r>
      <w:r w:rsidR="002A5BC5" w:rsidRPr="002A677E">
        <w:t>mean the following</w:t>
      </w:r>
      <w:r w:rsidR="00B93FA1" w:rsidRPr="002A677E">
        <w:t>: As determined by Article 8(2) of</w:t>
      </w:r>
      <w:r w:rsidR="009F5262" w:rsidRPr="002A677E">
        <w:t xml:space="preserve"> Delegated Regulation (EU) 2016/101</w:t>
      </w:r>
      <w:r w:rsidR="00B93FA1" w:rsidRPr="002A677E">
        <w:t>, AVAs are calculated as the difference between the fair value and a prudent valuation that is de</w:t>
      </w:r>
      <w:r w:rsidR="002A5BC5" w:rsidRPr="002A677E">
        <w:t>termined</w:t>
      </w:r>
      <w:r w:rsidR="00B93FA1" w:rsidRPr="002A677E">
        <w:t xml:space="preserve"> on the basis of a 90</w:t>
      </w:r>
      <w:r w:rsidR="00B856D5">
        <w:t> </w:t>
      </w:r>
      <w:r w:rsidR="00B93FA1" w:rsidRPr="002A677E">
        <w:t>% confidence that institutions can exit the exposure at that point or better within the notional range of plausible values. The upside value or ‘upside uncertainty’ is the opposing point in the distribution of plausible values at which institutions are only 10</w:t>
      </w:r>
      <w:r w:rsidR="00B856D5">
        <w:t> </w:t>
      </w:r>
      <w:r w:rsidR="00B93FA1" w:rsidRPr="002A677E">
        <w:t>% confident that they can exit the position at that point or better. The upside uncertainty shall be calculated and aggregated on the same basis as the total AVA but substituting a 10</w:t>
      </w:r>
      <w:r w:rsidR="00B856D5">
        <w:t> </w:t>
      </w:r>
      <w:r w:rsidR="00B93FA1" w:rsidRPr="002A677E">
        <w:t>% level of certainty for the 90</w:t>
      </w:r>
      <w:r w:rsidR="00B856D5">
        <w:t> </w:t>
      </w:r>
      <w:r w:rsidR="00B93FA1" w:rsidRPr="002A677E">
        <w:t>% used when determining the total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57" w:name="_Toc151714515"/>
      <w:r w:rsidRPr="002A677E">
        <w:rPr>
          <w:rFonts w:ascii="Times New Roman" w:hAnsi="Times New Roman" w:cs="Times New Roman"/>
          <w:sz w:val="24"/>
          <w:u w:val="none"/>
          <w:lang w:val="en-GB"/>
        </w:rPr>
        <w:t>6.</w:t>
      </w:r>
      <w:r w:rsidR="00973707"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t>Instructions concerning specific positions</w:t>
      </w:r>
      <w:bookmarkEnd w:id="757"/>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010 - </w:t>
            </w:r>
            <w:r w:rsidRPr="002A677E">
              <w:rPr>
                <w:rFonts w:ascii="Times New Roman" w:hAnsi="Times New Roman"/>
                <w:sz w:val="24"/>
              </w:rPr>
              <w:t>0</w:t>
            </w:r>
            <w:r w:rsidR="00973707" w:rsidRPr="002A677E">
              <w:rPr>
                <w:rFonts w:ascii="Times New Roman" w:hAnsi="Times New Roman"/>
                <w:sz w:val="24"/>
              </w:rPr>
              <w:t>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6517B4B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2A677E">
              <w:rPr>
                <w:rFonts w:ascii="Times New Roman" w:hAnsi="Times New Roman"/>
                <w:sz w:val="24"/>
              </w:rPr>
              <w:t>,</w:t>
            </w:r>
            <w:r w:rsidRPr="002A677E">
              <w:rPr>
                <w:rFonts w:ascii="Times New Roman" w:hAnsi="Times New Roman"/>
                <w:sz w:val="24"/>
              </w:rPr>
              <w:t xml:space="preserve"> </w:t>
            </w:r>
            <w:r w:rsidR="00614509" w:rsidRPr="002A677E">
              <w:rPr>
                <w:rFonts w:ascii="Times New Roman" w:hAnsi="Times New Roman"/>
                <w:sz w:val="24"/>
              </w:rPr>
              <w:t>10,</w:t>
            </w:r>
            <w:r w:rsidRPr="002A677E">
              <w:rPr>
                <w:rFonts w:ascii="Times New Roman" w:hAnsi="Times New Roman"/>
                <w:sz w:val="24"/>
              </w:rPr>
              <w:t xml:space="preserve"> 11 and 14 to 17</w:t>
            </w:r>
            <w:r w:rsidR="00033B7C" w:rsidRPr="002A677E">
              <w:rPr>
                <w:rFonts w:ascii="Times New Roman" w:hAnsi="Times New Roman"/>
                <w:sz w:val="24"/>
              </w:rPr>
              <w:t xml:space="preserve"> of </w:t>
            </w:r>
            <w:r w:rsidR="00F811F8" w:rsidRPr="002A677E">
              <w:rPr>
                <w:rFonts w:ascii="Times New Roman" w:hAnsi="Times New Roman"/>
                <w:sz w:val="24"/>
              </w:rPr>
              <w:t xml:space="preserve">Delegated Regulation (EU) 2016/101 </w:t>
            </w:r>
            <w:r w:rsidRPr="002A677E">
              <w:rPr>
                <w:rFonts w:ascii="Times New Roman" w:hAnsi="Times New Roman"/>
                <w:sz w:val="24"/>
              </w:rPr>
              <w:t>respectively.</w:t>
            </w:r>
          </w:p>
          <w:p w14:paraId="597BF97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For the market price uncertainty, close-out cost and model risk categories, which are subject to diversification benefit as set out </w:t>
            </w:r>
            <w:r w:rsidR="00614509" w:rsidRPr="002A677E">
              <w:rPr>
                <w:rFonts w:ascii="Times New Roman" w:hAnsi="Times New Roman"/>
                <w:sz w:val="24"/>
              </w:rPr>
              <w:t>in</w:t>
            </w:r>
            <w:r w:rsidRPr="002A677E">
              <w:rPr>
                <w:rFonts w:ascii="Times New Roman" w:hAnsi="Times New Roman"/>
                <w:sz w:val="24"/>
              </w:rPr>
              <w:t xml:space="preserve"> Articles 9(6), 10(7) and 11(7) of</w:t>
            </w:r>
            <w:r w:rsidR="00F811F8" w:rsidRPr="002A677E">
              <w:rPr>
                <w:rFonts w:ascii="Times New Roman" w:hAnsi="Times New Roman"/>
                <w:sz w:val="24"/>
              </w:rPr>
              <w:t xml:space="preserve"> Delegated Regulation (EU) 2016/101</w:t>
            </w:r>
            <w:r w:rsidR="003F1103" w:rsidRPr="002A677E">
              <w:rPr>
                <w:rFonts w:ascii="Times New Roman" w:hAnsi="Times New Roman"/>
                <w:sz w:val="24"/>
              </w:rPr>
              <w:t>,</w:t>
            </w:r>
            <w:r w:rsidR="00033B7C" w:rsidRPr="002A677E">
              <w:rPr>
                <w:rFonts w:ascii="Times New Roman" w:hAnsi="Times New Roman"/>
                <w:sz w:val="24"/>
              </w:rPr>
              <w:t xml:space="preserve"> </w:t>
            </w:r>
            <w:r w:rsidRPr="002A677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2A677E">
              <w:rPr>
                <w:rFonts w:ascii="Times New Roman" w:hAnsi="Times New Roman"/>
                <w:sz w:val="24"/>
              </w:rPr>
              <w:t>[</w:t>
            </w:r>
            <w:r w:rsidRPr="002A677E">
              <w:rPr>
                <w:rFonts w:ascii="Times New Roman" w:hAnsi="Times New Roman"/>
                <w:sz w:val="24"/>
              </w:rPr>
              <w:t xml:space="preserve">since diversification benefits calculated using method 1 or method 2 of the Annex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are reported in </w:t>
            </w:r>
            <w:r w:rsidR="00033B7C" w:rsidRPr="002A677E">
              <w:rPr>
                <w:rFonts w:ascii="Times New Roman" w:hAnsi="Times New Roman"/>
                <w:sz w:val="24"/>
              </w:rPr>
              <w:t>items</w:t>
            </w:r>
            <w:r w:rsidRPr="002A677E">
              <w:rPr>
                <w:rFonts w:ascii="Times New Roman" w:hAnsi="Times New Roman"/>
                <w:sz w:val="24"/>
              </w:rPr>
              <w:t xml:space="preserve"> 1.1.2, 1.1.2.1 and 1.1.2.2 of the template</w:t>
            </w:r>
            <w:r w:rsidR="00EE34F2" w:rsidRPr="002A677E">
              <w:rPr>
                <w:rFonts w:ascii="Times New Roman" w:hAnsi="Times New Roman"/>
                <w:sz w:val="24"/>
              </w:rPr>
              <w:t>]</w:t>
            </w:r>
            <w:r w:rsidRPr="002A677E">
              <w:rPr>
                <w:rFonts w:ascii="Times New Roman" w:hAnsi="Times New Roman"/>
                <w:sz w:val="24"/>
              </w:rPr>
              <w:t xml:space="preserve">. </w:t>
            </w:r>
          </w:p>
          <w:p w14:paraId="041F0EAD" w14:textId="0BFD7571" w:rsidR="00973707" w:rsidRPr="002A677E" w:rsidRDefault="00973707" w:rsidP="00DC1E40">
            <w:pPr>
              <w:spacing w:beforeLines="60" w:before="144" w:afterLines="60" w:after="144"/>
              <w:rPr>
                <w:rFonts w:ascii="Times New Roman" w:hAnsi="Times New Roman"/>
                <w:sz w:val="24"/>
              </w:rPr>
            </w:pPr>
            <w:r w:rsidRPr="002A677E">
              <w:rPr>
                <w:rFonts w:ascii="Times New Roman" w:hAnsi="Times New Roman"/>
                <w:sz w:val="24"/>
              </w:rPr>
              <w:t xml:space="preserve">For the market uncertainty, close-out cost and model risk categories, amounts calculated under the expert-based approach as </w:t>
            </w:r>
            <w:r w:rsidR="00614509" w:rsidRPr="002A677E">
              <w:rPr>
                <w:rFonts w:ascii="Times New Roman" w:hAnsi="Times New Roman"/>
                <w:sz w:val="24"/>
              </w:rPr>
              <w:t>referred to</w:t>
            </w:r>
            <w:r w:rsidRPr="002A677E">
              <w:rPr>
                <w:rFonts w:ascii="Times New Roman" w:hAnsi="Times New Roman"/>
                <w:sz w:val="24"/>
              </w:rPr>
              <w:t xml:space="preserve"> in Article 9(5)</w:t>
            </w:r>
            <w:r w:rsidR="00B83DDE">
              <w:rPr>
                <w:rFonts w:ascii="Times New Roman" w:hAnsi="Times New Roman"/>
                <w:sz w:val="24"/>
              </w:rPr>
              <w:t>, p</w:t>
            </w:r>
            <w:r w:rsidR="001771A4" w:rsidRPr="002A677E">
              <w:rPr>
                <w:rFonts w:ascii="Times New Roman" w:hAnsi="Times New Roman"/>
                <w:sz w:val="24"/>
              </w:rPr>
              <w:t>oint (b)</w:t>
            </w:r>
            <w:r w:rsidR="00DC1E40" w:rsidRPr="002A677E">
              <w:rPr>
                <w:rFonts w:ascii="Times New Roman" w:hAnsi="Times New Roman"/>
                <w:sz w:val="24"/>
              </w:rPr>
              <w:t xml:space="preserve">, </w:t>
            </w:r>
            <w:r w:rsidR="001771A4" w:rsidRPr="002A677E">
              <w:rPr>
                <w:rFonts w:ascii="Times New Roman" w:hAnsi="Times New Roman"/>
                <w:sz w:val="24"/>
              </w:rPr>
              <w:t>Article</w:t>
            </w:r>
            <w:r w:rsidRPr="002A677E">
              <w:rPr>
                <w:rFonts w:ascii="Times New Roman" w:hAnsi="Times New Roman"/>
                <w:sz w:val="24"/>
              </w:rPr>
              <w:t xml:space="preserve"> 10(6)</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 xml:space="preserve">and </w:t>
            </w:r>
            <w:r w:rsidR="00614509" w:rsidRPr="002A677E">
              <w:rPr>
                <w:rFonts w:ascii="Times New Roman" w:hAnsi="Times New Roman"/>
                <w:sz w:val="24"/>
              </w:rPr>
              <w:t xml:space="preserve">Article </w:t>
            </w:r>
            <w:r w:rsidRPr="002A677E">
              <w:rPr>
                <w:rFonts w:ascii="Times New Roman" w:hAnsi="Times New Roman"/>
                <w:sz w:val="24"/>
              </w:rPr>
              <w:t xml:space="preserve">11(4) </w:t>
            </w:r>
            <w:r w:rsidR="00033B7C" w:rsidRPr="002A677E">
              <w:rPr>
                <w:rFonts w:ascii="Times New Roman" w:hAnsi="Times New Roman"/>
                <w:sz w:val="24"/>
              </w:rPr>
              <w:t>of</w:t>
            </w:r>
            <w:r w:rsidR="00F811F8" w:rsidRPr="002A677E">
              <w:rPr>
                <w:rFonts w:ascii="Times New Roman" w:hAnsi="Times New Roman"/>
                <w:sz w:val="24"/>
              </w:rPr>
              <w:t xml:space="preserve"> Delegated Regulation (EU) 2016/101 shall</w:t>
            </w:r>
            <w:r w:rsidRPr="002A677E">
              <w:rPr>
                <w:rFonts w:ascii="Times New Roman" w:hAnsi="Times New Roman"/>
                <w:sz w:val="24"/>
              </w:rPr>
              <w:t xml:space="preserve"> be separately reported in columns 0</w:t>
            </w:r>
            <w:r w:rsidR="00033B7C" w:rsidRPr="002A677E">
              <w:rPr>
                <w:rFonts w:ascii="Times New Roman" w:hAnsi="Times New Roman"/>
                <w:sz w:val="24"/>
              </w:rPr>
              <w:t>0</w:t>
            </w:r>
            <w:r w:rsidRPr="002A677E">
              <w:rPr>
                <w:rFonts w:ascii="Times New Roman" w:hAnsi="Times New Roman"/>
                <w:sz w:val="24"/>
              </w:rPr>
              <w:t>20, 0</w:t>
            </w:r>
            <w:r w:rsidR="00033B7C" w:rsidRPr="002A677E">
              <w:rPr>
                <w:rFonts w:ascii="Times New Roman" w:hAnsi="Times New Roman"/>
                <w:sz w:val="24"/>
              </w:rPr>
              <w:t>0</w:t>
            </w:r>
            <w:r w:rsidRPr="002A677E">
              <w:rPr>
                <w:rFonts w:ascii="Times New Roman" w:hAnsi="Times New Roman"/>
                <w:sz w:val="24"/>
              </w:rPr>
              <w:t>40 and 0</w:t>
            </w:r>
            <w:r w:rsidR="00033B7C" w:rsidRPr="002A677E">
              <w:rPr>
                <w:rFonts w:ascii="Times New Roman" w:hAnsi="Times New Roman"/>
                <w:sz w:val="24"/>
              </w:rPr>
              <w:t>0</w:t>
            </w:r>
            <w:r w:rsidRPr="002A677E">
              <w:rPr>
                <w:rFonts w:ascii="Times New Roman" w:hAnsi="Times New Roman"/>
                <w:sz w:val="24"/>
              </w:rPr>
              <w:t>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69DD0FB7" w14:textId="158F25A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9(5)</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471DD04" w14:textId="48E84E5D"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10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002B004B" w:rsidRPr="002A677E">
              <w:rPr>
                <w:rFonts w:ascii="Times New Roman" w:hAnsi="Times New Roman"/>
                <w:sz w:val="24"/>
              </w:rPr>
              <w:t xml:space="preserve"> </w:t>
            </w:r>
            <w:r w:rsidRPr="002A677E">
              <w:rPr>
                <w:rFonts w:ascii="Times New Roman" w:hAnsi="Times New Roman"/>
                <w:sz w:val="24"/>
              </w:rPr>
              <w:t>Article 10(6)</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7F07253" w14:textId="75D7BE60"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3D76EDD0" w14:textId="70AF6FB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00FE28F4" w:rsidRPr="001235ED">
              <w:rPr>
                <w:rFonts w:ascii="Times New Roman" w:hAnsi="Times New Roman"/>
                <w:sz w:val="24"/>
                <w:lang w:val="en-US"/>
              </w:rPr>
              <w:t>of Regulation (EU) No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3EA3EFC2" w14:textId="155ECA6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Future administrative costs AVAs </w:t>
            </w:r>
            <w:r w:rsidR="00A30C4C" w:rsidRPr="002A677E">
              <w:rPr>
                <w:rFonts w:ascii="Times New Roman" w:hAnsi="Times New Roman"/>
                <w:sz w:val="24"/>
              </w:rPr>
              <w:t xml:space="preserve">calculated in accordance with </w:t>
            </w:r>
            <w:r w:rsidRPr="002A677E">
              <w:rPr>
                <w:rFonts w:ascii="Times New Roman" w:hAnsi="Times New Roman"/>
                <w:sz w:val="24"/>
              </w:rPr>
              <w:t>Article 15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53DB2AC5" w14:textId="7088A1EB"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16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29AAF610" w14:textId="44B8AAE8"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17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 0</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 total AVA to be deducted from own funds </w:t>
            </w:r>
            <w:r w:rsidR="00A30C4C" w:rsidRPr="002A677E">
              <w:rPr>
                <w:rStyle w:val="InstructionsTabelleberschrift"/>
                <w:rFonts w:ascii="Times New Roman" w:hAnsi="Times New Roman"/>
                <w:b w:val="0"/>
                <w:sz w:val="24"/>
                <w:u w:val="none"/>
              </w:rPr>
              <w:t xml:space="preserve">in accordance with </w:t>
            </w:r>
            <w:r w:rsidRPr="002A677E">
              <w:rPr>
                <w:rStyle w:val="InstructionsTabelleberschrift"/>
                <w:rFonts w:ascii="Times New Roman" w:hAnsi="Times New Roman"/>
                <w:b w:val="0"/>
                <w:sz w:val="24"/>
                <w:u w:val="none"/>
              </w:rPr>
              <w:t>Articles 34 and 105</w:t>
            </w:r>
            <w:r w:rsidR="00033B7C" w:rsidRPr="002A677E">
              <w:rPr>
                <w:rStyle w:val="InstructionsTabelleberschrift"/>
                <w:rFonts w:ascii="Times New Roman" w:hAnsi="Times New Roman"/>
                <w:b w:val="0"/>
                <w:sz w:val="24"/>
                <w:u w:val="none"/>
              </w:rPr>
              <w:t xml:space="preserve">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and reported accordingly in row </w:t>
            </w:r>
            <w:r w:rsidR="007877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290 of C 01.00. The total AVA sh</w:t>
            </w:r>
            <w:r w:rsidR="00033B7C" w:rsidRPr="002A677E">
              <w:rPr>
                <w:rStyle w:val="InstructionsTabelleberschrift"/>
                <w:rFonts w:ascii="Times New Roman" w:hAnsi="Times New Roman"/>
                <w:b w:val="0"/>
                <w:sz w:val="24"/>
                <w:u w:val="none"/>
              </w:rPr>
              <w:t>all</w:t>
            </w:r>
            <w:r w:rsidRPr="002A677E">
              <w:rPr>
                <w:rStyle w:val="InstructionsTabelleberschrift"/>
                <w:rFonts w:ascii="Times New Roman" w:hAnsi="Times New Roman"/>
                <w:b w:val="0"/>
                <w:sz w:val="24"/>
                <w:u w:val="none"/>
              </w:rPr>
              <w:t xml:space="preserve"> be the sum of 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020: Share of the total AVA reported in 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stemming from trading book positions (absolute value).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160: Sum of columns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050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070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210: Total AVA stemming from portfolios under the fall-back approach.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171B712D" w14:textId="58D1F49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upside uncertainty shall be calculated and aggregated on the same basis as the total AVA computed in column </w:t>
            </w:r>
            <w:r w:rsidR="00033B7C" w:rsidRPr="002A677E">
              <w:rPr>
                <w:rFonts w:ascii="Times New Roman" w:hAnsi="Times New Roman"/>
                <w:sz w:val="24"/>
              </w:rPr>
              <w:t>0</w:t>
            </w:r>
            <w:r w:rsidRPr="002A677E">
              <w:rPr>
                <w:rFonts w:ascii="Times New Roman" w:hAnsi="Times New Roman"/>
                <w:sz w:val="24"/>
              </w:rPr>
              <w:t>110</w:t>
            </w:r>
            <w:r w:rsidR="00033B7C" w:rsidRPr="002A677E">
              <w:rPr>
                <w:rFonts w:ascii="Times New Roman" w:hAnsi="Times New Roman"/>
                <w:sz w:val="24"/>
              </w:rPr>
              <w:t>,</w:t>
            </w:r>
            <w:r w:rsidRPr="002A677E">
              <w:rPr>
                <w:rFonts w:ascii="Times New Roman" w:hAnsi="Times New Roman"/>
                <w:sz w:val="24"/>
              </w:rPr>
              <w:t xml:space="preserve"> but substituting a 10</w:t>
            </w:r>
            <w:r w:rsidR="00B856D5">
              <w:t> </w:t>
            </w:r>
            <w:r w:rsidRPr="002A677E">
              <w:rPr>
                <w:rFonts w:ascii="Times New Roman" w:hAnsi="Times New Roman"/>
                <w:sz w:val="24"/>
              </w:rPr>
              <w:t>% level of certainty for the 90</w:t>
            </w:r>
            <w:r w:rsidR="00B856D5">
              <w:t> </w:t>
            </w:r>
            <w:r w:rsidRPr="002A677E">
              <w:rPr>
                <w:rFonts w:ascii="Times New Roman" w:hAnsi="Times New Roman"/>
                <w:sz w:val="24"/>
              </w:rPr>
              <w:t>% used when determining the total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130 -</w:t>
            </w: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30899AC6"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AVA amounts </w:t>
            </w:r>
            <w:r w:rsidR="00033B7C" w:rsidRPr="002A677E">
              <w:rPr>
                <w:rFonts w:ascii="Times New Roman" w:hAnsi="Times New Roman"/>
                <w:sz w:val="24"/>
              </w:rPr>
              <w:t>reported</w:t>
            </w:r>
            <w:r w:rsidRPr="002A677E">
              <w:rPr>
                <w:rFonts w:ascii="Times New Roman" w:hAnsi="Times New Roman"/>
                <w:sz w:val="24"/>
              </w:rPr>
              <w:t xml:space="preserve"> in rows </w:t>
            </w:r>
            <w:r w:rsidR="00033B7C" w:rsidRPr="002A677E">
              <w:rPr>
                <w:rFonts w:ascii="Times New Roman" w:hAnsi="Times New Roman"/>
                <w:sz w:val="24"/>
              </w:rPr>
              <w:t>0</w:t>
            </w:r>
            <w:r w:rsidRPr="002A677E">
              <w:rPr>
                <w:rFonts w:ascii="Times New Roman" w:hAnsi="Times New Roman"/>
                <w:sz w:val="24"/>
              </w:rPr>
              <w:t xml:space="preserve">010 to </w:t>
            </w:r>
            <w:r w:rsidR="00033B7C" w:rsidRPr="002A677E">
              <w:rPr>
                <w:rFonts w:ascii="Times New Roman" w:hAnsi="Times New Roman"/>
                <w:sz w:val="24"/>
              </w:rPr>
              <w:t>0</w:t>
            </w:r>
            <w:r w:rsidRPr="002A677E">
              <w:rPr>
                <w:rFonts w:ascii="Times New Roman" w:hAnsi="Times New Roman"/>
                <w:sz w:val="24"/>
              </w:rPr>
              <w:t xml:space="preserve">130 and row </w:t>
            </w:r>
            <w:r w:rsidR="00033B7C" w:rsidRPr="002A677E">
              <w:rPr>
                <w:rFonts w:ascii="Times New Roman" w:hAnsi="Times New Roman"/>
                <w:sz w:val="24"/>
              </w:rPr>
              <w:t>0</w:t>
            </w:r>
            <w:r w:rsidRPr="002A677E">
              <w:rPr>
                <w:rFonts w:ascii="Times New Roman" w:hAnsi="Times New Roman"/>
                <w:sz w:val="24"/>
              </w:rPr>
              <w:t>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these amounts may have to be approximated or allocated based on expert judgement. </w:t>
            </w:r>
          </w:p>
          <w:p w14:paraId="2A036E2E" w14:textId="77777777" w:rsidR="001771A4"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Total absolute value of fair-valued assets and liabilities included in </w:t>
            </w:r>
            <w:r w:rsidR="00033B7C" w:rsidRPr="002A677E">
              <w:rPr>
                <w:rFonts w:ascii="Times New Roman" w:hAnsi="Times New Roman"/>
                <w:sz w:val="24"/>
              </w:rPr>
              <w:t xml:space="preserve">the threshold computation of </w:t>
            </w:r>
            <w:r w:rsidRPr="002A677E">
              <w:rPr>
                <w:rFonts w:ascii="Times New Roman" w:hAnsi="Times New Roman"/>
                <w:sz w:val="24"/>
              </w:rPr>
              <w:t xml:space="preserve">Article 4(1) </w:t>
            </w:r>
            <w:r w:rsidR="00033B7C"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w:t>
            </w:r>
            <w:r w:rsidRPr="002A677E">
              <w:rPr>
                <w:rFonts w:ascii="Times New Roman" w:hAnsi="Times New Roman"/>
                <w:sz w:val="24"/>
              </w:rPr>
              <w:lastRenderedPageBreak/>
              <w:t xml:space="preserve">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is the sum of row </w:t>
            </w:r>
            <w:r w:rsidR="00152B33" w:rsidRPr="002A677E">
              <w:rPr>
                <w:rFonts w:ascii="Times New Roman" w:hAnsi="Times New Roman"/>
                <w:sz w:val="24"/>
              </w:rPr>
              <w:t>0</w:t>
            </w:r>
            <w:r w:rsidRPr="002A677E">
              <w:rPr>
                <w:rFonts w:ascii="Times New Roman" w:hAnsi="Times New Roman"/>
                <w:sz w:val="24"/>
              </w:rPr>
              <w:t xml:space="preserve">030 and row </w:t>
            </w:r>
            <w:r w:rsidR="00152B33" w:rsidRPr="002A677E">
              <w:rPr>
                <w:rFonts w:ascii="Times New Roman" w:hAnsi="Times New Roman"/>
                <w:sz w:val="24"/>
              </w:rPr>
              <w:t>0</w:t>
            </w:r>
            <w:r w:rsidRPr="002A677E">
              <w:rPr>
                <w:rFonts w:ascii="Times New Roman" w:hAnsi="Times New Roman"/>
                <w:sz w:val="24"/>
              </w:rPr>
              <w:t xml:space="preserve">180. </w:t>
            </w:r>
          </w:p>
          <w:p w14:paraId="73C0158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020: share of total absolute value of fair-valued assets and liabilities reported in row 0</w:t>
            </w:r>
            <w:r w:rsidR="00152B33" w:rsidRPr="002A677E">
              <w:rPr>
                <w:rFonts w:ascii="Times New Roman" w:hAnsi="Times New Roman"/>
                <w:sz w:val="24"/>
              </w:rPr>
              <w:t>0</w:t>
            </w:r>
            <w:r w:rsidRPr="002A677E">
              <w:rPr>
                <w:rFonts w:ascii="Times New Roman" w:hAnsi="Times New Roman"/>
                <w:sz w:val="24"/>
              </w:rPr>
              <w:t xml:space="preserve">10 stemming from trading book positions (absolute value). </w:t>
            </w:r>
          </w:p>
          <w:p w14:paraId="2B07607F"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030: Absolute value of fair-valued assets and liabilities corresponding to the portfolios </w:t>
            </w:r>
            <w:r w:rsidR="002300C6" w:rsidRPr="002A677E">
              <w:rPr>
                <w:rFonts w:ascii="Times New Roman" w:hAnsi="Times New Roman"/>
                <w:sz w:val="24"/>
              </w:rPr>
              <w:t xml:space="preserve">referred to in </w:t>
            </w:r>
            <w:r w:rsidRPr="002A677E">
              <w:rPr>
                <w:rFonts w:ascii="Times New Roman" w:hAnsi="Times New Roman"/>
                <w:sz w:val="24"/>
              </w:rPr>
              <w:t xml:space="preserve">Articles 9 to 17 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Row </w:t>
            </w:r>
            <w:r w:rsidR="00152B33" w:rsidRPr="002A677E">
              <w:rPr>
                <w:rFonts w:ascii="Times New Roman" w:hAnsi="Times New Roman"/>
                <w:sz w:val="24"/>
              </w:rPr>
              <w:t>0</w:t>
            </w:r>
            <w:r w:rsidRPr="002A677E">
              <w:rPr>
                <w:rFonts w:ascii="Times New Roman" w:hAnsi="Times New Roman"/>
                <w:sz w:val="24"/>
              </w:rPr>
              <w:t>030</w:t>
            </w:r>
            <w:r w:rsidR="00F811F8" w:rsidRPr="002A677E">
              <w:rPr>
                <w:rFonts w:ascii="Times New Roman" w:hAnsi="Times New Roman"/>
                <w:sz w:val="24"/>
              </w:rPr>
              <w:t xml:space="preserve"> shall</w:t>
            </w:r>
            <w:r w:rsidRPr="002A677E">
              <w:rPr>
                <w:rFonts w:ascii="Times New Roman" w:hAnsi="Times New Roman"/>
                <w:sz w:val="24"/>
              </w:rPr>
              <w:t xml:space="preserve"> be the sum of row</w:t>
            </w:r>
            <w:r w:rsidR="00152B33" w:rsidRPr="002A677E">
              <w:rPr>
                <w:rFonts w:ascii="Times New Roman" w:hAnsi="Times New Roman"/>
                <w:sz w:val="24"/>
              </w:rPr>
              <w:t>s</w:t>
            </w:r>
            <w:r w:rsidRPr="002A677E">
              <w:rPr>
                <w:rFonts w:ascii="Times New Roman" w:hAnsi="Times New Roman"/>
                <w:sz w:val="24"/>
              </w:rPr>
              <w:t xml:space="preserve"> </w:t>
            </w:r>
            <w:r w:rsidR="00152B33" w:rsidRPr="002A677E">
              <w:rPr>
                <w:rFonts w:ascii="Times New Roman" w:hAnsi="Times New Roman"/>
                <w:sz w:val="24"/>
              </w:rPr>
              <w:t>0</w:t>
            </w:r>
            <w:r w:rsidRPr="002A677E">
              <w:rPr>
                <w:rFonts w:ascii="Times New Roman" w:hAnsi="Times New Roman"/>
                <w:sz w:val="24"/>
              </w:rPr>
              <w:t xml:space="preserve">090 to </w:t>
            </w:r>
            <w:r w:rsidR="00152B33" w:rsidRPr="002A677E">
              <w:rPr>
                <w:rFonts w:ascii="Times New Roman" w:hAnsi="Times New Roman"/>
                <w:sz w:val="24"/>
              </w:rPr>
              <w:t>0</w:t>
            </w:r>
            <w:r w:rsidRPr="002A677E">
              <w:rPr>
                <w:rFonts w:ascii="Times New Roman" w:hAnsi="Times New Roman"/>
                <w:sz w:val="24"/>
              </w:rPr>
              <w:t>130.</w:t>
            </w:r>
          </w:p>
          <w:p w14:paraId="550DAA4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050: Absolute value of fair-valued assets and liabilities included in the scope of the computation of unearned credit spread AVA. </w:t>
            </w:r>
            <w:r w:rsidR="006477B8" w:rsidRPr="002A677E">
              <w:rPr>
                <w:rFonts w:ascii="Times New Roman" w:hAnsi="Times New Roman"/>
                <w:sz w:val="24"/>
              </w:rPr>
              <w:t>For the purpose of the computation of this AVA,</w:t>
            </w:r>
            <w:r w:rsidRPr="002A677E">
              <w:rPr>
                <w:rFonts w:ascii="Times New Roman" w:hAnsi="Times New Roman"/>
                <w:sz w:val="24"/>
              </w:rPr>
              <w:t xml:space="preserve"> 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084B0E5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060: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4272B6B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070: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 xml:space="preserve">Article 9(2)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5D85569" w14:textId="1E27E0A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080: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Article 10</w:t>
            </w:r>
            <w:r w:rsidR="00B83DDE">
              <w:rPr>
                <w:rFonts w:ascii="Times New Roman" w:hAnsi="Times New Roman"/>
                <w:sz w:val="24"/>
              </w:rPr>
              <w:t>, p</w:t>
            </w:r>
            <w:r w:rsidR="0028519C" w:rsidRPr="002A677E">
              <w:rPr>
                <w:rFonts w:ascii="Times New Roman" w:hAnsi="Times New Roman"/>
                <w:sz w:val="24"/>
              </w:rPr>
              <w:t xml:space="preserve">aragraphs 2 and 3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17516933"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Row</w:t>
            </w:r>
            <w:r w:rsidR="00033B7C" w:rsidRPr="002A677E">
              <w:rPr>
                <w:rFonts w:ascii="Times New Roman" w:hAnsi="Times New Roman"/>
                <w:sz w:val="24"/>
              </w:rPr>
              <w:t>s</w:t>
            </w:r>
            <w:r w:rsidRPr="002A677E">
              <w:rPr>
                <w:rFonts w:ascii="Times New Roman" w:hAnsi="Times New Roman"/>
                <w:sz w:val="24"/>
              </w:rPr>
              <w:t xml:space="preserve">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Absolute value of fair-valued assets and liabilities allocated as set out below (see corresponding row instructions) </w:t>
            </w:r>
            <w:r w:rsidR="00BB22D4" w:rsidRPr="002A677E">
              <w:rPr>
                <w:rFonts w:ascii="Times New Roman" w:hAnsi="Times New Roman"/>
                <w:sz w:val="24"/>
              </w:rPr>
              <w:t>in accordance with</w:t>
            </w:r>
            <w:r w:rsidRPr="002A677E">
              <w:rPr>
                <w:rFonts w:ascii="Times New Roman" w:hAnsi="Times New Roman"/>
                <w:sz w:val="24"/>
              </w:rPr>
              <w:t xml:space="preserve"> the following risk categories: </w:t>
            </w:r>
            <w:r w:rsidR="00152B33" w:rsidRPr="002A677E">
              <w:rPr>
                <w:rFonts w:ascii="Times New Roman" w:hAnsi="Times New Roman"/>
                <w:sz w:val="24"/>
              </w:rPr>
              <w:t>i</w:t>
            </w:r>
            <w:r w:rsidRPr="002A677E">
              <w:rPr>
                <w:rFonts w:ascii="Times New Roman" w:hAnsi="Times New Roman"/>
                <w:sz w:val="24"/>
              </w:rPr>
              <w:t xml:space="preserve">nterest </w:t>
            </w:r>
            <w:r w:rsidR="00152B33" w:rsidRPr="002A677E">
              <w:rPr>
                <w:rFonts w:ascii="Times New Roman" w:hAnsi="Times New Roman"/>
                <w:sz w:val="24"/>
              </w:rPr>
              <w:t>r</w:t>
            </w:r>
            <w:r w:rsidRPr="002A677E">
              <w:rPr>
                <w:rFonts w:ascii="Times New Roman" w:hAnsi="Times New Roman"/>
                <w:sz w:val="24"/>
              </w:rPr>
              <w:t xml:space="preserve">ates, </w:t>
            </w:r>
            <w:r w:rsidR="00152B33" w:rsidRPr="002A677E">
              <w:rPr>
                <w:rFonts w:ascii="Times New Roman" w:hAnsi="Times New Roman"/>
                <w:sz w:val="24"/>
              </w:rPr>
              <w:t>foreign exchange, c</w:t>
            </w:r>
            <w:r w:rsidRPr="002A677E">
              <w:rPr>
                <w:rFonts w:ascii="Times New Roman" w:hAnsi="Times New Roman"/>
                <w:sz w:val="24"/>
              </w:rPr>
              <w:t xml:space="preserve">redit, </w:t>
            </w:r>
            <w:r w:rsidR="00152B33" w:rsidRPr="002A677E">
              <w:rPr>
                <w:rFonts w:ascii="Times New Roman" w:hAnsi="Times New Roman"/>
                <w:sz w:val="24"/>
              </w:rPr>
              <w:t>e</w:t>
            </w:r>
            <w:r w:rsidRPr="002A677E">
              <w:rPr>
                <w:rFonts w:ascii="Times New Roman" w:hAnsi="Times New Roman"/>
                <w:sz w:val="24"/>
              </w:rPr>
              <w:t xml:space="preserve">quities, </w:t>
            </w:r>
            <w:r w:rsidR="00152B33" w:rsidRPr="002A677E">
              <w:rPr>
                <w:rFonts w:ascii="Times New Roman" w:hAnsi="Times New Roman"/>
                <w:sz w:val="24"/>
              </w:rPr>
              <w:t>c</w:t>
            </w:r>
            <w:r w:rsidRPr="002A677E">
              <w:rPr>
                <w:rFonts w:ascii="Times New Roman" w:hAnsi="Times New Roman"/>
                <w:sz w:val="24"/>
              </w:rPr>
              <w:t>ommodities.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080.</w:t>
            </w:r>
          </w:p>
          <w:p w14:paraId="293D8B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180: Absolute value of fair-valued assets and liabilities corresponding to the portfolios under the fall-back approach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Absolute value of f</w:t>
            </w:r>
            <w:r w:rsidRPr="002A677E">
              <w:rPr>
                <w:rStyle w:val="InstructionsTabelleberschrift"/>
                <w:rFonts w:ascii="Times New Roman" w:hAnsi="Times New Roman"/>
                <w:b w:val="0"/>
                <w:sz w:val="24"/>
                <w:u w:val="none"/>
              </w:rPr>
              <w:t>air-valued assets corresponding to the different rows as explained in</w:t>
            </w:r>
            <w:r w:rsidR="00152B33" w:rsidRPr="002A677E">
              <w:rPr>
                <w:rStyle w:val="InstructionsTabelleberschrift"/>
                <w:rFonts w:ascii="Times New Roman" w:hAnsi="Times New Roman"/>
                <w:b w:val="0"/>
                <w:sz w:val="24"/>
                <w:u w:val="none"/>
              </w:rPr>
              <w:t xml:space="preserve"> the instructions on</w:t>
            </w:r>
            <w:r w:rsidRPr="002A677E">
              <w:rPr>
                <w:rStyle w:val="InstructionsTabelleberschrift"/>
                <w:rFonts w:ascii="Times New Roman" w:hAnsi="Times New Roman"/>
                <w:b w:val="0"/>
                <w:sz w:val="24"/>
                <w:u w:val="none"/>
              </w:rPr>
              <w:t xml:space="preserve"> column</w:t>
            </w:r>
            <w:r w:rsidR="00152B33"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130-</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140 above.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1235ED">
              <w:rPr>
                <w:rFonts w:ascii="Times New Roman" w:hAnsi="Times New Roman"/>
                <w:sz w:val="24"/>
              </w:rPr>
              <w:lastRenderedPageBreak/>
              <w:t>Absolute value of f</w:t>
            </w:r>
            <w:r w:rsidRPr="002A677E">
              <w:rPr>
                <w:rStyle w:val="InstructionsTabelleberschrift"/>
                <w:rFonts w:ascii="Times New Roman" w:hAnsi="Times New Roman"/>
                <w:b w:val="0"/>
                <w:sz w:val="24"/>
                <w:u w:val="none"/>
              </w:rPr>
              <w:t xml:space="preserve">air-valued liabilities 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1C5C19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quarter-to-date revenues (‘QTD revenue’) since the last reporting date attribu</w:t>
            </w:r>
            <w:r w:rsidR="00152B33" w:rsidRPr="002A677E">
              <w:rPr>
                <w:rFonts w:ascii="Times New Roman" w:hAnsi="Times New Roman"/>
                <w:sz w:val="24"/>
              </w:rPr>
              <w:softHyphen/>
            </w:r>
            <w:r w:rsidRPr="002A677E">
              <w:rPr>
                <w:rFonts w:ascii="Times New Roman" w:hAnsi="Times New Roman"/>
                <w:sz w:val="24"/>
              </w:rPr>
              <w:t xml:space="preserve">ted to the fair valued assets and liabilities </w:t>
            </w:r>
            <w:r w:rsidRPr="002A677E">
              <w:rPr>
                <w:rStyle w:val="InstructionsTabelleberschrift"/>
                <w:rFonts w:ascii="Times New Roman" w:hAnsi="Times New Roman"/>
                <w:b w:val="0"/>
                <w:sz w:val="24"/>
                <w:u w:val="none"/>
              </w:rPr>
              <w:t xml:space="preserve">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 where relevant allocated or approximated based on expert judgment</w:t>
            </w:r>
            <w:r w:rsidRPr="002A677E">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relevant position or risk factor.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w:t>
            </w:r>
            <w:r w:rsidR="00973707"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adjusted </w:t>
            </w:r>
            <w:r w:rsidR="00973707" w:rsidRPr="002A677E">
              <w:rPr>
                <w:rStyle w:val="InstructionsTabelleberschrift"/>
                <w:rFonts w:ascii="Times New Roman" w:hAnsi="Times New Roman"/>
                <w:b w:val="0"/>
                <w:sz w:val="24"/>
                <w:u w:val="none"/>
              </w:rPr>
              <w:t xml:space="preserve">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973707" w:rsidRPr="002A677E">
              <w:rPr>
                <w:rStyle w:val="InstructionsTabelleberschrift"/>
                <w:rFonts w:ascii="Times New Roman" w:hAnsi="Times New Roman"/>
                <w:b w:val="0"/>
                <w:sz w:val="24"/>
                <w:u w:val="none"/>
              </w:rPr>
              <w:t>.</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170 - </w:t>
            </w:r>
            <w:r w:rsidRPr="002A677E">
              <w:rPr>
                <w:rFonts w:ascii="Times New Roman" w:hAnsi="Times New Roman"/>
                <w:sz w:val="24"/>
              </w:rPr>
              <w:t>0</w:t>
            </w:r>
            <w:r w:rsidR="00973707" w:rsidRPr="002A677E">
              <w:rPr>
                <w:rFonts w:ascii="Times New Roman" w:hAnsi="Times New Roman"/>
                <w:sz w:val="24"/>
              </w:rPr>
              <w:t>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sometimes also referred to as ‘reserves’</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otentially applied in the institution’s accounting fair value that are made outside of the valuation model used to generate carrying </w:t>
            </w:r>
            <w:r w:rsidR="001B1531" w:rsidRPr="002A677E">
              <w:rPr>
                <w:rStyle w:val="InstructionsTabelleberschrift"/>
                <w:rFonts w:ascii="Times New Roman" w:hAnsi="Times New Roman"/>
                <w:b w:val="0"/>
                <w:sz w:val="24"/>
                <w:u w:val="none"/>
              </w:rPr>
              <w:t xml:space="preserve">amounts (excluding </w:t>
            </w:r>
            <w:r w:rsidR="00A30C4C" w:rsidRPr="002A677E">
              <w:rPr>
                <w:rStyle w:val="InstructionsTabelleberschrift"/>
                <w:rFonts w:ascii="Times New Roman" w:hAnsi="Times New Roman"/>
                <w:b w:val="0"/>
                <w:sz w:val="24"/>
                <w:u w:val="none"/>
              </w:rPr>
              <w:t>d</w:t>
            </w:r>
            <w:r w:rsidR="001B1531" w:rsidRPr="002A677E">
              <w:rPr>
                <w:rStyle w:val="InstructionsTabelleberschrift"/>
                <w:rFonts w:ascii="Times New Roman" w:hAnsi="Times New Roman"/>
                <w:b w:val="0"/>
                <w:sz w:val="24"/>
                <w:u w:val="none"/>
              </w:rPr>
              <w:t>eferral of day one gains and losses)</w:t>
            </w:r>
            <w:r w:rsidRPr="002A677E">
              <w:rPr>
                <w:rStyle w:val="InstructionsTabelleberschrift"/>
                <w:rFonts w:ascii="Times New Roman" w:hAnsi="Times New Roman"/>
                <w:b w:val="0"/>
                <w:sz w:val="24"/>
                <w:u w:val="none"/>
              </w:rPr>
              <w:t xml:space="preserve"> and </w:t>
            </w:r>
            <w:r w:rsidR="001B1531" w:rsidRPr="002A677E">
              <w:rPr>
                <w:rStyle w:val="InstructionsTabelleberschrift"/>
                <w:rFonts w:ascii="Times New Roman" w:hAnsi="Times New Roman"/>
                <w:b w:val="0"/>
                <w:sz w:val="24"/>
                <w:u w:val="none"/>
              </w:rPr>
              <w:t xml:space="preserve">that </w:t>
            </w:r>
            <w:r w:rsidRPr="002A677E">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2A677E">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2A677E">
              <w:rPr>
                <w:rStyle w:val="InstructionsTabelleberschrift"/>
                <w:rFonts w:ascii="Times New Roman" w:hAnsi="Times New Roman"/>
                <w:b w:val="0"/>
                <w:sz w:val="24"/>
                <w:u w:val="none"/>
              </w:rPr>
              <w:t>f</w:t>
            </w:r>
            <w:r w:rsidR="001B1531" w:rsidRPr="002A677E">
              <w:rPr>
                <w:rStyle w:val="InstructionsTabelleberschrift"/>
                <w:rFonts w:ascii="Times New Roman" w:hAnsi="Times New Roman"/>
                <w:b w:val="0"/>
                <w:sz w:val="24"/>
                <w:u w:val="none"/>
              </w:rPr>
              <w:t>air value. They sh</w:t>
            </w:r>
            <w:r w:rsidR="00A30C4C" w:rsidRPr="002A677E">
              <w:rPr>
                <w:rStyle w:val="InstructionsTabelleberschrift"/>
                <w:rFonts w:ascii="Times New Roman" w:hAnsi="Times New Roman"/>
                <w:b w:val="0"/>
                <w:sz w:val="24"/>
                <w:u w:val="none"/>
              </w:rPr>
              <w:t>all</w:t>
            </w:r>
            <w:r w:rsidR="001B1531" w:rsidRPr="002A677E">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sz w:val="24"/>
              </w:rPr>
              <w:t>MARKET PRICE UNCERTAINTY</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lose-out costs AVA</w:t>
            </w:r>
            <w:r w:rsidRPr="002A677E">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2A677E">
              <w:rPr>
                <w:rFonts w:ascii="Times New Roman" w:hAnsi="Times New Roman"/>
                <w:sz w:val="24"/>
              </w:rPr>
              <w:t>m</w:t>
            </w:r>
            <w:r w:rsidRPr="002A677E">
              <w:rPr>
                <w:rFonts w:ascii="Times New Roman" w:hAnsi="Times New Roman"/>
                <w:sz w:val="24"/>
              </w:rPr>
              <w:t>odel risk AVA</w:t>
            </w:r>
            <w:r w:rsidRPr="002A677E">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oncentrated positions AVA</w:t>
            </w:r>
            <w:r w:rsidRPr="002A677E">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w:t>
            </w:r>
            <w:r w:rsidRPr="002A677E">
              <w:rPr>
                <w:rStyle w:val="InstructionsTabelleberschrift"/>
                <w:rFonts w:ascii="Times New Roman" w:hAnsi="Times New Roman"/>
                <w:b w:val="0"/>
                <w:sz w:val="24"/>
                <w:u w:val="none"/>
              </w:rPr>
              <w:lastRenderedPageBreak/>
              <w:t xml:space="preserve">identified as addressing the same source of valuation uncertainty as the </w:t>
            </w:r>
            <w:r w:rsidR="00A30C4C" w:rsidRPr="002A677E">
              <w:rPr>
                <w:rStyle w:val="InstructionsTabelleberschrift"/>
                <w:rFonts w:ascii="Times New Roman" w:hAnsi="Times New Roman"/>
                <w:b w:val="0"/>
                <w:sz w:val="24"/>
                <w:u w:val="none"/>
              </w:rPr>
              <w:t>o</w:t>
            </w:r>
            <w:r w:rsidRPr="002A677E">
              <w:rPr>
                <w:rStyle w:val="InstructionsTabelleberschrift"/>
                <w:rFonts w:ascii="Times New Roman" w:hAnsi="Times New Roman"/>
                <w:b w:val="0"/>
                <w:sz w:val="24"/>
                <w:u w:val="none"/>
              </w:rPr>
              <w:t>perational risk AVA.</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2A677E">
              <w:rPr>
                <w:rStyle w:val="InstructionsTabelleberschrift"/>
                <w:rFonts w:ascii="Times New Roman" w:hAnsi="Times New Roman"/>
                <w:b w:val="0"/>
                <w:sz w:val="24"/>
                <w:u w:val="none"/>
              </w:rPr>
              <w:t>t first day recognition, i.e. the deferral of day one gains and losses (IFRS 9.B5.1.2.A)</w:t>
            </w:r>
            <w:r w:rsidRPr="002A677E">
              <w:rPr>
                <w:rStyle w:val="InstructionsTabelleberschrift"/>
                <w:rFonts w:ascii="Times New Roman" w:hAnsi="Times New Roman"/>
                <w:b w:val="0"/>
                <w:sz w:val="24"/>
                <w:u w:val="none"/>
              </w:rPr>
              <w:t>.</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sidRPr="001235ED">
              <w:rPr>
                <w:rFonts w:ascii="Times New Roman" w:hAnsi="Times New Roman"/>
                <w:sz w:val="24"/>
              </w:rPr>
              <w:t xml:space="preserve">Description of the positions treated </w:t>
            </w:r>
            <w:r w:rsidR="002F78EA"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D239F" w:rsidRPr="002A677E">
              <w:rPr>
                <w:rFonts w:ascii="Times New Roman" w:hAnsi="Times New Roman"/>
                <w:sz w:val="24"/>
              </w:rPr>
              <w:t>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and the reason why it was not possible to apply Articles 9 to 17 </w:t>
            </w:r>
            <w:r w:rsidR="009A7A38" w:rsidRPr="002A677E">
              <w:rPr>
                <w:rFonts w:ascii="Times New Roman" w:hAnsi="Times New Roman"/>
                <w:sz w:val="24"/>
              </w:rPr>
              <w:t>thereof</w:t>
            </w:r>
            <w:r w:rsidRPr="002A677E">
              <w:rPr>
                <w:rFonts w:ascii="Times New Roman" w:hAnsi="Times New Roman"/>
                <w:sz w:val="24"/>
              </w:rPr>
              <w: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5979B37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7(2) 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CE73AD8"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under the </w:t>
            </w:r>
            <w:r w:rsidR="00A30C4C" w:rsidRPr="002A677E">
              <w:rPr>
                <w:rFonts w:ascii="Times New Roman" w:hAnsi="Times New Roman"/>
                <w:sz w:val="24"/>
              </w:rPr>
              <w:t>c</w:t>
            </w:r>
            <w:r w:rsidRPr="002A677E">
              <w:rPr>
                <w:rFonts w:ascii="Times New Roman" w:hAnsi="Times New Roman"/>
                <w:sz w:val="24"/>
              </w:rPr>
              <w:t xml:space="preserve">ore approach as set out in Chapter 3 of </w:t>
            </w:r>
            <w:r w:rsidR="00F811F8" w:rsidRPr="002A677E">
              <w:rPr>
                <w:rFonts w:ascii="Times New Roman" w:hAnsi="Times New Roman"/>
                <w:sz w:val="24"/>
              </w:rPr>
              <w:t>Delegated Regulation (EU) 2016/101 o</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 xml:space="preserve">at </w:t>
            </w:r>
            <w:r w:rsidR="00F811F8" w:rsidRPr="002A677E">
              <w:rPr>
                <w:rFonts w:ascii="Times New Roman" w:hAnsi="Times New Roman"/>
                <w:sz w:val="24"/>
              </w:rPr>
              <w:t>Regulation</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140 in accordance with Articles 9(6), 10(7) and 11(7)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7882F340"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share of total AVAs reported in row </w:t>
            </w:r>
            <w:r w:rsidR="009A7A38" w:rsidRPr="002A677E">
              <w:rPr>
                <w:rFonts w:ascii="Times New Roman" w:hAnsi="Times New Roman"/>
                <w:sz w:val="24"/>
              </w:rPr>
              <w:t>0</w:t>
            </w:r>
            <w:r w:rsidRPr="002A677E">
              <w:rPr>
                <w:rFonts w:ascii="Times New Roman" w:hAnsi="Times New Roman"/>
                <w:sz w:val="24"/>
              </w:rPr>
              <w:t>010 stemming from trading book positions (absolute value).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PORTFOLIOS UNDER ARTICLES 9 TO 17</w:t>
            </w:r>
            <w:r w:rsidR="00402284">
              <w:rPr>
                <w:rFonts w:ascii="Times New Roman" w:hAnsi="Times New Roman"/>
                <w:b/>
                <w:sz w:val="24"/>
                <w:u w:val="single"/>
              </w:rPr>
              <w:t xml:space="preserve"> </w:t>
            </w:r>
            <w:r w:rsidR="001771A4" w:rsidRPr="002A677E">
              <w:rPr>
                <w:rFonts w:ascii="Times New Roman" w:hAnsi="Times New Roman"/>
                <w:b/>
                <w:sz w:val="24"/>
                <w:u w:val="single"/>
              </w:rPr>
              <w:t xml:space="preserve">OF COMMISSION DELEGATED REGULATION </w:t>
            </w:r>
            <w:r w:rsidR="00127986" w:rsidRPr="002A677E">
              <w:rPr>
                <w:rFonts w:ascii="Times New Roman" w:hAnsi="Times New Roman"/>
                <w:b/>
                <w:sz w:val="24"/>
                <w:u w:val="single"/>
              </w:rPr>
              <w:t>(EU) 2016/101</w:t>
            </w:r>
            <w:r w:rsidRPr="002A677E">
              <w:rPr>
                <w:rFonts w:ascii="Times New Roman" w:hAnsi="Times New Roman"/>
                <w:b/>
                <w:sz w:val="24"/>
                <w:u w:val="single"/>
              </w:rPr>
              <w:t xml:space="preserve">- TOTAL CATEGORY LEVEL POST-DIVERSIFICATION </w:t>
            </w:r>
          </w:p>
          <w:p w14:paraId="3529E64C" w14:textId="51F3249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(a)</w:t>
            </w:r>
            <w:r w:rsidR="002E728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374D3D8" w14:textId="101DB406"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w:t>
            </w:r>
            <w:r w:rsidR="00BB22D4" w:rsidRPr="002A677E">
              <w:rPr>
                <w:rFonts w:ascii="Times New Roman" w:hAnsi="Times New Roman"/>
                <w:sz w:val="24"/>
              </w:rPr>
              <w:t>in accordance with</w:t>
            </w:r>
            <w:r w:rsidRPr="002A677E">
              <w:rPr>
                <w:rFonts w:ascii="Times New Roman" w:hAnsi="Times New Roman"/>
                <w:sz w:val="24"/>
              </w:rPr>
              <w:t xml:space="preserve"> Articles 9 to 17 of</w:t>
            </w:r>
            <w:r w:rsidR="00F811F8" w:rsidRPr="002A677E">
              <w:rPr>
                <w:rFonts w:ascii="Times New Roman" w:hAnsi="Times New Roman"/>
                <w:sz w:val="24"/>
              </w:rPr>
              <w:t xml:space="preserve"> 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except fair-valued assets and liabilities subject to the treatment described in</w:t>
            </w:r>
            <w:r w:rsidR="002F78EA" w:rsidRPr="002A677E">
              <w:rPr>
                <w:rFonts w:ascii="Times New Roman" w:hAnsi="Times New Roman"/>
                <w:sz w:val="24"/>
              </w:rPr>
              <w:t xml:space="preserve"> </w:t>
            </w:r>
            <w:r w:rsidR="0028519C"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53EFBDF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AVAs computed in accordance with Articles 12 and 13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that are reported in rows </w:t>
            </w:r>
            <w:r w:rsidR="009A7A38" w:rsidRPr="002A677E">
              <w:rPr>
                <w:rFonts w:ascii="Times New Roman" w:hAnsi="Times New Roman"/>
                <w:sz w:val="24"/>
              </w:rPr>
              <w:t>0</w:t>
            </w:r>
            <w:r w:rsidRPr="002A677E">
              <w:rPr>
                <w:rFonts w:ascii="Times New Roman" w:hAnsi="Times New Roman"/>
                <w:sz w:val="24"/>
              </w:rPr>
              <w:t xml:space="preserve">050 and </w:t>
            </w:r>
            <w:r w:rsidR="009A7A38" w:rsidRPr="002A677E">
              <w:rPr>
                <w:rFonts w:ascii="Times New Roman" w:hAnsi="Times New Roman"/>
                <w:sz w:val="24"/>
              </w:rPr>
              <w:t>0</w:t>
            </w:r>
            <w:r w:rsidRPr="002A677E">
              <w:rPr>
                <w:rFonts w:ascii="Times New Roman" w:hAnsi="Times New Roman"/>
                <w:sz w:val="24"/>
              </w:rPr>
              <w:t xml:space="preserve">060 and </w:t>
            </w:r>
            <w:r w:rsidRPr="002A677E">
              <w:rPr>
                <w:rFonts w:ascii="Times New Roman" w:hAnsi="Times New Roman"/>
                <w:sz w:val="24"/>
              </w:rPr>
              <w:lastRenderedPageBreak/>
              <w:t xml:space="preserve">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xml:space="preserve">. </w:t>
            </w:r>
          </w:p>
          <w:p w14:paraId="2F5784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B93238E"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Row </w:t>
            </w:r>
            <w:r w:rsidR="009A7A38" w:rsidRPr="002A677E">
              <w:rPr>
                <w:rFonts w:ascii="Times New Roman" w:hAnsi="Times New Roman"/>
                <w:sz w:val="24"/>
              </w:rPr>
              <w:t>0</w:t>
            </w:r>
            <w:r w:rsidRPr="002A677E">
              <w:rPr>
                <w:rFonts w:ascii="Times New Roman" w:hAnsi="Times New Roman"/>
                <w:sz w:val="24"/>
              </w:rPr>
              <w:t xml:space="preserve">030 </w:t>
            </w:r>
            <w:r w:rsidR="00127986" w:rsidRPr="002A677E">
              <w:rPr>
                <w:rFonts w:ascii="Times New Roman" w:hAnsi="Times New Roman"/>
                <w:sz w:val="24"/>
              </w:rPr>
              <w:t>shall</w:t>
            </w:r>
            <w:r w:rsidRPr="002A677E">
              <w:rPr>
                <w:rFonts w:ascii="Times New Roman" w:hAnsi="Times New Roman"/>
                <w:sz w:val="24"/>
              </w:rPr>
              <w:t xml:space="preserve"> be the difference between row</w:t>
            </w:r>
            <w:r w:rsidR="009A7A38" w:rsidRPr="002A677E">
              <w:rPr>
                <w:rFonts w:ascii="Times New Roman" w:hAnsi="Times New Roman"/>
                <w:sz w:val="24"/>
              </w:rPr>
              <w:t>s</w:t>
            </w:r>
            <w:r w:rsidRPr="002A677E">
              <w:rPr>
                <w:rFonts w:ascii="Times New Roman" w:hAnsi="Times New Roman"/>
                <w:sz w:val="24"/>
              </w:rPr>
              <w:t xml:space="preserve"> </w:t>
            </w:r>
            <w:r w:rsidR="009A7A38" w:rsidRPr="002A677E">
              <w:rPr>
                <w:rFonts w:ascii="Times New Roman" w:hAnsi="Times New Roman"/>
                <w:sz w:val="24"/>
              </w:rPr>
              <w:t>0</w:t>
            </w:r>
            <w:r w:rsidRPr="002A677E">
              <w:rPr>
                <w:rFonts w:ascii="Times New Roman" w:hAnsi="Times New Roman"/>
                <w:sz w:val="24"/>
              </w:rPr>
              <w:t xml:space="preserve">040 and </w:t>
            </w:r>
            <w:r w:rsidR="009A7A38" w:rsidRPr="002A677E">
              <w:rPr>
                <w:rFonts w:ascii="Times New Roman" w:hAnsi="Times New Roman"/>
                <w:sz w:val="24"/>
              </w:rPr>
              <w:t>0</w:t>
            </w:r>
            <w:r w:rsidRPr="002A677E">
              <w:rPr>
                <w:rFonts w:ascii="Times New Roman" w:hAnsi="Times New Roman"/>
                <w:sz w:val="24"/>
              </w:rPr>
              <w:t xml:space="preserve">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 xml:space="preserve">040 - </w:t>
            </w:r>
            <w:r w:rsidRPr="002A677E">
              <w:rPr>
                <w:rFonts w:ascii="Times New Roman" w:hAnsi="Times New Roman"/>
                <w:sz w:val="24"/>
              </w:rPr>
              <w:t>0</w:t>
            </w:r>
            <w:r w:rsidR="00973707" w:rsidRPr="002A677E">
              <w:rPr>
                <w:rFonts w:ascii="Times New Roman" w:hAnsi="Times New Roman"/>
                <w:sz w:val="24"/>
              </w:rPr>
              <w:t>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48A9023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rows </w:t>
            </w:r>
            <w:r w:rsidR="009A7A38" w:rsidRPr="002A677E">
              <w:rPr>
                <w:rFonts w:ascii="Times New Roman" w:hAnsi="Times New Roman"/>
                <w:sz w:val="24"/>
              </w:rPr>
              <w:t>0</w:t>
            </w:r>
            <w:r w:rsidRPr="002A677E">
              <w:rPr>
                <w:rFonts w:ascii="Times New Roman" w:hAnsi="Times New Roman"/>
                <w:sz w:val="24"/>
              </w:rPr>
              <w:t xml:space="preserve">090 to </w:t>
            </w:r>
            <w:r w:rsidR="009A7A38" w:rsidRPr="002A677E">
              <w:rPr>
                <w:rFonts w:ascii="Times New Roman" w:hAnsi="Times New Roman"/>
                <w:sz w:val="24"/>
              </w:rPr>
              <w:t>0</w:t>
            </w:r>
            <w:r w:rsidRPr="002A677E">
              <w:rPr>
                <w:rFonts w:ascii="Times New Roman" w:hAnsi="Times New Roman"/>
                <w:sz w:val="24"/>
              </w:rPr>
              <w:t>130</w:t>
            </w:r>
            <w:r w:rsidR="005A2182" w:rsidRPr="002A677E">
              <w:rPr>
                <w:rFonts w:ascii="Times New Roman" w:hAnsi="Times New Roman"/>
                <w:sz w:val="24"/>
              </w:rPr>
              <w:t>,</w:t>
            </w:r>
            <w:r w:rsidRPr="002A677E">
              <w:rPr>
                <w:rFonts w:ascii="Times New Roman" w:hAnsi="Times New Roman"/>
                <w:sz w:val="24"/>
              </w:rPr>
              <w:t xml:space="preserve"> institutions</w:t>
            </w:r>
            <w:r w:rsidR="00F811F8" w:rsidRPr="002A677E">
              <w:rPr>
                <w:rFonts w:ascii="Times New Roman" w:hAnsi="Times New Roman"/>
                <w:sz w:val="24"/>
              </w:rPr>
              <w:t xml:space="preserve"> shall </w:t>
            </w:r>
            <w:r w:rsidRPr="002A677E">
              <w:rPr>
                <w:rFonts w:ascii="Times New Roman" w:hAnsi="Times New Roman"/>
                <w:sz w:val="24"/>
              </w:rPr>
              <w:t xml:space="preserve">allocate their fair-valued assets and liabilities included in the threshold computation in accordance with Article 4(1)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(trading book and non-trading book) </w:t>
            </w:r>
            <w:r w:rsidR="001771A4" w:rsidRPr="002A677E">
              <w:rPr>
                <w:rFonts w:ascii="Times New Roman" w:hAnsi="Times New Roman"/>
                <w:sz w:val="24"/>
              </w:rPr>
              <w:t>to</w:t>
            </w:r>
            <w:r w:rsidRPr="002A677E">
              <w:rPr>
                <w:rFonts w:ascii="Times New Roman" w:hAnsi="Times New Roman"/>
                <w:sz w:val="24"/>
              </w:rPr>
              <w:t xml:space="preserve"> the following risk categories</w:t>
            </w:r>
            <w:r w:rsidR="009A7A38" w:rsidRPr="002A677E">
              <w:rPr>
                <w:rFonts w:ascii="Times New Roman" w:hAnsi="Times New Roman"/>
                <w:sz w:val="24"/>
              </w:rPr>
              <w:t>: i</w:t>
            </w:r>
            <w:r w:rsidRPr="002A677E">
              <w:rPr>
                <w:rFonts w:ascii="Times New Roman" w:hAnsi="Times New Roman"/>
                <w:sz w:val="24"/>
              </w:rPr>
              <w:t xml:space="preserve">nterest </w:t>
            </w:r>
            <w:r w:rsidR="009A7A38" w:rsidRPr="002A677E">
              <w:rPr>
                <w:rFonts w:ascii="Times New Roman" w:hAnsi="Times New Roman"/>
                <w:sz w:val="24"/>
              </w:rPr>
              <w:t>r</w:t>
            </w:r>
            <w:r w:rsidRPr="002A677E">
              <w:rPr>
                <w:rFonts w:ascii="Times New Roman" w:hAnsi="Times New Roman"/>
                <w:sz w:val="24"/>
              </w:rPr>
              <w:t xml:space="preserve">ates, </w:t>
            </w:r>
            <w:r w:rsidR="009A7A38" w:rsidRPr="002A677E">
              <w:rPr>
                <w:rFonts w:ascii="Times New Roman" w:hAnsi="Times New Roman"/>
                <w:sz w:val="24"/>
              </w:rPr>
              <w:t>f</w:t>
            </w:r>
            <w:r w:rsidR="00AF3D7A" w:rsidRPr="002A677E">
              <w:rPr>
                <w:rFonts w:ascii="Times New Roman" w:hAnsi="Times New Roman"/>
                <w:sz w:val="24"/>
              </w:rPr>
              <w:t xml:space="preserve">oreign exchange, </w:t>
            </w:r>
            <w:r w:rsidR="009A7A38" w:rsidRPr="002A677E">
              <w:rPr>
                <w:rFonts w:ascii="Times New Roman" w:hAnsi="Times New Roman"/>
                <w:sz w:val="24"/>
              </w:rPr>
              <w:t>c</w:t>
            </w:r>
            <w:r w:rsidRPr="002A677E">
              <w:rPr>
                <w:rFonts w:ascii="Times New Roman" w:hAnsi="Times New Roman"/>
                <w:sz w:val="24"/>
              </w:rPr>
              <w:t xml:space="preserve">redit, </w:t>
            </w:r>
            <w:r w:rsidR="009A7A38" w:rsidRPr="002A677E">
              <w:rPr>
                <w:rFonts w:ascii="Times New Roman" w:hAnsi="Times New Roman"/>
                <w:sz w:val="24"/>
              </w:rPr>
              <w:t>e</w:t>
            </w:r>
            <w:r w:rsidRPr="002A677E">
              <w:rPr>
                <w:rFonts w:ascii="Times New Roman" w:hAnsi="Times New Roman"/>
                <w:sz w:val="24"/>
              </w:rPr>
              <w:t xml:space="preserve">quities, </w:t>
            </w:r>
            <w:r w:rsidR="009A7A38" w:rsidRPr="002A677E">
              <w:rPr>
                <w:rFonts w:ascii="Times New Roman" w:hAnsi="Times New Roman"/>
                <w:sz w:val="24"/>
              </w:rPr>
              <w:t>c</w:t>
            </w:r>
            <w:r w:rsidRPr="002A677E">
              <w:rPr>
                <w:rFonts w:ascii="Times New Roman" w:hAnsi="Times New Roman"/>
                <w:sz w:val="24"/>
              </w:rPr>
              <w:t xml:space="preserve">ommodities. </w:t>
            </w:r>
          </w:p>
          <w:p w14:paraId="16C7491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To th</w:t>
            </w:r>
            <w:r w:rsidR="00A30C4C" w:rsidRPr="002A677E">
              <w:rPr>
                <w:rFonts w:ascii="Times New Roman" w:hAnsi="Times New Roman"/>
                <w:sz w:val="24"/>
              </w:rPr>
              <w:t>at</w:t>
            </w:r>
            <w:r w:rsidRPr="002A677E">
              <w:rPr>
                <w:rFonts w:ascii="Times New Roman" w:hAnsi="Times New Roman"/>
                <w:sz w:val="24"/>
              </w:rPr>
              <w:t xml:space="preserve"> end, institutions </w:t>
            </w:r>
            <w:r w:rsidR="00F75FD2" w:rsidRPr="002A677E">
              <w:rPr>
                <w:rFonts w:ascii="Times New Roman" w:hAnsi="Times New Roman"/>
                <w:sz w:val="24"/>
              </w:rPr>
              <w:t>shall</w:t>
            </w:r>
            <w:r w:rsidRPr="002A677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2A677E">
              <w:rPr>
                <w:rFonts w:ascii="Times New Roman" w:hAnsi="Times New Roman"/>
                <w:sz w:val="24"/>
              </w:rPr>
              <w:t xml:space="preserve"> required</w:t>
            </w:r>
            <w:r w:rsidRPr="002A677E">
              <w:rPr>
                <w:rFonts w:ascii="Times New Roman" w:hAnsi="Times New Roman"/>
                <w:sz w:val="24"/>
              </w:rPr>
              <w:t xml:space="preserve"> information which correspond to the allocated business lines or trading desks, sh</w:t>
            </w:r>
            <w:r w:rsidR="00F75FD2" w:rsidRPr="002A677E">
              <w:rPr>
                <w:rFonts w:ascii="Times New Roman" w:hAnsi="Times New Roman"/>
                <w:sz w:val="24"/>
              </w:rPr>
              <w:t>all</w:t>
            </w:r>
            <w:r w:rsidRPr="002A677E">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2A677E">
              <w:rPr>
                <w:rFonts w:ascii="Times New Roman" w:hAnsi="Times New Roman"/>
                <w:sz w:val="24"/>
              </w:rPr>
              <w:t>all</w:t>
            </w:r>
            <w:r w:rsidRPr="002A677E">
              <w:rPr>
                <w:rFonts w:ascii="Times New Roman" w:hAnsi="Times New Roman"/>
                <w:sz w:val="24"/>
              </w:rPr>
              <w:t xml:space="preserve"> develop an allocation methodology of the AVAs to the relevant sets of positions. The allocation methodology sh</w:t>
            </w:r>
            <w:r w:rsidR="00F75FD2" w:rsidRPr="002A677E">
              <w:rPr>
                <w:rFonts w:ascii="Times New Roman" w:hAnsi="Times New Roman"/>
                <w:sz w:val="24"/>
              </w:rPr>
              <w:t>all</w:t>
            </w:r>
            <w:r w:rsidRPr="002A677E">
              <w:rPr>
                <w:rFonts w:ascii="Times New Roman" w:hAnsi="Times New Roman"/>
                <w:sz w:val="24"/>
              </w:rPr>
              <w:t xml:space="preserve"> lead to row </w:t>
            </w:r>
            <w:r w:rsidR="00F75FD2" w:rsidRPr="002A677E">
              <w:rPr>
                <w:rFonts w:ascii="Times New Roman" w:hAnsi="Times New Roman"/>
                <w:sz w:val="24"/>
              </w:rPr>
              <w:t>0</w:t>
            </w:r>
            <w:r w:rsidRPr="002A677E">
              <w:rPr>
                <w:rFonts w:ascii="Times New Roman" w:hAnsi="Times New Roman"/>
                <w:sz w:val="24"/>
              </w:rPr>
              <w:t xml:space="preserve">040 being the sum of rows </w:t>
            </w:r>
            <w:r w:rsidR="00F75FD2" w:rsidRPr="002A677E">
              <w:rPr>
                <w:rFonts w:ascii="Times New Roman" w:hAnsi="Times New Roman"/>
                <w:sz w:val="24"/>
              </w:rPr>
              <w:t>00</w:t>
            </w:r>
            <w:r w:rsidRPr="002A677E">
              <w:rPr>
                <w:rFonts w:ascii="Times New Roman" w:hAnsi="Times New Roman"/>
                <w:sz w:val="24"/>
              </w:rPr>
              <w:t xml:space="preserve">50 to </w:t>
            </w:r>
            <w:r w:rsidR="00F75FD2" w:rsidRPr="002A677E">
              <w:rPr>
                <w:rFonts w:ascii="Times New Roman" w:hAnsi="Times New Roman"/>
                <w:sz w:val="24"/>
              </w:rPr>
              <w:t>0</w:t>
            </w:r>
            <w:r w:rsidRPr="002A677E">
              <w:rPr>
                <w:rFonts w:ascii="Times New Roman" w:hAnsi="Times New Roman"/>
                <w:sz w:val="24"/>
              </w:rPr>
              <w:t xml:space="preserve">130 for columns </w:t>
            </w:r>
            <w:r w:rsidR="00F75FD2" w:rsidRPr="002A677E">
              <w:rPr>
                <w:rFonts w:ascii="Times New Roman" w:hAnsi="Times New Roman"/>
                <w:sz w:val="24"/>
              </w:rPr>
              <w:t>0</w:t>
            </w:r>
            <w:r w:rsidRPr="002A677E">
              <w:rPr>
                <w:rFonts w:ascii="Times New Roman" w:hAnsi="Times New Roman"/>
                <w:sz w:val="24"/>
              </w:rPr>
              <w:t xml:space="preserve">010 to </w:t>
            </w:r>
            <w:r w:rsidR="00F75FD2" w:rsidRPr="002A677E">
              <w:rPr>
                <w:rFonts w:ascii="Times New Roman" w:hAnsi="Times New Roman"/>
                <w:sz w:val="24"/>
              </w:rPr>
              <w:t>0</w:t>
            </w:r>
            <w:r w:rsidRPr="002A677E">
              <w:rPr>
                <w:rFonts w:ascii="Times New Roman" w:hAnsi="Times New Roman"/>
                <w:sz w:val="24"/>
              </w:rPr>
              <w:t xml:space="preserve">100. </w:t>
            </w:r>
          </w:p>
          <w:p w14:paraId="764C691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Regardless of the approach applied, the information reported sh</w:t>
            </w:r>
            <w:r w:rsidR="00F75FD2" w:rsidRPr="002A677E">
              <w:rPr>
                <w:rFonts w:ascii="Times New Roman" w:hAnsi="Times New Roman"/>
                <w:sz w:val="24"/>
              </w:rPr>
              <w:t>all</w:t>
            </w:r>
            <w:r w:rsidRPr="002A677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C67D6B1"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breakdown in rows </w:t>
            </w:r>
            <w:r w:rsidR="00F75FD2" w:rsidRPr="002A677E">
              <w:rPr>
                <w:rFonts w:ascii="Times New Roman" w:hAnsi="Times New Roman"/>
                <w:sz w:val="24"/>
              </w:rPr>
              <w:t>0</w:t>
            </w:r>
            <w:r w:rsidRPr="002A677E">
              <w:rPr>
                <w:rFonts w:ascii="Times New Roman" w:hAnsi="Times New Roman"/>
                <w:sz w:val="24"/>
              </w:rPr>
              <w:t xml:space="preserve">090 to </w:t>
            </w:r>
            <w:r w:rsidR="00F75FD2" w:rsidRPr="002A677E">
              <w:rPr>
                <w:rFonts w:ascii="Times New Roman" w:hAnsi="Times New Roman"/>
                <w:sz w:val="24"/>
              </w:rPr>
              <w:t>0</w:t>
            </w:r>
            <w:r w:rsidRPr="002A677E">
              <w:rPr>
                <w:rFonts w:ascii="Times New Roman" w:hAnsi="Times New Roman"/>
                <w:sz w:val="24"/>
              </w:rPr>
              <w:t xml:space="preserve">130 excludes the AVAs computed in accordance with Articles 12 and 13 of </w:t>
            </w:r>
            <w:r w:rsidR="00F811F8" w:rsidRPr="002A677E">
              <w:rPr>
                <w:rFonts w:ascii="Times New Roman" w:hAnsi="Times New Roman"/>
                <w:sz w:val="24"/>
              </w:rPr>
              <w:t>Delegated Regulation (EU) 2016/101</w:t>
            </w:r>
            <w:r w:rsidRPr="002A677E">
              <w:rPr>
                <w:rFonts w:ascii="Times New Roman" w:hAnsi="Times New Roman"/>
                <w:sz w:val="24"/>
              </w:rPr>
              <w:t xml:space="preserve"> that are reported in rows </w:t>
            </w:r>
            <w:r w:rsidR="00F75FD2" w:rsidRPr="002A677E">
              <w:rPr>
                <w:rFonts w:ascii="Times New Roman" w:hAnsi="Times New Roman"/>
                <w:sz w:val="24"/>
              </w:rPr>
              <w:t>00</w:t>
            </w:r>
            <w:r w:rsidRPr="002A677E">
              <w:rPr>
                <w:rFonts w:ascii="Times New Roman" w:hAnsi="Times New Roman"/>
                <w:sz w:val="24"/>
              </w:rPr>
              <w:t xml:space="preserve">50 and </w:t>
            </w:r>
            <w:r w:rsidR="00F75FD2" w:rsidRPr="002A677E">
              <w:rPr>
                <w:rFonts w:ascii="Times New Roman" w:hAnsi="Times New Roman"/>
                <w:sz w:val="24"/>
              </w:rPr>
              <w:t>00</w:t>
            </w:r>
            <w:r w:rsidRPr="002A677E">
              <w:rPr>
                <w:rFonts w:ascii="Times New Roman" w:hAnsi="Times New Roman"/>
                <w:sz w:val="24"/>
              </w:rPr>
              <w:t xml:space="preserve">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w:t>
            </w:r>
          </w:p>
          <w:p w14:paraId="66A42794"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w:t>
            </w:r>
            <w:r w:rsidR="00F75FD2"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and </w:t>
            </w:r>
            <w:r w:rsidR="00F75FD2" w:rsidRPr="002A677E">
              <w:rPr>
                <w:rFonts w:ascii="Times New Roman" w:hAnsi="Times New Roman"/>
                <w:sz w:val="24"/>
              </w:rPr>
              <w:t xml:space="preserve">are </w:t>
            </w:r>
            <w:r w:rsidRPr="002A677E">
              <w:rPr>
                <w:rFonts w:ascii="Times New Roman" w:hAnsi="Times New Roman"/>
                <w:sz w:val="24"/>
              </w:rPr>
              <w:t xml:space="preserve">therefore excluded from rows </w:t>
            </w:r>
            <w:r w:rsidR="00F75FD2" w:rsidRPr="002A677E">
              <w:rPr>
                <w:rFonts w:ascii="Times New Roman" w:hAnsi="Times New Roman"/>
                <w:sz w:val="24"/>
              </w:rPr>
              <w:t>0</w:t>
            </w:r>
            <w:r w:rsidRPr="002A677E">
              <w:rPr>
                <w:rFonts w:ascii="Times New Roman" w:hAnsi="Times New Roman"/>
                <w:sz w:val="24"/>
              </w:rPr>
              <w:t xml:space="preserve">040 to </w:t>
            </w:r>
            <w:r w:rsidR="00F75FD2" w:rsidRPr="002A677E">
              <w:rPr>
                <w:rFonts w:ascii="Times New Roman" w:hAnsi="Times New Roman"/>
                <w:sz w:val="24"/>
              </w:rPr>
              <w:t>0</w:t>
            </w:r>
            <w:r w:rsidRPr="002A677E">
              <w:rPr>
                <w:rFonts w:ascii="Times New Roman" w:hAnsi="Times New Roman"/>
                <w:sz w:val="24"/>
              </w:rPr>
              <w:t xml:space="preserve">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7167B6C8" w14:textId="7CEC38C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Article 12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32DC11E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3FA8103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2D827EB2"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unearned credit spread AVAs.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 </w:t>
            </w:r>
            <w:r w:rsidR="007466A4" w:rsidRPr="002A677E">
              <w:rPr>
                <w:rFonts w:ascii="Times New Roman" w:hAnsi="Times New Roman"/>
                <w:sz w:val="24"/>
              </w:rPr>
              <w:t xml:space="preserve">Delegated Regulation (EU) 2016/101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Article 17 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3F8894F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75C82F7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BD27AC5"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09A881B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sidR="00B83DDE">
              <w:rPr>
                <w:rFonts w:ascii="Times New Roman" w:hAnsi="Times New Roman"/>
                <w:b/>
                <w:sz w:val="24"/>
                <w:u w:val="single"/>
              </w:rPr>
              <w:t xml:space="preserve">, </w:t>
            </w:r>
            <w:r w:rsidR="00D318BC">
              <w:rPr>
                <w:rFonts w:ascii="Times New Roman" w:hAnsi="Times New Roman"/>
                <w:b/>
                <w:sz w:val="24"/>
                <w:u w:val="single"/>
              </w:rPr>
              <w:t>P</w:t>
            </w:r>
            <w:r w:rsidR="00A07646" w:rsidRPr="002A677E">
              <w:rPr>
                <w:rFonts w:ascii="Times New Roman" w:hAnsi="Times New Roman"/>
                <w:b/>
                <w:sz w:val="24"/>
                <w:u w:val="single"/>
              </w:rPr>
              <w:t xml:space="preserve">ARAGRAPHS 2 AND 3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2AC86975"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AF3D7A" w:rsidRPr="002A677E">
              <w:rPr>
                <w:rFonts w:ascii="Times New Roman" w:hAnsi="Times New Roman"/>
                <w:sz w:val="24"/>
              </w:rPr>
              <w:t>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w:t>
            </w:r>
            <w:r w:rsidR="00AF3D7A" w:rsidRPr="002A677E">
              <w:rPr>
                <w:rFonts w:ascii="Times New Roman" w:hAnsi="Times New Roman"/>
                <w:sz w:val="24"/>
              </w:rPr>
              <w:t>3</w:t>
            </w:r>
            <w:r w:rsidR="00973707" w:rsidRPr="002A677E">
              <w:rPr>
                <w:rFonts w:ascii="Times New Roman" w:hAnsi="Times New Roman"/>
                <w:sz w:val="24"/>
              </w:rPr>
              <w:t>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w:t>
            </w:r>
            <w:r w:rsidR="00AF3D7A" w:rsidRPr="002A677E">
              <w:rPr>
                <w:rFonts w:ascii="Times New Roman" w:hAnsi="Times New Roman"/>
                <w:b/>
                <w:sz w:val="24"/>
                <w:u w:val="single"/>
              </w:rPr>
              <w:t>5</w:t>
            </w:r>
            <w:r w:rsidRPr="002A677E">
              <w:rPr>
                <w:rFonts w:ascii="Times New Roman" w:hAnsi="Times New Roman"/>
                <w:b/>
                <w:sz w:val="24"/>
                <w:u w:val="single"/>
              </w:rPr>
              <w:t xml:space="preserve"> COMMODITIES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BenefitS</w:t>
            </w:r>
          </w:p>
          <w:p w14:paraId="5A70CD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Total diversification benefit. Sum of rows </w:t>
            </w:r>
            <w:r w:rsidR="00F75FD2" w:rsidRPr="002A677E">
              <w:rPr>
                <w:rFonts w:ascii="Times New Roman" w:hAnsi="Times New Roman"/>
                <w:sz w:val="24"/>
              </w:rPr>
              <w:t>0</w:t>
            </w:r>
            <w:r w:rsidRPr="002A677E">
              <w:rPr>
                <w:rFonts w:ascii="Times New Roman" w:hAnsi="Times New Roman"/>
                <w:sz w:val="24"/>
              </w:rPr>
              <w:t xml:space="preserve">150 and </w:t>
            </w:r>
            <w:r w:rsidR="00F75FD2" w:rsidRPr="002A677E">
              <w:rPr>
                <w:rFonts w:ascii="Times New Roman" w:hAnsi="Times New Roman"/>
                <w:sz w:val="24"/>
              </w:rPr>
              <w:t>0</w:t>
            </w:r>
            <w:r w:rsidRPr="002A677E">
              <w:rPr>
                <w:rFonts w:ascii="Times New Roman" w:hAnsi="Times New Roman"/>
                <w:sz w:val="24"/>
              </w:rPr>
              <w:t>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1.1.2.1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1</w:t>
            </w:r>
          </w:p>
          <w:p w14:paraId="200A1ECE"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those categories of AVA aggregated under Method 1 </w:t>
            </w:r>
            <w:r w:rsidR="00F75FD2" w:rsidRPr="002A677E">
              <w:rPr>
                <w:rFonts w:ascii="Times New Roman" w:hAnsi="Times New Roman"/>
                <w:sz w:val="24"/>
              </w:rPr>
              <w:t>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2</w:t>
            </w:r>
          </w:p>
          <w:p w14:paraId="4CCD1550"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w:t>
            </w:r>
            <w:r w:rsidR="00F75FD2" w:rsidRPr="002A677E">
              <w:rPr>
                <w:rFonts w:ascii="Times New Roman" w:hAnsi="Times New Roman"/>
                <w:sz w:val="24"/>
              </w:rPr>
              <w:t xml:space="preserve"> 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w:t>
            </w:r>
            <w:r w:rsidR="00F75FD2" w:rsidRPr="002A677E">
              <w:rPr>
                <w:rFonts w:ascii="Times New Roman" w:hAnsi="Times New Roman"/>
                <w:sz w:val="24"/>
              </w:rPr>
              <w:t>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w:t>
            </w:r>
            <w:r w:rsidR="00B856D5">
              <w:t> </w:t>
            </w:r>
            <w:r w:rsidRPr="002A677E">
              <w:rPr>
                <w:rFonts w:ascii="Times New Roman" w:hAnsi="Times New Roman"/>
                <w:b/>
                <w:caps/>
                <w:sz w:val="24"/>
                <w:u w:val="single"/>
              </w:rPr>
              <w:t>% by diversification under Me</w:t>
            </w:r>
            <w:r w:rsidR="00310F96" w:rsidRPr="002A677E">
              <w:rPr>
                <w:rFonts w:ascii="Times New Roman" w:hAnsi="Times New Roman"/>
                <w:b/>
                <w:caps/>
                <w:sz w:val="24"/>
                <w:u w:val="single"/>
              </w:rPr>
              <w:softHyphen/>
            </w:r>
            <w:r w:rsidRPr="002A677E">
              <w:rPr>
                <w:rFonts w:ascii="Times New Roman" w:hAnsi="Times New Roman"/>
                <w:b/>
                <w:caps/>
                <w:sz w:val="24"/>
                <w:u w:val="single"/>
              </w:rPr>
              <w:t>thod 2</w:t>
            </w:r>
          </w:p>
          <w:p w14:paraId="4D9D573E" w14:textId="34AE00C5" w:rsidR="00973707" w:rsidRPr="002A677E" w:rsidRDefault="00973707" w:rsidP="00DD41BE">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w:t>
            </w:r>
            <w:r w:rsidR="00B856D5">
              <w:t> </w:t>
            </w:r>
            <w:r w:rsidRPr="002A677E">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0C014825" w14:textId="5E90087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283962DF" w14:textId="0EF59F6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For portfolios subject to the fall-back approach under</w:t>
            </w:r>
            <w:r w:rsidR="002F78EA" w:rsidRPr="002A677E">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of</w:t>
            </w:r>
            <w:r w:rsidR="00A30C4C" w:rsidRPr="002A677E">
              <w:rPr>
                <w:rFonts w:ascii="Times New Roman" w:hAnsi="Times New Roman"/>
                <w:sz w:val="24"/>
              </w:rPr>
              <w:t xml:space="preserve"> </w:t>
            </w:r>
            <w:r w:rsidR="007466A4" w:rsidRPr="002A677E">
              <w:rPr>
                <w:rFonts w:ascii="Times New Roman" w:hAnsi="Times New Roman"/>
                <w:sz w:val="24"/>
              </w:rPr>
              <w:t>Delegated Regulation (EU) 2016/101</w:t>
            </w:r>
            <w:r w:rsidRPr="002A677E">
              <w:rPr>
                <w:rFonts w:ascii="Times New Roman" w:hAnsi="Times New Roman"/>
                <w:sz w:val="24"/>
              </w:rPr>
              <w:t xml:space="preserve">, the total AVA shall be computed as a sum of rows </w:t>
            </w:r>
            <w:r w:rsidR="00310F96" w:rsidRPr="002A677E">
              <w:rPr>
                <w:rFonts w:ascii="Times New Roman" w:hAnsi="Times New Roman"/>
                <w:sz w:val="24"/>
              </w:rPr>
              <w:t>0</w:t>
            </w:r>
            <w:r w:rsidRPr="002A677E">
              <w:rPr>
                <w:rFonts w:ascii="Times New Roman" w:hAnsi="Times New Roman"/>
                <w:sz w:val="24"/>
              </w:rPr>
              <w:t xml:space="preserve">190, </w:t>
            </w:r>
            <w:r w:rsidR="00310F96" w:rsidRPr="002A677E">
              <w:rPr>
                <w:rFonts w:ascii="Times New Roman" w:hAnsi="Times New Roman"/>
                <w:sz w:val="24"/>
              </w:rPr>
              <w:t>0</w:t>
            </w:r>
            <w:r w:rsidRPr="002A677E">
              <w:rPr>
                <w:rFonts w:ascii="Times New Roman" w:hAnsi="Times New Roman"/>
                <w:sz w:val="24"/>
              </w:rPr>
              <w:t xml:space="preserve">200 and </w:t>
            </w:r>
            <w:r w:rsidR="00310F96" w:rsidRPr="002A677E">
              <w:rPr>
                <w:rFonts w:ascii="Times New Roman" w:hAnsi="Times New Roman"/>
                <w:sz w:val="24"/>
              </w:rPr>
              <w:t>0</w:t>
            </w:r>
            <w:r w:rsidRPr="002A677E">
              <w:rPr>
                <w:rFonts w:ascii="Times New Roman" w:hAnsi="Times New Roman"/>
                <w:sz w:val="24"/>
              </w:rPr>
              <w:t xml:space="preserve">210. </w:t>
            </w:r>
          </w:p>
          <w:p w14:paraId="3C92DE0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00310F96" w:rsidRPr="002A677E">
              <w:rPr>
                <w:rFonts w:ascii="Times New Roman" w:hAnsi="Times New Roman"/>
                <w:sz w:val="24"/>
              </w:rPr>
              <w:softHyphen/>
            </w:r>
            <w:r w:rsidRPr="002A677E">
              <w:rPr>
                <w:rFonts w:ascii="Times New Roman" w:hAnsi="Times New Roman"/>
                <w:sz w:val="24"/>
              </w:rPr>
              <w:t xml:space="preserve">lumns </w:t>
            </w:r>
            <w:r w:rsidR="00310F96" w:rsidRPr="002A677E">
              <w:rPr>
                <w:rFonts w:ascii="Times New Roman" w:hAnsi="Times New Roman"/>
                <w:sz w:val="24"/>
              </w:rPr>
              <w:t>0</w:t>
            </w:r>
            <w:r w:rsidRPr="002A677E">
              <w:rPr>
                <w:rFonts w:ascii="Times New Roman" w:hAnsi="Times New Roman"/>
                <w:sz w:val="24"/>
              </w:rPr>
              <w:t xml:space="preserve">130 - </w:t>
            </w:r>
            <w:r w:rsidR="00310F96" w:rsidRPr="002A677E">
              <w:rPr>
                <w:rFonts w:ascii="Times New Roman" w:hAnsi="Times New Roman"/>
                <w:sz w:val="24"/>
              </w:rPr>
              <w:t>0</w:t>
            </w:r>
            <w:r w:rsidRPr="002A677E">
              <w:rPr>
                <w:rFonts w:ascii="Times New Roman" w:hAnsi="Times New Roman"/>
                <w:sz w:val="24"/>
              </w:rPr>
              <w:t>260. A description of the positions and the reason why it was not possible to apply Articles 9 to 17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shall be provided in column </w:t>
            </w:r>
            <w:r w:rsidR="00310F96" w:rsidRPr="002A677E">
              <w:rPr>
                <w:rFonts w:ascii="Times New Roman" w:hAnsi="Times New Roman"/>
                <w:sz w:val="24"/>
              </w:rPr>
              <w:t>0</w:t>
            </w:r>
            <w:r w:rsidRPr="002A677E">
              <w:rPr>
                <w:rFonts w:ascii="Times New Roman" w:hAnsi="Times New Roman"/>
                <w:sz w:val="24"/>
              </w:rPr>
              <w:t xml:space="preserve">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w:t>
            </w:r>
            <w:r w:rsidR="00B856D5">
              <w:t> </w:t>
            </w:r>
            <w:r w:rsidRPr="002A677E">
              <w:rPr>
                <w:rFonts w:ascii="Times New Roman" w:hAnsi="Times New Roman"/>
                <w:b/>
                <w:caps/>
                <w:sz w:val="24"/>
                <w:u w:val="single"/>
              </w:rPr>
              <w:t>% unrealised profit</w:t>
            </w:r>
          </w:p>
          <w:p w14:paraId="1B3CB39E" w14:textId="08E9F487" w:rsidR="00973707" w:rsidRPr="002A677E" w:rsidRDefault="00973707" w:rsidP="00A07646">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 xml:space="preserve">oint (b)(i)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w:t>
            </w:r>
            <w:r w:rsidR="00B856D5">
              <w:t> </w:t>
            </w:r>
            <w:r w:rsidRPr="002A677E">
              <w:rPr>
                <w:rFonts w:ascii="Times New Roman" w:hAnsi="Times New Roman"/>
                <w:b/>
                <w:caps/>
                <w:sz w:val="24"/>
                <w:u w:val="single"/>
              </w:rPr>
              <w:t>% notional value</w:t>
            </w:r>
          </w:p>
          <w:p w14:paraId="463D12C1" w14:textId="0229DD37"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lastRenderedPageBreak/>
              <w:t>Article 7(2)</w:t>
            </w:r>
            <w:r w:rsidR="00B83DDE">
              <w:rPr>
                <w:rFonts w:ascii="Times New Roman" w:hAnsi="Times New Roman"/>
                <w:sz w:val="24"/>
              </w:rPr>
              <w:t>, p</w:t>
            </w:r>
            <w:r w:rsidRPr="002A677E">
              <w:rPr>
                <w:rFonts w:ascii="Times New Roman" w:hAnsi="Times New Roman"/>
                <w:sz w:val="24"/>
              </w:rPr>
              <w:t xml:space="preserve">oint (b)(ii)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w:t>
            </w:r>
            <w:r w:rsidR="00B856D5">
              <w:rPr>
                <w:rFonts w:ascii="Times New Roman" w:hAnsi="Times New Roman"/>
                <w:b/>
                <w:caps/>
                <w:sz w:val="24"/>
                <w:u w:val="single"/>
              </w:rPr>
              <w:t xml:space="preserve"> </w:t>
            </w:r>
            <w:r w:rsidRPr="002A677E">
              <w:rPr>
                <w:rFonts w:ascii="Times New Roman" w:hAnsi="Times New Roman"/>
                <w:b/>
                <w:caps/>
                <w:sz w:val="24"/>
                <w:u w:val="single"/>
              </w:rPr>
              <w:t>% of inception value</w:t>
            </w:r>
          </w:p>
          <w:p w14:paraId="3D0D3B88" w14:textId="4DA16E3A"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lang w:val="en-GB"/>
        </w:rPr>
      </w:pPr>
      <w:bookmarkStart w:id="758" w:name="_Toc151714516"/>
      <w:r w:rsidRPr="00624117">
        <w:rPr>
          <w:rFonts w:ascii="Times New Roman" w:hAnsi="Times New Roman"/>
          <w:sz w:val="24"/>
          <w:u w:val="none"/>
          <w:lang w:val="en-GB"/>
        </w:rPr>
        <w:t xml:space="preserve">6.3. </w:t>
      </w:r>
      <w:r w:rsidR="00B93FA1" w:rsidRPr="002A677E">
        <w:rPr>
          <w:rFonts w:ascii="Times New Roman" w:hAnsi="Times New Roman"/>
          <w:sz w:val="24"/>
          <w:lang w:val="en-GB"/>
        </w:rPr>
        <w:t>C 32.0</w:t>
      </w:r>
      <w:r w:rsidRPr="002A677E">
        <w:rPr>
          <w:rFonts w:ascii="Times New Roman" w:hAnsi="Times New Roman"/>
          <w:sz w:val="24"/>
          <w:lang w:val="en-GB"/>
        </w:rPr>
        <w:t>3</w:t>
      </w:r>
      <w:r w:rsidR="00B93FA1" w:rsidRPr="002A677E">
        <w:rPr>
          <w:rFonts w:ascii="Times New Roman" w:hAnsi="Times New Roman"/>
          <w:sz w:val="24"/>
          <w:lang w:val="en-GB"/>
        </w:rPr>
        <w:t xml:space="preserve"> - Prudent Valuation: </w:t>
      </w:r>
      <w:r w:rsidRPr="002A677E">
        <w:rPr>
          <w:rFonts w:ascii="Times New Roman" w:hAnsi="Times New Roman"/>
          <w:sz w:val="24"/>
          <w:lang w:val="en-GB"/>
        </w:rPr>
        <w:t xml:space="preserve">Model Risk AVA </w:t>
      </w:r>
      <w:r w:rsidR="00B93FA1" w:rsidRPr="002A677E">
        <w:rPr>
          <w:rFonts w:ascii="Times New Roman" w:hAnsi="Times New Roman"/>
          <w:sz w:val="24"/>
          <w:lang w:val="en-GB"/>
        </w:rPr>
        <w:t xml:space="preserve">(PruVal </w:t>
      </w:r>
      <w:r w:rsidRPr="002A677E">
        <w:rPr>
          <w:rFonts w:ascii="Times New Roman" w:hAnsi="Times New Roman"/>
          <w:sz w:val="24"/>
          <w:lang w:val="en-GB"/>
        </w:rPr>
        <w:t>3</w:t>
      </w:r>
      <w:r w:rsidR="00B93FA1" w:rsidRPr="002A677E">
        <w:rPr>
          <w:rFonts w:ascii="Times New Roman" w:hAnsi="Times New Roman"/>
          <w:sz w:val="24"/>
          <w:lang w:val="en-GB"/>
        </w:rPr>
        <w:t>)</w:t>
      </w:r>
      <w:bookmarkEnd w:id="758"/>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9" w:name="_Toc151714517"/>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59"/>
      <w:r w:rsidRPr="002A677E">
        <w:rPr>
          <w:rFonts w:ascii="Times New Roman" w:hAnsi="Times New Roman" w:cs="Times New Roman"/>
          <w:sz w:val="24"/>
          <w:u w:val="none"/>
          <w:lang w:val="en-GB"/>
        </w:rPr>
        <w:t xml:space="preserve"> </w:t>
      </w:r>
    </w:p>
    <w:p w14:paraId="03B2FE9F" w14:textId="0053B6EE" w:rsidR="00AF3D7A"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183</w:t>
      </w:r>
      <w:r w:rsidRPr="005B57EC">
        <w:rPr>
          <w:noProof/>
        </w:rPr>
        <w:fldChar w:fldCharType="end"/>
      </w:r>
      <w:r w:rsidR="00AF3D7A" w:rsidRPr="002A677E">
        <w:t xml:space="preserve">. This template is to be completed only by institutions that exceed the threshold referred to in Article 4(1) of </w:t>
      </w:r>
      <w:r w:rsidR="006C0691" w:rsidRPr="002A677E">
        <w:t>Delegated Regulation (EU) 2016/101</w:t>
      </w:r>
      <w:r w:rsidR="00AF3D7A" w:rsidRPr="002A677E">
        <w:t xml:space="preserve"> at their level. Institutions that are part of a group breaching the threshold on a consolidated basis are required to report this template only where they also exceed the threshold at their level.</w:t>
      </w:r>
    </w:p>
    <w:p w14:paraId="04DED855" w14:textId="269D7C3D" w:rsidR="00AF3D7A"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184</w:t>
      </w:r>
      <w:r w:rsidRPr="005B57EC">
        <w:rPr>
          <w:noProof/>
        </w:rPr>
        <w:fldChar w:fldCharType="end"/>
      </w:r>
      <w:r w:rsidR="00AF3D7A" w:rsidRPr="002A677E">
        <w:t xml:space="preserve">. This template shall be used to report details of the top 20 individual model risk AVAs in terms of AVA amount that contribute to the total category level model risk AVA computed in accordance with Article 11 of </w:t>
      </w:r>
      <w:r w:rsidR="006C0691" w:rsidRPr="002A677E">
        <w:t>Delegated Regulation (EU) 2016/101</w:t>
      </w:r>
      <w:r w:rsidR="00AF3D7A" w:rsidRPr="002A677E">
        <w:t>. Th</w:t>
      </w:r>
      <w:r w:rsidR="004B572C" w:rsidRPr="002A677E">
        <w:t>at</w:t>
      </w:r>
      <w:r w:rsidR="00AF3D7A" w:rsidRPr="002A677E">
        <w:t xml:space="preserve"> information </w:t>
      </w:r>
      <w:r w:rsidR="0022597E" w:rsidRPr="002A677E">
        <w:t>corresponds to</w:t>
      </w:r>
      <w:r w:rsidR="00AF3D7A" w:rsidRPr="002A677E">
        <w:t xml:space="preserve"> the information reported in column </w:t>
      </w:r>
      <w:r w:rsidR="0022597E" w:rsidRPr="002A677E">
        <w:t>0</w:t>
      </w:r>
      <w:r w:rsidR="00AF3D7A" w:rsidRPr="002A677E">
        <w:t>050 of template C 32.02.</w:t>
      </w:r>
    </w:p>
    <w:p w14:paraId="741DDBB0" w14:textId="02B3F759" w:rsidR="00AF3D7A"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185</w:t>
      </w:r>
      <w:r w:rsidRPr="005B57EC">
        <w:rPr>
          <w:noProof/>
        </w:rPr>
        <w:fldChar w:fldCharType="end"/>
      </w:r>
      <w:r w:rsidR="00AF3D7A" w:rsidRPr="002A677E">
        <w:t xml:space="preserve">. The top 20 individual model risk AVAs, and corresponding product information, shall be reported in decreasing order starting from the largest individual model risk AVAs. </w:t>
      </w:r>
    </w:p>
    <w:p w14:paraId="3881F296" w14:textId="4D24C242" w:rsidR="00AF3D7A"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186</w:t>
      </w:r>
      <w:r w:rsidRPr="005B57EC">
        <w:rPr>
          <w:noProof/>
        </w:rPr>
        <w:fldChar w:fldCharType="end"/>
      </w:r>
      <w:r w:rsidR="00AF3D7A" w:rsidRPr="002A677E">
        <w:t>. Products corresponding to th</w:t>
      </w:r>
      <w:r w:rsidR="004B572C" w:rsidRPr="002A677E">
        <w:t>o</w:t>
      </w:r>
      <w:r w:rsidR="00AF3D7A" w:rsidRPr="002A677E">
        <w:t>se top individual model risk AVAs shall be reported using the product inventory required by Article 19(3)</w:t>
      </w:r>
      <w:r w:rsidR="00B83DDE">
        <w:t>, p</w:t>
      </w:r>
      <w:r w:rsidR="00813B8E" w:rsidRPr="002A677E">
        <w:t>oint (a)</w:t>
      </w:r>
      <w:r w:rsidR="002E7287">
        <w:t>,</w:t>
      </w:r>
      <w:r w:rsidR="00813B8E" w:rsidRPr="002A677E">
        <w:t xml:space="preserve"> </w:t>
      </w:r>
      <w:r w:rsidR="00AF3D7A" w:rsidRPr="002A677E">
        <w:t xml:space="preserve">of </w:t>
      </w:r>
      <w:r w:rsidR="0068594D" w:rsidRPr="002A677E">
        <w:t>Delegated Regulation (EU) 2016/101</w:t>
      </w:r>
      <w:r w:rsidR="00AF3D7A" w:rsidRPr="002A677E">
        <w:t xml:space="preserve">. </w:t>
      </w:r>
    </w:p>
    <w:p w14:paraId="6C4443E0" w14:textId="163D4F46" w:rsidR="00AF3D7A"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187</w:t>
      </w:r>
      <w:r w:rsidRPr="005B57EC">
        <w:rPr>
          <w:noProof/>
        </w:rPr>
        <w:fldChar w:fldCharType="end"/>
      </w:r>
      <w:r w:rsidR="00113E45" w:rsidRPr="002A677E">
        <w:t xml:space="preserve">. </w:t>
      </w:r>
      <w:r w:rsidR="00AF3D7A" w:rsidRPr="002A677E">
        <w:t xml:space="preserve">Where </w:t>
      </w:r>
      <w:r w:rsidR="00BC1220" w:rsidRPr="002A677E">
        <w:t xml:space="preserve">products are </w:t>
      </w:r>
      <w:r w:rsidR="00AF3D7A" w:rsidRPr="002A677E">
        <w:t xml:space="preserve">sufficiently homogenous with respect to </w:t>
      </w:r>
      <w:r w:rsidR="00BC1220" w:rsidRPr="002A677E">
        <w:t xml:space="preserve">the </w:t>
      </w:r>
      <w:r w:rsidR="00AF3D7A" w:rsidRPr="002A677E">
        <w:t xml:space="preserve">valuation model and the model risk AVA, </w:t>
      </w:r>
      <w:r w:rsidR="00BC1220" w:rsidRPr="002A677E">
        <w:t>they</w:t>
      </w:r>
      <w:r w:rsidR="0068594D" w:rsidRPr="002A677E">
        <w:t xml:space="preserve"> shall</w:t>
      </w:r>
      <w:r w:rsidR="00AF3D7A" w:rsidRPr="002A677E">
        <w:t xml:space="preserve"> be merged and shown on one line for the purpose of maximising coverage of this template in respect of the total category level Model Risk AVA of the institution.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lang w:val="en-GB"/>
        </w:rPr>
      </w:pPr>
      <w:bookmarkStart w:id="760" w:name="_Toc151714518"/>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individual model risk AVAs, 2 to the second highest and so on.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464F5E37"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310F96" w:rsidRPr="002A677E">
              <w:rPr>
                <w:rFonts w:ascii="Times New Roman" w:hAnsi="Times New Roman"/>
                <w:sz w:val="24"/>
              </w:rPr>
              <w:t>i</w:t>
            </w:r>
            <w:r w:rsidRPr="002A677E">
              <w:rPr>
                <w:rFonts w:ascii="Times New Roman" w:hAnsi="Times New Roman"/>
                <w:sz w:val="24"/>
              </w:rPr>
              <w:t xml:space="preserve">nterest </w:t>
            </w:r>
            <w:r w:rsidR="00310F96" w:rsidRPr="002A677E">
              <w:rPr>
                <w:rFonts w:ascii="Times New Roman" w:hAnsi="Times New Roman"/>
                <w:sz w:val="24"/>
              </w:rPr>
              <w:t>r</w:t>
            </w:r>
            <w:r w:rsidRPr="002A677E">
              <w:rPr>
                <w:rFonts w:ascii="Times New Roman" w:hAnsi="Times New Roman"/>
                <w:sz w:val="24"/>
              </w:rPr>
              <w:t xml:space="preserve">ates, </w:t>
            </w:r>
            <w:r w:rsidR="00310F96" w:rsidRPr="002A677E">
              <w:rPr>
                <w:rFonts w:ascii="Times New Roman" w:hAnsi="Times New Roman"/>
                <w:sz w:val="24"/>
              </w:rPr>
              <w:t>FX, c</w:t>
            </w:r>
            <w:r w:rsidRPr="002A677E">
              <w:rPr>
                <w:rFonts w:ascii="Times New Roman" w:hAnsi="Times New Roman"/>
                <w:sz w:val="24"/>
              </w:rPr>
              <w:t xml:space="preserve">redit, </w:t>
            </w:r>
            <w:r w:rsidR="00310F96" w:rsidRPr="002A677E">
              <w:rPr>
                <w:rFonts w:ascii="Times New Roman" w:hAnsi="Times New Roman"/>
                <w:sz w:val="24"/>
              </w:rPr>
              <w:t>e</w:t>
            </w:r>
            <w:r w:rsidRPr="002A677E">
              <w:rPr>
                <w:rFonts w:ascii="Times New Roman" w:hAnsi="Times New Roman"/>
                <w:sz w:val="24"/>
              </w:rPr>
              <w:t xml:space="preserve">quities, </w:t>
            </w:r>
            <w:r w:rsidR="00310F96" w:rsidRPr="002A677E">
              <w:rPr>
                <w:rFonts w:ascii="Times New Roman" w:hAnsi="Times New Roman"/>
                <w:sz w:val="24"/>
              </w:rPr>
              <w:t>c</w:t>
            </w:r>
            <w:r w:rsidRPr="002A677E">
              <w:rPr>
                <w:rFonts w:ascii="Times New Roman" w:hAnsi="Times New Roman"/>
                <w:sz w:val="24"/>
              </w:rPr>
              <w:t>ommodities) that most appropriately characterises the product or group of products that give rise to the model risk valuation adjustment.</w:t>
            </w:r>
          </w:p>
          <w:p w14:paraId="6DDE4251"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2A3023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IR – </w:t>
            </w:r>
            <w:r w:rsidR="00A74B40" w:rsidRPr="002A677E">
              <w:rPr>
                <w:rFonts w:ascii="Times New Roman" w:hAnsi="Times New Roman"/>
                <w:sz w:val="24"/>
              </w:rPr>
              <w:t>i</w:t>
            </w:r>
            <w:r w:rsidRPr="002A677E">
              <w:rPr>
                <w:rFonts w:ascii="Times New Roman" w:hAnsi="Times New Roman"/>
                <w:sz w:val="24"/>
              </w:rPr>
              <w:t xml:space="preserve">nterest </w:t>
            </w:r>
            <w:r w:rsidR="00A74B40" w:rsidRPr="002A677E">
              <w:rPr>
                <w:rFonts w:ascii="Times New Roman" w:hAnsi="Times New Roman"/>
                <w:sz w:val="24"/>
              </w:rPr>
              <w:t>r</w:t>
            </w:r>
            <w:r w:rsidRPr="002A677E">
              <w:rPr>
                <w:rFonts w:ascii="Times New Roman" w:hAnsi="Times New Roman"/>
                <w:sz w:val="24"/>
              </w:rPr>
              <w:t>ates</w:t>
            </w:r>
          </w:p>
          <w:p w14:paraId="42986A92" w14:textId="77777777" w:rsidR="00A74B40" w:rsidRPr="002A677E" w:rsidRDefault="00A74B40"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CR – </w:t>
            </w:r>
            <w:r w:rsidR="00A74B40" w:rsidRPr="002A677E">
              <w:rPr>
                <w:rFonts w:ascii="Times New Roman" w:hAnsi="Times New Roman"/>
                <w:sz w:val="24"/>
              </w:rPr>
              <w:t>c</w:t>
            </w:r>
            <w:r w:rsidRPr="002A677E">
              <w:rPr>
                <w:rFonts w:ascii="Times New Roman" w:hAnsi="Times New Roman"/>
                <w:sz w:val="24"/>
              </w:rPr>
              <w:t>redit</w:t>
            </w:r>
          </w:p>
          <w:p w14:paraId="01616E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EQ – </w:t>
            </w:r>
            <w:r w:rsidR="00A74B40" w:rsidRPr="002A677E">
              <w:rPr>
                <w:rFonts w:ascii="Times New Roman" w:hAnsi="Times New Roman"/>
                <w:sz w:val="24"/>
              </w:rPr>
              <w:t>e</w:t>
            </w:r>
            <w:r w:rsidRPr="002A677E">
              <w:rPr>
                <w:rFonts w:ascii="Times New Roman" w:hAnsi="Times New Roman"/>
                <w:sz w:val="24"/>
              </w:rPr>
              <w:t>quities</w:t>
            </w:r>
          </w:p>
          <w:p w14:paraId="11D625BD" w14:textId="77777777" w:rsidR="00113E45" w:rsidRPr="002A677E" w:rsidRDefault="00113E45" w:rsidP="00A74B40">
            <w:pPr>
              <w:spacing w:beforeLines="60" w:before="144" w:afterLines="60" w:after="144"/>
              <w:rPr>
                <w:rFonts w:ascii="Times New Roman" w:hAnsi="Times New Roman"/>
                <w:sz w:val="24"/>
              </w:rPr>
            </w:pPr>
            <w:r w:rsidRPr="002A677E">
              <w:rPr>
                <w:rFonts w:ascii="Times New Roman" w:hAnsi="Times New Roman"/>
                <w:sz w:val="24"/>
              </w:rPr>
              <w:t xml:space="preserve">CO – </w:t>
            </w:r>
            <w:r w:rsidR="00A74B40" w:rsidRPr="002A677E">
              <w:rPr>
                <w:rFonts w:ascii="Times New Roman" w:hAnsi="Times New Roman"/>
                <w:sz w:val="24"/>
              </w:rPr>
              <w:t>c</w:t>
            </w:r>
            <w:r w:rsidRPr="002A677E">
              <w:rPr>
                <w:rFonts w:ascii="Times New Roman" w:hAnsi="Times New Roman"/>
                <w:sz w:val="24"/>
              </w:rPr>
              <w:t>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78F63AC3" w14:textId="103AE86B" w:rsidR="00113E45" w:rsidRPr="002A677E" w:rsidRDefault="00113E45" w:rsidP="00813B8E">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1A3980" w:rsidRPr="002A677E">
              <w:rPr>
                <w:rFonts w:ascii="Times New Roman" w:hAnsi="Times New Roman"/>
                <w:sz w:val="24"/>
              </w:rPr>
              <w:t>Delegated Regulation (EU) 2016/101</w:t>
            </w:r>
            <w:r w:rsidRPr="002A677E">
              <w:rPr>
                <w:rFonts w:ascii="Times New Roman" w:hAnsi="Times New Roman"/>
                <w:sz w:val="24"/>
              </w:rPr>
              <w:t>, that is valued using the model.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18639400" w14:textId="77777777" w:rsidR="00113E45" w:rsidRPr="002A677E" w:rsidRDefault="00113E45" w:rsidP="00E60B53">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3F317E72"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r w:rsidR="004B572C" w:rsidRPr="002A677E">
              <w:rPr>
                <w:rFonts w:ascii="Times New Roman" w:hAnsi="Times New Roman"/>
                <w:sz w:val="24"/>
                <w:szCs w:val="24"/>
                <w:lang w:val="en-GB"/>
              </w:rPr>
              <w:t>;</w:t>
            </w:r>
          </w:p>
          <w:p w14:paraId="68CCA8F6"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r w:rsidR="004B572C" w:rsidRPr="002A677E">
              <w:rPr>
                <w:rFonts w:ascii="Times New Roman" w:hAnsi="Times New Roman"/>
                <w:sz w:val="24"/>
                <w:szCs w:val="24"/>
                <w:lang w:val="en-GB"/>
              </w:rPr>
              <w:t>;</w:t>
            </w:r>
          </w:p>
          <w:p w14:paraId="0E7AE57F"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lang w:val="en-GB"/>
              </w:rPr>
            </w:pPr>
            <w:r w:rsidRPr="001235ED">
              <w:rPr>
                <w:rFonts w:ascii="Times New Roman" w:hAnsi="Times New Roman"/>
                <w:sz w:val="24"/>
                <w:szCs w:val="24"/>
                <w:lang w:val="en-GB"/>
              </w:rPr>
              <w:t xml:space="preserve">Institutions shall report </w:t>
            </w:r>
            <w:r w:rsidR="008136B4" w:rsidRPr="002A677E">
              <w:rPr>
                <w:rFonts w:ascii="Times New Roman" w:hAnsi="Times New Roman"/>
                <w:sz w:val="24"/>
                <w:szCs w:val="24"/>
                <w:lang w:val="en-GB"/>
              </w:rPr>
              <w:t xml:space="preserve">one of </w:t>
            </w:r>
            <w:r w:rsidRPr="002A677E">
              <w:rPr>
                <w:rFonts w:ascii="Times New Roman" w:hAnsi="Times New Roman"/>
                <w:sz w:val="24"/>
                <w:szCs w:val="24"/>
                <w:lang w:val="en-GB"/>
              </w:rPr>
              <w:t xml:space="preserve">the following </w:t>
            </w:r>
            <w:r w:rsidR="008136B4" w:rsidRPr="002A677E">
              <w:rPr>
                <w:rFonts w:ascii="Times New Roman" w:hAnsi="Times New Roman"/>
                <w:sz w:val="24"/>
                <w:szCs w:val="24"/>
                <w:lang w:val="en-GB"/>
              </w:rPr>
              <w:t>values</w:t>
            </w:r>
            <w:r w:rsidRPr="002A677E">
              <w:rPr>
                <w:rFonts w:ascii="Times New Roman" w:hAnsi="Times New Roman"/>
                <w:sz w:val="24"/>
                <w:szCs w:val="24"/>
                <w:lang w:val="en-GB"/>
              </w:rPr>
              <w:t>: ‘none’,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11(1) of </w:t>
            </w:r>
            <w:r w:rsidR="001A3980" w:rsidRPr="002A677E">
              <w:rPr>
                <w:rFonts w:ascii="Times New Roman" w:hAnsi="Times New Roman"/>
                <w:sz w:val="24"/>
              </w:rPr>
              <w:t>Delegated Regulation (EU) 2016/101</w:t>
            </w:r>
            <w:r w:rsidR="004B572C" w:rsidRPr="002A677E">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Amounts in column 0</w:t>
            </w:r>
            <w:r w:rsidR="008136B4" w:rsidRPr="002A677E">
              <w:rPr>
                <w:rFonts w:ascii="Times New Roman" w:hAnsi="Times New Roman"/>
                <w:sz w:val="24"/>
              </w:rPr>
              <w:t>0</w:t>
            </w:r>
            <w:r w:rsidRPr="002A677E">
              <w:rPr>
                <w:rFonts w:ascii="Times New Roman" w:hAnsi="Times New Roman"/>
                <w:sz w:val="24"/>
              </w:rPr>
              <w:t xml:space="preserve">50 that have been calculated under the expert-based approach </w:t>
            </w:r>
            <w:r w:rsidR="004B572C" w:rsidRPr="002A677E">
              <w:rPr>
                <w:rFonts w:ascii="Times New Roman" w:hAnsi="Times New Roman"/>
                <w:sz w:val="24"/>
              </w:rPr>
              <w:t xml:space="preserve">referred to </w:t>
            </w:r>
            <w:r w:rsidRPr="002A677E">
              <w:rPr>
                <w:rFonts w:ascii="Times New Roman" w:hAnsi="Times New Roman"/>
                <w:sz w:val="24"/>
              </w:rPr>
              <w:t>in Art</w:t>
            </w:r>
            <w:r w:rsidR="008136B4" w:rsidRPr="002A677E">
              <w:rPr>
                <w:rFonts w:ascii="Times New Roman" w:hAnsi="Times New Roman"/>
                <w:sz w:val="24"/>
              </w:rPr>
              <w:t>icle</w:t>
            </w:r>
            <w:r w:rsidRPr="002A677E">
              <w:rPr>
                <w:rFonts w:ascii="Times New Roman" w:hAnsi="Times New Roman"/>
                <w:sz w:val="24"/>
              </w:rPr>
              <w:t xml:space="preserve"> 11(4) of </w:t>
            </w:r>
            <w:r w:rsidR="001A3980"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Amounts in column </w:t>
            </w:r>
            <w:r w:rsidR="008136B4" w:rsidRPr="002A677E">
              <w:rPr>
                <w:rFonts w:ascii="Times New Roman" w:hAnsi="Times New Roman"/>
                <w:sz w:val="24"/>
              </w:rPr>
              <w:t>0</w:t>
            </w:r>
            <w:r w:rsidRPr="002A677E">
              <w:rPr>
                <w:rFonts w:ascii="Times New Roman" w:hAnsi="Times New Roman"/>
                <w:sz w:val="24"/>
              </w:rPr>
              <w:t xml:space="preserve">050 that have been aggregated under Method 2 of </w:t>
            </w:r>
            <w:r w:rsidR="004B572C" w:rsidRPr="002A677E">
              <w:rPr>
                <w:rFonts w:ascii="Times New Roman" w:hAnsi="Times New Roman"/>
                <w:sz w:val="24"/>
              </w:rPr>
              <w:t xml:space="preserve">the </w:t>
            </w:r>
            <w:r w:rsidRPr="002A677E">
              <w:rPr>
                <w:rFonts w:ascii="Times New Roman" w:hAnsi="Times New Roman"/>
                <w:sz w:val="24"/>
              </w:rPr>
              <w:t xml:space="preserve">Annex to </w:t>
            </w:r>
            <w:r w:rsidR="001A3980" w:rsidRPr="002A677E">
              <w:rPr>
                <w:rFonts w:ascii="Times New Roman" w:hAnsi="Times New Roman"/>
                <w:sz w:val="24"/>
              </w:rPr>
              <w:t>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These amounts </w:t>
            </w:r>
            <w:r w:rsidRPr="002A677E">
              <w:rPr>
                <w:rFonts w:ascii="Times New Roman" w:hAnsi="Times New Roman"/>
                <w:sz w:val="24"/>
              </w:rPr>
              <w:t>correspond to FV – PV in the terminology of th</w:t>
            </w:r>
            <w:r w:rsidR="004B572C" w:rsidRPr="002A677E">
              <w:rPr>
                <w:rFonts w:ascii="Times New Roman" w:hAnsi="Times New Roman"/>
                <w:sz w:val="24"/>
              </w:rPr>
              <w:t>at</w:t>
            </w:r>
            <w:r w:rsidRPr="002A677E">
              <w:rPr>
                <w:rFonts w:ascii="Times New Roman" w:hAnsi="Times New Roman"/>
                <w:sz w:val="24"/>
              </w:rPr>
              <w:t xml:space="preserve"> Annex.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contribution towards the total category level AVA for model risk, as computed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11(7) of </w:t>
            </w:r>
            <w:r w:rsidR="001A3980" w:rsidRPr="002A677E">
              <w:rPr>
                <w:rFonts w:ascii="Times New Roman" w:hAnsi="Times New Roman"/>
                <w:sz w:val="24"/>
              </w:rPr>
              <w:t>the Delegated Regulation (EU) 2016/101</w:t>
            </w:r>
            <w:r w:rsidRPr="002A677E">
              <w:rPr>
                <w:rStyle w:val="InstructionsTabelleberschrift"/>
                <w:rFonts w:ascii="Times New Roman" w:hAnsi="Times New Roman"/>
                <w:b w:val="0"/>
                <w:sz w:val="24"/>
                <w:u w:val="none"/>
              </w:rPr>
              <w:t xml:space="preserve"> of individual model risk AVAs that are aggregated using Method 2 of the Annex</w:t>
            </w:r>
            <w:r w:rsidR="008136B4" w:rsidRPr="002A677E">
              <w:rPr>
                <w:rStyle w:val="InstructionsTabelleberschrift"/>
                <w:rFonts w:ascii="Times New Roman" w:hAnsi="Times New Roman"/>
                <w:b w:val="0"/>
                <w:sz w:val="24"/>
                <w:u w:val="none"/>
              </w:rPr>
              <w:t xml:space="preserve"> to</w:t>
            </w:r>
            <w:r w:rsidR="001A3980" w:rsidRPr="002A677E">
              <w:rPr>
                <w:rFonts w:ascii="Times New Roman" w:hAnsi="Times New Roman"/>
                <w:sz w:val="24"/>
              </w:rPr>
              <w:t xml:space="preserve"> </w:t>
            </w:r>
            <w:r w:rsidR="004B572C" w:rsidRPr="002A677E">
              <w:rPr>
                <w:rFonts w:ascii="Times New Roman" w:hAnsi="Times New Roman"/>
                <w:sz w:val="24"/>
              </w:rPr>
              <w:t xml:space="preserve">that </w:t>
            </w:r>
            <w:r w:rsidR="001A3980" w:rsidRPr="002A677E">
              <w:rPr>
                <w:rFonts w:ascii="Times New Roman" w:hAnsi="Times New Roman"/>
                <w:sz w:val="24"/>
              </w:rPr>
              <w:t>Regulation (EU)</w:t>
            </w:r>
            <w:r w:rsidRPr="002A677E">
              <w:rPr>
                <w:rStyle w:val="InstructionsTabelleberschrift"/>
                <w:rFonts w:ascii="Times New Roman" w:hAnsi="Times New Roman"/>
                <w:b w:val="0"/>
                <w:sz w:val="24"/>
                <w:u w:val="none"/>
              </w:rPr>
              <w:t xml:space="preserve">. </w:t>
            </w:r>
            <w:r w:rsidR="000E40DD" w:rsidRPr="002A677E">
              <w:rPr>
                <w:rFonts w:ascii="Times New Roman" w:hAnsi="Times New Roman"/>
                <w:sz w:val="24"/>
              </w:rPr>
              <w:t>That amount</w:t>
            </w:r>
            <w:r w:rsidR="00127986" w:rsidRPr="002A677E">
              <w:rPr>
                <w:rFonts w:ascii="Times New Roman" w:hAnsi="Times New Roman"/>
                <w:sz w:val="24"/>
              </w:rPr>
              <w:t xml:space="preserve"> </w:t>
            </w:r>
            <w:r w:rsidRPr="002A677E">
              <w:rPr>
                <w:rFonts w:ascii="Times New Roman" w:hAnsi="Times New Roman"/>
                <w:sz w:val="24"/>
              </w:rPr>
              <w:t>corresponds to APVA in the terminology of the Annex.</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r w:rsidRPr="002A677E">
              <w:rPr>
                <w:rFonts w:ascii="Times New Roman" w:hAnsi="Times New Roman"/>
                <w:sz w:val="24"/>
              </w:rPr>
              <w:t xml:space="preserve"> </w:t>
            </w:r>
            <w:r w:rsidR="00113E45" w:rsidRPr="002A677E">
              <w:rPr>
                <w:rFonts w:ascii="Times New Roman" w:hAnsi="Times New Roman"/>
                <w:sz w:val="24"/>
              </w:rPr>
              <w:t>-</w:t>
            </w:r>
            <w:r w:rsidRPr="002A677E">
              <w:rPr>
                <w:rFonts w:ascii="Times New Roman" w:hAnsi="Times New Roman"/>
                <w:sz w:val="24"/>
              </w:rPr>
              <w:t>0</w:t>
            </w:r>
            <w:r w:rsidR="00113E45" w:rsidRPr="002A677E">
              <w:rPr>
                <w:rFonts w:ascii="Times New Roman" w:hAnsi="Times New Roman"/>
                <w:sz w:val="24"/>
              </w:rPr>
              <w:t>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assets valued using the model reported in column </w:t>
            </w:r>
            <w:r w:rsidR="008136B4" w:rsidRPr="002A677E">
              <w:rPr>
                <w:rFonts w:ascii="Times New Roman" w:hAnsi="Times New Roman"/>
                <w:sz w:val="24"/>
              </w:rPr>
              <w:t>0</w:t>
            </w:r>
            <w:r w:rsidRPr="002A677E">
              <w:rPr>
                <w:rFonts w:ascii="Times New Roman" w:hAnsi="Times New Roman"/>
                <w:sz w:val="24"/>
              </w:rPr>
              <w:t>010 as stated in the financial statements under the applicable framework</w:t>
            </w:r>
            <w:r w:rsidRPr="002A677E">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w:t>
            </w:r>
            <w:r w:rsidRPr="002A677E">
              <w:rPr>
                <w:rStyle w:val="InstructionsTabelleberschrift"/>
                <w:rFonts w:ascii="Times New Roman" w:hAnsi="Times New Roman"/>
                <w:b w:val="0"/>
                <w:sz w:val="24"/>
                <w:u w:val="none"/>
              </w:rPr>
              <w:t xml:space="preserve"> included in the calculation of IPV difference</w:t>
            </w:r>
            <w:r w:rsidR="00113E45" w:rsidRPr="002A677E">
              <w:rPr>
                <w:rStyle w:val="InstructionsTabelleberschrift"/>
                <w:rFonts w:ascii="Times New Roman" w:hAnsi="Times New Roman"/>
                <w:b w:val="0"/>
                <w:sz w:val="24"/>
                <w:u w:val="none"/>
              </w:rPr>
              <w:t>.</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 xml:space="preserve">130 – </w:t>
            </w:r>
            <w:r w:rsidRPr="002A677E">
              <w:rPr>
                <w:rFonts w:ascii="Times New Roman" w:hAnsi="Times New Roman"/>
                <w:sz w:val="24"/>
              </w:rPr>
              <w:t>0</w:t>
            </w:r>
            <w:r w:rsidR="00113E45" w:rsidRPr="002A677E">
              <w:rPr>
                <w:rFonts w:ascii="Times New Roman" w:hAnsi="Times New Roman"/>
                <w:sz w:val="24"/>
              </w:rPr>
              <w:t>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Fair Value adjustments as </w:t>
            </w:r>
            <w:r w:rsidR="00127986"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columns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190 and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240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as defined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260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761" w:name="_Toc151714519"/>
      <w:r w:rsidRPr="00D768D3">
        <w:rPr>
          <w:rFonts w:ascii="Times New Roman" w:hAnsi="Times New Roman"/>
          <w:sz w:val="24"/>
          <w:u w:val="none"/>
        </w:rPr>
        <w:t xml:space="preserve">6.4 </w:t>
      </w:r>
      <w:r w:rsidR="00B93FA1" w:rsidRPr="00D768D3">
        <w:rPr>
          <w:rFonts w:ascii="Times New Roman" w:hAnsi="Times New Roman"/>
          <w:sz w:val="24"/>
        </w:rPr>
        <w:t>C 32.0</w:t>
      </w:r>
      <w:r w:rsidRPr="00D768D3">
        <w:rPr>
          <w:rFonts w:ascii="Times New Roman" w:hAnsi="Times New Roman"/>
          <w:sz w:val="24"/>
        </w:rPr>
        <w:t>4</w:t>
      </w:r>
      <w:r w:rsidR="00B93FA1" w:rsidRPr="00D768D3">
        <w:rPr>
          <w:rFonts w:ascii="Times New Roman" w:hAnsi="Times New Roman"/>
          <w:sz w:val="24"/>
        </w:rPr>
        <w:t xml:space="preserve"> - Prudent Valuation:</w:t>
      </w:r>
      <w:r w:rsidRPr="00D768D3">
        <w:rPr>
          <w:rFonts w:ascii="Times New Roman" w:hAnsi="Times New Roman"/>
          <w:sz w:val="24"/>
        </w:rPr>
        <w:t xml:space="preserve"> Concentrated positions AVA</w:t>
      </w:r>
      <w:r w:rsidR="00B93FA1" w:rsidRPr="00D768D3">
        <w:rPr>
          <w:rFonts w:ascii="Times New Roman" w:hAnsi="Times New Roman"/>
          <w:sz w:val="24"/>
        </w:rPr>
        <w:t xml:space="preserve"> (PruVal </w:t>
      </w:r>
      <w:r w:rsidRPr="00D768D3">
        <w:rPr>
          <w:rFonts w:ascii="Times New Roman" w:hAnsi="Times New Roman"/>
          <w:sz w:val="24"/>
        </w:rPr>
        <w:t>4</w:t>
      </w:r>
      <w:r w:rsidR="00B93FA1" w:rsidRPr="00D768D3">
        <w:rPr>
          <w:rFonts w:ascii="Times New Roman" w:hAnsi="Times New Roman"/>
          <w:sz w:val="24"/>
        </w:rPr>
        <w:t>)</w:t>
      </w:r>
      <w:bookmarkEnd w:id="761"/>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2" w:name="_Toc151714520"/>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2"/>
      <w:r w:rsidRPr="002A677E">
        <w:rPr>
          <w:rFonts w:ascii="Times New Roman" w:hAnsi="Times New Roman" w:cs="Times New Roman"/>
          <w:sz w:val="24"/>
          <w:u w:val="none"/>
          <w:lang w:val="en-GB"/>
        </w:rPr>
        <w:t xml:space="preserve"> </w:t>
      </w:r>
    </w:p>
    <w:p w14:paraId="77C9E5D7" w14:textId="4916ED1F" w:rsidR="00113E45" w:rsidRPr="002A677E" w:rsidRDefault="00CE7221" w:rsidP="00421B47">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188</w:t>
      </w:r>
      <w:r w:rsidRPr="005B57EC">
        <w:rPr>
          <w:noProof/>
        </w:rPr>
        <w:fldChar w:fldCharType="end"/>
      </w:r>
      <w:r w:rsidR="00113E45" w:rsidRPr="002A677E">
        <w:t xml:space="preserve">. This template shall be completed only by institutions that exceed the threshold referred to in Article 4(1) of </w:t>
      </w:r>
      <w:r w:rsidR="00CF0568" w:rsidRPr="002A677E">
        <w:t>Delegated Regulation (EU) 2016/101</w:t>
      </w:r>
      <w:r w:rsidR="00113E45" w:rsidRPr="002A677E">
        <w:t>. Institutions that are part of a group breaching the threshold on a consolidated basis</w:t>
      </w:r>
      <w:r w:rsidR="00CF0568" w:rsidRPr="002A677E">
        <w:t xml:space="preserve"> shall</w:t>
      </w:r>
      <w:r w:rsidR="00113E45" w:rsidRPr="002A677E">
        <w:t xml:space="preserve"> report this template only where they also exceed the threshold at their level.</w:t>
      </w:r>
    </w:p>
    <w:p w14:paraId="17836AA9" w14:textId="0F939D0D" w:rsidR="00113E45" w:rsidRPr="002A677E" w:rsidRDefault="00CE7221" w:rsidP="00421B47">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189</w:t>
      </w:r>
      <w:r w:rsidRPr="005B57EC">
        <w:rPr>
          <w:noProof/>
        </w:rPr>
        <w:fldChar w:fldCharType="end"/>
      </w:r>
      <w:r w:rsidR="00113E45" w:rsidRPr="002A677E">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2A677E">
        <w:t>Delegated Regulation (EU) 2016/101</w:t>
      </w:r>
      <w:r w:rsidR="00113E45" w:rsidRPr="002A677E">
        <w:t xml:space="preserve">. </w:t>
      </w:r>
      <w:r w:rsidR="0022597E" w:rsidRPr="002A677E">
        <w:t>This information</w:t>
      </w:r>
      <w:r w:rsidR="00CF0568" w:rsidRPr="002A677E">
        <w:t xml:space="preserve"> shall </w:t>
      </w:r>
      <w:r w:rsidR="0022597E" w:rsidRPr="002A677E">
        <w:t>correspond to</w:t>
      </w:r>
      <w:r w:rsidR="00113E45" w:rsidRPr="002A677E">
        <w:t xml:space="preserve"> the information reported in column </w:t>
      </w:r>
      <w:r w:rsidR="0022597E" w:rsidRPr="002A677E">
        <w:t>0</w:t>
      </w:r>
      <w:r w:rsidR="00113E45" w:rsidRPr="002A677E">
        <w:t xml:space="preserve">070 of template C 32.02. </w:t>
      </w:r>
    </w:p>
    <w:p w14:paraId="279F8B1F" w14:textId="2CFCA695" w:rsidR="00113E45" w:rsidRPr="002A677E" w:rsidRDefault="00CE7221" w:rsidP="00421B47">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190</w:t>
      </w:r>
      <w:r w:rsidRPr="005B57EC">
        <w:rPr>
          <w:noProof/>
        </w:rPr>
        <w:fldChar w:fldCharType="end"/>
      </w:r>
      <w:r w:rsidR="00113E45" w:rsidRPr="002A677E">
        <w:t>. The top 20 concentrated positions AVAs, and corresponding product information, shall be reported in decreasing order starting from the largest individual concentrated positions AVAs.</w:t>
      </w:r>
    </w:p>
    <w:p w14:paraId="2EA8E0CE" w14:textId="738F7812" w:rsidR="00113E45" w:rsidRPr="002A677E" w:rsidRDefault="00CE7221" w:rsidP="00421B47">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191</w:t>
      </w:r>
      <w:r w:rsidRPr="005B57EC">
        <w:rPr>
          <w:noProof/>
        </w:rPr>
        <w:fldChar w:fldCharType="end"/>
      </w:r>
      <w:r w:rsidR="00113E45" w:rsidRPr="002A677E">
        <w:t>. Products corresponding to these top individual concentrated positions AVAs shall be reported using the product inventory required by</w:t>
      </w:r>
      <w:r w:rsidR="002B004B" w:rsidRPr="002A677E">
        <w:t xml:space="preserve"> </w:t>
      </w:r>
      <w:r w:rsidR="00113E45" w:rsidRPr="002A677E">
        <w:t>Article 19(3)</w:t>
      </w:r>
      <w:r w:rsidR="00B83DDE">
        <w:t>, p</w:t>
      </w:r>
      <w:r w:rsidR="00813B8E" w:rsidRPr="002A677E">
        <w:t>oint (a)</w:t>
      </w:r>
      <w:r w:rsidR="002E7287">
        <w:t>,</w:t>
      </w:r>
      <w:r w:rsidR="00813B8E" w:rsidRPr="002A677E">
        <w:t xml:space="preserve"> </w:t>
      </w:r>
      <w:r w:rsidR="00113E45" w:rsidRPr="002A677E">
        <w:t xml:space="preserve">of </w:t>
      </w:r>
      <w:r w:rsidR="00CF0568" w:rsidRPr="002A677E">
        <w:t>Delegated Regulation (EU) 2016/101</w:t>
      </w:r>
      <w:r w:rsidR="00113E45" w:rsidRPr="002A677E">
        <w:t>.</w:t>
      </w:r>
    </w:p>
    <w:p w14:paraId="1FC50FB0" w14:textId="61FE317D" w:rsidR="00113E45" w:rsidRPr="002A677E" w:rsidRDefault="00CE7221" w:rsidP="00421B47">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192</w:t>
      </w:r>
      <w:r w:rsidRPr="005B57EC">
        <w:rPr>
          <w:noProof/>
        </w:rPr>
        <w:fldChar w:fldCharType="end"/>
      </w:r>
      <w:r w:rsidR="00113E45" w:rsidRPr="002A677E">
        <w:t xml:space="preserve">. Positions that are homogenous in terms of AVA calculation methodology </w:t>
      </w:r>
      <w:r w:rsidR="00CF0568" w:rsidRPr="002A677E">
        <w:t xml:space="preserve">shall </w:t>
      </w:r>
      <w:r w:rsidR="00113E45" w:rsidRPr="002A677E">
        <w:t>be aggregated where this is possible to maximise the coverage of this template.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3" w:name="_Toc151714521"/>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concentrated positions AVAs, 2 to the second highest and so on.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6C8CE8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22597E" w:rsidRPr="002A677E">
              <w:rPr>
                <w:rFonts w:ascii="Times New Roman" w:hAnsi="Times New Roman"/>
                <w:sz w:val="24"/>
              </w:rPr>
              <w:t>i</w:t>
            </w:r>
            <w:r w:rsidRPr="002A677E">
              <w:rPr>
                <w:rFonts w:ascii="Times New Roman" w:hAnsi="Times New Roman"/>
                <w:sz w:val="24"/>
              </w:rPr>
              <w:t xml:space="preserve">nterest </w:t>
            </w:r>
            <w:r w:rsidR="0022597E" w:rsidRPr="002A677E">
              <w:rPr>
                <w:rFonts w:ascii="Times New Roman" w:hAnsi="Times New Roman"/>
                <w:sz w:val="24"/>
              </w:rPr>
              <w:t>r</w:t>
            </w:r>
            <w:r w:rsidRPr="002A677E">
              <w:rPr>
                <w:rFonts w:ascii="Times New Roman" w:hAnsi="Times New Roman"/>
                <w:sz w:val="24"/>
              </w:rPr>
              <w:t xml:space="preserve">ates, </w:t>
            </w:r>
            <w:r w:rsidR="0022597E" w:rsidRPr="002A677E">
              <w:rPr>
                <w:rFonts w:ascii="Times New Roman" w:hAnsi="Times New Roman"/>
                <w:sz w:val="24"/>
              </w:rPr>
              <w:t>FX, c</w:t>
            </w:r>
            <w:r w:rsidRPr="002A677E">
              <w:rPr>
                <w:rFonts w:ascii="Times New Roman" w:hAnsi="Times New Roman"/>
                <w:sz w:val="24"/>
              </w:rPr>
              <w:t xml:space="preserve">redit, </w:t>
            </w:r>
            <w:r w:rsidR="0022597E" w:rsidRPr="002A677E">
              <w:rPr>
                <w:rFonts w:ascii="Times New Roman" w:hAnsi="Times New Roman"/>
                <w:sz w:val="24"/>
              </w:rPr>
              <w:t>e</w:t>
            </w:r>
            <w:r w:rsidRPr="002A677E">
              <w:rPr>
                <w:rFonts w:ascii="Times New Roman" w:hAnsi="Times New Roman"/>
                <w:sz w:val="24"/>
              </w:rPr>
              <w:t xml:space="preserve">quities, </w:t>
            </w:r>
            <w:r w:rsidR="0022597E" w:rsidRPr="002A677E">
              <w:rPr>
                <w:rFonts w:ascii="Times New Roman" w:hAnsi="Times New Roman"/>
                <w:sz w:val="24"/>
              </w:rPr>
              <w:t>c</w:t>
            </w:r>
            <w:r w:rsidRPr="002A677E">
              <w:rPr>
                <w:rFonts w:ascii="Times New Roman" w:hAnsi="Times New Roman"/>
                <w:sz w:val="24"/>
              </w:rPr>
              <w:t>ommodities) that most appropriately characterises the position.</w:t>
            </w:r>
          </w:p>
          <w:p w14:paraId="74AF4D5B"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4378809"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IR – Interest Rates</w:t>
            </w:r>
          </w:p>
          <w:p w14:paraId="616A6B01" w14:textId="77777777" w:rsidR="0022597E"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FX –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EQ – Equities</w:t>
            </w:r>
          </w:p>
          <w:p w14:paraId="692300F8" w14:textId="77777777" w:rsidR="00113E45" w:rsidRPr="002A677E" w:rsidRDefault="00113E45" w:rsidP="0022597E">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0A3CE213" w14:textId="0A45AFAA" w:rsidR="00113E45" w:rsidRPr="002A677E" w:rsidRDefault="00113E45" w:rsidP="00B14253">
            <w:pPr>
              <w:spacing w:beforeLines="60" w:before="144" w:afterLines="60" w:after="144"/>
              <w:rPr>
                <w:rFonts w:ascii="Times New Roman" w:hAnsi="Times New Roman"/>
                <w:sz w:val="24"/>
              </w:rPr>
            </w:pPr>
            <w:r w:rsidRPr="002A677E">
              <w:rPr>
                <w:rFonts w:ascii="Times New Roman" w:hAnsi="Times New Roman"/>
                <w:sz w:val="24"/>
              </w:rPr>
              <w:t>Internal name for the product or group of products in line with the product inventory required by</w:t>
            </w:r>
            <w:r w:rsidR="002B004B" w:rsidRPr="002A677E">
              <w:rPr>
                <w:rFonts w:ascii="Times New Roman" w:hAnsi="Times New Roman"/>
                <w:sz w:val="24"/>
              </w:rPr>
              <w:t xml:space="preserve"> </w:t>
            </w:r>
            <w:r w:rsidR="00813B8E" w:rsidRPr="002A677E">
              <w:t>Article 19(3)</w:t>
            </w:r>
            <w:r w:rsidR="00B83DDE">
              <w:t>, p</w:t>
            </w:r>
            <w:r w:rsidR="00813B8E" w:rsidRPr="002A677E">
              <w:t>oint (a)</w:t>
            </w:r>
            <w:r w:rsidR="002E7287">
              <w:t>,</w:t>
            </w:r>
            <w:r w:rsidR="00813B8E" w:rsidRPr="002A677E">
              <w:t xml:space="preserve"> </w:t>
            </w:r>
            <w:r w:rsidRPr="002A677E">
              <w:rPr>
                <w:rFonts w:ascii="Times New Roman" w:hAnsi="Times New Roman"/>
                <w:sz w:val="24"/>
              </w:rPr>
              <w:t xml:space="preserve">of </w:t>
            </w:r>
            <w:r w:rsidR="00CF0568"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718624B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00BB22D4" w:rsidRPr="002A677E">
              <w:rPr>
                <w:rFonts w:ascii="Times New Roman" w:hAnsi="Times New Roman"/>
                <w:sz w:val="24"/>
              </w:rPr>
              <w:t>in accordance with</w:t>
            </w:r>
            <w:r w:rsidRPr="002A677E">
              <w:rPr>
                <w:rFonts w:ascii="Times New Roman" w:hAnsi="Times New Roman"/>
                <w:sz w:val="24"/>
              </w:rPr>
              <w:t xml:space="preserve"> Article 14(1)</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68594D" w:rsidRPr="002A677E">
              <w:rPr>
                <w:rFonts w:ascii="Times New Roman" w:hAnsi="Times New Roman"/>
                <w:sz w:val="24"/>
              </w:rPr>
              <w:t>Delegated Regulation (EU) 2016/101</w:t>
            </w:r>
            <w:r w:rsidRPr="002A677E">
              <w:rPr>
                <w:rFonts w:ascii="Times New Roman" w:hAnsi="Times New Roman"/>
                <w:sz w:val="24"/>
              </w:rPr>
              <w:t xml:space="preserve">, expressed in the unit described in column </w:t>
            </w:r>
            <w:r w:rsidR="001B5725" w:rsidRPr="002A677E">
              <w:rPr>
                <w:rFonts w:ascii="Times New Roman" w:hAnsi="Times New Roman"/>
                <w:sz w:val="24"/>
              </w:rPr>
              <w:t>0</w:t>
            </w:r>
            <w:r w:rsidRPr="002A677E">
              <w:rPr>
                <w:rFonts w:ascii="Times New Roman" w:hAnsi="Times New Roman"/>
                <w:sz w:val="24"/>
              </w:rPr>
              <w:t xml:space="preserve">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10FB2A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2A677E">
              <w:rPr>
                <w:rFonts w:ascii="Times New Roman" w:hAnsi="Times New Roman"/>
                <w:sz w:val="24"/>
              </w:rPr>
              <w:t>0</w:t>
            </w:r>
            <w:r w:rsidRPr="002A677E">
              <w:rPr>
                <w:rFonts w:ascii="Times New Roman" w:hAnsi="Times New Roman"/>
                <w:sz w:val="24"/>
              </w:rPr>
              <w:t xml:space="preserve">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bCs w:val="0"/>
                <w:sz w:val="24"/>
                <w:u w:val="none"/>
              </w:rPr>
              <w:t>In the case of positions in bonds or equity</w:t>
            </w:r>
            <w:r w:rsidR="00B83DDE">
              <w:rPr>
                <w:rStyle w:val="InstructionsTabelleberschrift"/>
                <w:rFonts w:ascii="Times New Roman" w:hAnsi="Times New Roman"/>
                <w:b w:val="0"/>
                <w:bCs w:val="0"/>
                <w:sz w:val="24"/>
                <w:u w:val="none"/>
              </w:rPr>
              <w:t>, p</w:t>
            </w:r>
            <w:r w:rsidRPr="002A677E">
              <w:rPr>
                <w:rStyle w:val="InstructionsTabelleberschrift"/>
                <w:rFonts w:ascii="Times New Roman" w:hAnsi="Times New Roman"/>
                <w:b w:val="0"/>
                <w:bCs w:val="0"/>
                <w:sz w:val="24"/>
                <w:u w:val="none"/>
              </w:rPr>
              <w:t xml:space="preserve">lease report the unit used </w:t>
            </w:r>
            <w:r w:rsidRPr="002A677E">
              <w:rPr>
                <w:rFonts w:ascii="Times New Roman" w:hAnsi="Times New Roman"/>
                <w:sz w:val="24"/>
              </w:rPr>
              <w:t>for internal risk management</w:t>
            </w:r>
            <w:r w:rsidRPr="002A677E">
              <w:rPr>
                <w:rStyle w:val="InstructionsTabelleberschrift"/>
                <w:rFonts w:ascii="Times New Roman" w:hAnsi="Times New Roman"/>
                <w:b w:val="0"/>
                <w:bCs w:val="0"/>
                <w:sz w:val="24"/>
                <w:u w:val="none"/>
              </w:rPr>
              <w:t>, such as ‘number of bonds’, ‘number of shares’ or ‘market va</w:t>
            </w:r>
            <w:r w:rsidR="001B5725" w:rsidRPr="002A677E">
              <w:rPr>
                <w:rStyle w:val="InstructionsTabelleberschrift"/>
                <w:rFonts w:ascii="Times New Roman" w:hAnsi="Times New Roman"/>
                <w:b w:val="0"/>
                <w:bCs w:val="0"/>
                <w:sz w:val="24"/>
                <w:u w:val="none"/>
              </w:rPr>
              <w:softHyphen/>
            </w:r>
            <w:r w:rsidRPr="002A677E">
              <w:rPr>
                <w:rStyle w:val="InstructionsTabelleberschrift"/>
                <w:rFonts w:ascii="Times New Roman" w:hAnsi="Times New Roman"/>
                <w:b w:val="0"/>
                <w:bCs w:val="0"/>
                <w:sz w:val="24"/>
                <w:u w:val="none"/>
              </w:rPr>
              <w:t xml:space="preserve">lue’.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In the case of position in derivatives</w:t>
            </w:r>
            <w:r w:rsidR="00B83DDE">
              <w:rPr>
                <w:rFonts w:ascii="Times New Roman" w:hAnsi="Times New Roman"/>
                <w:sz w:val="24"/>
              </w:rPr>
              <w:t>, p</w:t>
            </w:r>
            <w:r w:rsidRPr="001235ED">
              <w:rPr>
                <w:rFonts w:ascii="Times New Roman" w:hAnsi="Times New Roman"/>
                <w:sz w:val="24"/>
              </w:rPr>
              <w:t xml:space="preserve">lease report the unit used for internal risk management, such as ‘PV01; EUR per 1 basis point parallel yield curve shift’.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Market value of the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prudent exit period in number of days estimated </w:t>
            </w:r>
            <w:r w:rsidR="00DE223B" w:rsidRPr="002A677E">
              <w:rPr>
                <w:rStyle w:val="InstructionsTabelleberschrift"/>
                <w:rFonts w:ascii="Times New Roman" w:hAnsi="Times New Roman"/>
                <w:b w:val="0"/>
                <w:sz w:val="24"/>
                <w:u w:val="none"/>
              </w:rPr>
              <w:t xml:space="preserve">in accordance with </w:t>
            </w:r>
            <w:r w:rsidR="00813B8E" w:rsidRPr="002A677E">
              <w:rPr>
                <w:rFonts w:ascii="Times New Roman" w:hAnsi="Times New Roman"/>
                <w:sz w:val="24"/>
              </w:rPr>
              <w:t>Article 14(1)</w:t>
            </w:r>
            <w:r w:rsidR="00B83DDE">
              <w:rPr>
                <w:rFonts w:ascii="Times New Roman" w:hAnsi="Times New Roman"/>
                <w:sz w:val="24"/>
              </w:rPr>
              <w:t>, p</w:t>
            </w:r>
            <w:r w:rsidR="00813B8E" w:rsidRPr="002A677E">
              <w:rPr>
                <w:rFonts w:ascii="Times New Roman" w:hAnsi="Times New Roman"/>
                <w:sz w:val="24"/>
              </w:rPr>
              <w:t>oint (b)</w:t>
            </w:r>
            <w:r w:rsidR="00BE1277">
              <w:rPr>
                <w:rFonts w:ascii="Times New Roman" w:hAnsi="Times New Roman"/>
                <w:sz w:val="24"/>
              </w:rPr>
              <w:t>,</w:t>
            </w:r>
            <w:r w:rsidR="00813B8E" w:rsidRPr="002A677E">
              <w:rPr>
                <w:rFonts w:ascii="Times New Roman" w:hAnsi="Times New Roman"/>
                <w:sz w:val="24"/>
              </w:rPr>
              <w:t xml:space="preserve"> </w:t>
            </w:r>
            <w:r w:rsidR="001B5725" w:rsidRPr="002A677E">
              <w:rPr>
                <w:rStyle w:val="InstructionsTabelleberschrift"/>
                <w:rFonts w:ascii="Times New Roman" w:hAnsi="Times New Roman"/>
                <w:b w:val="0"/>
                <w:sz w:val="24"/>
                <w:u w:val="none"/>
              </w:rPr>
              <w:t xml:space="preserve">of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concentrated positions AVA amount calculated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14(1) of</w:t>
            </w:r>
            <w:r w:rsidR="005A2182" w:rsidRPr="002A677E">
              <w:rPr>
                <w:rStyle w:val="InstructionsTabelleberschrift"/>
                <w:rFonts w:ascii="Times New Roman" w:hAnsi="Times New Roman"/>
                <w:b w:val="0"/>
                <w:sz w:val="24"/>
                <w:u w:val="none"/>
              </w:rPr>
              <w:t xml:space="preserve">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 xml:space="preserve"> for the individual concentrated valuation position concerned.</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of any fair value adjustments</w:t>
            </w:r>
            <w:r w:rsidR="00955AA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taken to reflect the fact that the aggregate position held by the institution is larger than</w:t>
            </w:r>
            <w:r w:rsidR="0068594D" w:rsidRPr="002A677E">
              <w:rPr>
                <w:rStyle w:val="InstructionsTabelleberschrift"/>
                <w:rFonts w:ascii="Times New Roman" w:hAnsi="Times New Roman"/>
                <w:b w:val="0"/>
                <w:sz w:val="24"/>
                <w:u w:val="none"/>
              </w:rPr>
              <w:t xml:space="preserve"> the n</w:t>
            </w:r>
            <w:r w:rsidRPr="002A677E">
              <w:rPr>
                <w:rStyle w:val="InstructionsTabelleberschrift"/>
                <w:rFonts w:ascii="Times New Roman" w:hAnsi="Times New Roman"/>
                <w:b w:val="0"/>
                <w:sz w:val="24"/>
                <w:u w:val="none"/>
              </w:rPr>
              <w:t xml:space="preserve">ormal traded volume or </w:t>
            </w:r>
            <w:r w:rsidRPr="002A677E">
              <w:rPr>
                <w:rStyle w:val="InstructionsTabelleberschrift"/>
                <w:rFonts w:ascii="Times New Roman" w:hAnsi="Times New Roman"/>
                <w:b w:val="0"/>
                <w:sz w:val="24"/>
                <w:u w:val="none"/>
              </w:rPr>
              <w:lastRenderedPageBreak/>
              <w:t>larger than position sizes</w:t>
            </w:r>
            <w:r w:rsidR="00955AA6" w:rsidRPr="002A677E">
              <w:rPr>
                <w:rStyle w:val="InstructionsTabelleberschrift"/>
                <w:rFonts w:ascii="Times New Roman" w:hAnsi="Times New Roman"/>
                <w:b w:val="0"/>
                <w:sz w:val="24"/>
                <w:u w:val="none"/>
              </w:rPr>
              <w:t xml:space="preserve"> and </w:t>
            </w:r>
            <w:r w:rsidRPr="002A677E">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2A677E">
              <w:rPr>
                <w:rStyle w:val="InstructionsTabelleberschrift"/>
                <w:rFonts w:ascii="Times New Roman" w:hAnsi="Times New Roman"/>
                <w:b w:val="0"/>
                <w:sz w:val="24"/>
                <w:u w:val="none"/>
              </w:rPr>
              <w: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reported shall correspond to the amount</w:t>
            </w:r>
            <w:r w:rsidR="00113E45" w:rsidRPr="002A677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w:t>
            </w:r>
            <w:r w:rsidR="0068594D" w:rsidRPr="002A677E">
              <w:rPr>
                <w:rStyle w:val="InstructionsTabelleberschrift"/>
                <w:rFonts w:ascii="Times New Roman" w:hAnsi="Times New Roman"/>
                <w:b w:val="0"/>
                <w:sz w:val="24"/>
                <w:u w:val="none"/>
              </w:rPr>
              <w:t xml:space="preserve"> shall </w:t>
            </w:r>
            <w:r w:rsidRPr="002A677E">
              <w:rPr>
                <w:rStyle w:val="InstructionsTabelleberschrift"/>
                <w:rFonts w:ascii="Times New Roman" w:hAnsi="Times New Roman"/>
                <w:b w:val="0"/>
                <w:sz w:val="24"/>
                <w:u w:val="none"/>
              </w:rPr>
              <w:t xml:space="preserve">refer to unadjusted differences between </w:t>
            </w:r>
            <w:r w:rsidR="001B5725" w:rsidRPr="002A677E">
              <w:rPr>
                <w:rStyle w:val="InstructionsTabelleberschrift"/>
                <w:rFonts w:ascii="Times New Roman" w:hAnsi="Times New Roman"/>
                <w:b w:val="0"/>
                <w:sz w:val="24"/>
                <w:u w:val="none"/>
              </w:rPr>
              <w:t xml:space="preserve">the valuations generated by the trading system </w:t>
            </w:r>
            <w:r w:rsidRPr="002A677E">
              <w:rPr>
                <w:rStyle w:val="InstructionsTabelleberschrift"/>
                <w:rFonts w:ascii="Times New Roman" w:hAnsi="Times New Roman"/>
                <w:b w:val="0"/>
                <w:sz w:val="24"/>
                <w:u w:val="none"/>
              </w:rPr>
              <w:t>and the valuations assessed during the monthly IPV process.</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113E45" w:rsidRPr="002A677E">
              <w:rPr>
                <w:rStyle w:val="InstructionsTabelleberschrift"/>
                <w:rFonts w:ascii="Times New Roman" w:hAnsi="Times New Roman"/>
                <w:b w:val="0"/>
                <w:sz w:val="24"/>
                <w:u w:val="none"/>
              </w:rPr>
              <w:t>.</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64" w:name="_Toc473561055"/>
      <w:bookmarkStart w:id="765" w:name="_Toc151714522"/>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 xml:space="preserve">C 33.00 - </w:t>
      </w:r>
      <w:r w:rsidR="00FD54FC" w:rsidRPr="002A677E">
        <w:rPr>
          <w:rFonts w:ascii="Times New Roman" w:hAnsi="Times New Roman" w:cs="Times New Roman"/>
          <w:sz w:val="24"/>
          <w:lang w:val="en-GB"/>
        </w:rPr>
        <w:t>Exposures to General governments (GOV)</w:t>
      </w:r>
      <w:bookmarkEnd w:id="764"/>
      <w:bookmarkEnd w:id="765"/>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66" w:name="_Toc367202008"/>
      <w:bookmarkStart w:id="767" w:name="_Toc473561056"/>
      <w:bookmarkStart w:id="768" w:name="_Toc151714523"/>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66"/>
      <w:bookmarkEnd w:id="767"/>
      <w:bookmarkEnd w:id="768"/>
      <w:r w:rsidR="00FD54FC" w:rsidRPr="002A677E">
        <w:rPr>
          <w:rFonts w:ascii="Times New Roman" w:hAnsi="Times New Roman" w:cs="Times New Roman"/>
          <w:sz w:val="24"/>
          <w:lang w:val="en-GB"/>
        </w:rPr>
        <w:t xml:space="preserve"> </w:t>
      </w:r>
    </w:p>
    <w:p w14:paraId="5C6E2259" w14:textId="6FBD786D"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193</w:t>
      </w:r>
      <w:r w:rsidRPr="005B57EC">
        <w:rPr>
          <w:noProof/>
        </w:rPr>
        <w:fldChar w:fldCharType="end"/>
      </w:r>
      <w:r w:rsidR="00125707" w:rsidRPr="002A677E">
        <w:t>.</w:t>
      </w:r>
      <w:r w:rsidR="00125707" w:rsidRPr="002A677E">
        <w:tab/>
      </w:r>
      <w:r w:rsidR="005C14B0" w:rsidRPr="002A677E">
        <w:t xml:space="preserve"> </w:t>
      </w:r>
      <w:r w:rsidR="00FD54FC" w:rsidRPr="002A677E">
        <w:t>The information for the purpose of template C</w:t>
      </w:r>
      <w:r w:rsidR="006E5D07" w:rsidRPr="002A677E">
        <w:t xml:space="preserve"> </w:t>
      </w:r>
      <w:r w:rsidR="00FD54FC" w:rsidRPr="002A677E">
        <w:t xml:space="preserve">33.00 shall cover all exposures to ‘General governments’ as </w:t>
      </w:r>
      <w:r w:rsidR="00B14253" w:rsidRPr="002A677E">
        <w:t>referred to</w:t>
      </w:r>
      <w:r w:rsidR="00FD54FC" w:rsidRPr="002A677E">
        <w:t xml:space="preserve"> in </w:t>
      </w:r>
      <w:r w:rsidR="002F78EA" w:rsidRPr="002A677E">
        <w:t>point (b)</w:t>
      </w:r>
      <w:r w:rsidR="00BE1277">
        <w:t>,</w:t>
      </w:r>
      <w:r w:rsidR="002F78EA" w:rsidRPr="002A677E">
        <w:t xml:space="preserve"> of </w:t>
      </w:r>
      <w:r w:rsidR="00FD54FC" w:rsidRPr="002A677E">
        <w:t xml:space="preserve">paragraph </w:t>
      </w:r>
      <w:r w:rsidR="00245E37" w:rsidRPr="002A677E">
        <w:t xml:space="preserve">42 </w:t>
      </w:r>
      <w:r w:rsidR="00FD54FC" w:rsidRPr="002A677E">
        <w:t>of Annex V</w:t>
      </w:r>
      <w:r w:rsidR="002F78EA" w:rsidRPr="002A677E">
        <w:t xml:space="preserve"> to this Implementing Regulation</w:t>
      </w:r>
      <w:r w:rsidR="00FD54FC" w:rsidRPr="002A677E">
        <w:t>.</w:t>
      </w:r>
    </w:p>
    <w:p w14:paraId="08288A06" w14:textId="52C1DCA4"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194</w:t>
      </w:r>
      <w:r w:rsidRPr="005B57EC">
        <w:rPr>
          <w:noProof/>
        </w:rPr>
        <w:fldChar w:fldCharType="end"/>
      </w:r>
      <w:r w:rsidR="00125707" w:rsidRPr="002A677E">
        <w:t>.</w:t>
      </w:r>
      <w:r w:rsidR="00125707" w:rsidRPr="002A677E">
        <w:tab/>
      </w:r>
      <w:r w:rsidR="005C14B0" w:rsidRPr="002A677E">
        <w:t xml:space="preserve"> </w:t>
      </w:r>
      <w:r w:rsidR="004A6FAC" w:rsidRPr="002A677E">
        <w:t>Where the exposures to ‘General governments’ are subject to own funds requirements in accordance with Part Three</w:t>
      </w:r>
      <w:r w:rsidR="00F75233" w:rsidRPr="002A677E">
        <w:t>,</w:t>
      </w:r>
      <w:r w:rsidR="004A6FAC" w:rsidRPr="002A677E">
        <w:t xml:space="preserve"> </w:t>
      </w:r>
      <w:r w:rsidR="00F75233" w:rsidRPr="002A677E">
        <w:t xml:space="preserve">Title II </w:t>
      </w:r>
      <w:r w:rsidR="00FE28F4" w:rsidRPr="001235ED">
        <w:rPr>
          <w:lang w:val="en-US"/>
        </w:rPr>
        <w:t>of Regulation (EU) No 575/2013</w:t>
      </w:r>
      <w:r w:rsidR="004A6FAC" w:rsidRPr="002A677E">
        <w:t>, e</w:t>
      </w:r>
      <w:r w:rsidR="00FD54FC" w:rsidRPr="002A677E">
        <w:t xml:space="preserve">xposures to ‘General governments’ are included in different exposure classes in accordance with Article 112 and Article </w:t>
      </w:r>
      <w:r w:rsidR="00D318BC">
        <w:t xml:space="preserve">147 </w:t>
      </w:r>
      <w:r w:rsidR="00F75233" w:rsidRPr="001235ED">
        <w:rPr>
          <w:lang w:val="en-US"/>
        </w:rPr>
        <w:t>of that Regulation</w:t>
      </w:r>
      <w:r w:rsidR="00F75233" w:rsidRPr="002A677E" w:rsidDel="00F75233">
        <w:t xml:space="preserve"> </w:t>
      </w:r>
      <w:r w:rsidR="00FD54FC" w:rsidRPr="002A677E">
        <w:t>, as specified by the instructions for the completion of template C</w:t>
      </w:r>
      <w:r w:rsidR="006E5D07" w:rsidRPr="002A677E">
        <w:t xml:space="preserve"> </w:t>
      </w:r>
      <w:r w:rsidR="00FD54FC" w:rsidRPr="002A677E">
        <w:t>07</w:t>
      </w:r>
      <w:r w:rsidR="006E5D07" w:rsidRPr="002A677E">
        <w:t>.00</w:t>
      </w:r>
      <w:r w:rsidR="00FD54FC" w:rsidRPr="002A677E">
        <w:t>, C</w:t>
      </w:r>
      <w:r w:rsidR="006E5D07" w:rsidRPr="002A677E">
        <w:t xml:space="preserve"> </w:t>
      </w:r>
      <w:r w:rsidR="00FD54FC" w:rsidRPr="002A677E">
        <w:t>08.01 and C</w:t>
      </w:r>
      <w:r w:rsidR="006E5D07" w:rsidRPr="002A677E">
        <w:t xml:space="preserve"> </w:t>
      </w:r>
      <w:r w:rsidR="00FD54FC" w:rsidRPr="002A677E">
        <w:t xml:space="preserve">08.02. </w:t>
      </w:r>
    </w:p>
    <w:p w14:paraId="1643CBEB" w14:textId="723A60E8"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195</w:t>
      </w:r>
      <w:r w:rsidRPr="005B57EC">
        <w:rPr>
          <w:noProof/>
        </w:rPr>
        <w:fldChar w:fldCharType="end"/>
      </w:r>
      <w:r w:rsidR="00125707" w:rsidRPr="002A677E">
        <w:t>.</w:t>
      </w:r>
      <w:r w:rsidR="00125707" w:rsidRPr="002A677E">
        <w:tab/>
      </w:r>
      <w:r w:rsidR="005C14B0" w:rsidRPr="002A677E">
        <w:t xml:space="preserve"> </w:t>
      </w:r>
      <w:r w:rsidR="00FD54FC" w:rsidRPr="002A677E">
        <w:t>Table 2 (</w:t>
      </w:r>
      <w:r w:rsidR="00CA21CA" w:rsidRPr="002A677E">
        <w:t>Standardised Approach</w:t>
      </w:r>
      <w:r w:rsidR="00FD54FC" w:rsidRPr="002A677E">
        <w:t>) and Table 3 (</w:t>
      </w:r>
      <w:r w:rsidR="008241B9" w:rsidRPr="002A677E">
        <w:t>IRB Approach</w:t>
      </w:r>
      <w:r w:rsidR="00FD54FC" w:rsidRPr="002A677E">
        <w:t xml:space="preserve">), included in Part 3 of Annex </w:t>
      </w:r>
      <w:r w:rsidR="005C14B0" w:rsidRPr="002A677E">
        <w:t xml:space="preserve">V </w:t>
      </w:r>
      <w:r w:rsidR="00B14253" w:rsidRPr="002A677E">
        <w:t>to</w:t>
      </w:r>
      <w:r w:rsidR="005C14B0" w:rsidRPr="002A677E">
        <w:t xml:space="preserve"> this Implementing Regulation</w:t>
      </w:r>
      <w:r w:rsidR="00FD54FC" w:rsidRPr="002A677E">
        <w:t xml:space="preserve">, shall be observed for the mapping of exposure classes used to calculate capital requirements under </w:t>
      </w:r>
      <w:r w:rsidR="00FE28F4" w:rsidRPr="001235ED">
        <w:rPr>
          <w:lang w:val="en-US"/>
        </w:rPr>
        <w:t xml:space="preserve">of Regulation (EU) No 575/2013 </w:t>
      </w:r>
      <w:r w:rsidR="00FD54FC" w:rsidRPr="002A677E">
        <w:t xml:space="preserve">to counterparty sector ‘General governments’. </w:t>
      </w:r>
    </w:p>
    <w:p w14:paraId="41F2B1A4" w14:textId="44A4A29C"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196</w:t>
      </w:r>
      <w:r w:rsidRPr="005B57EC">
        <w:rPr>
          <w:noProof/>
        </w:rPr>
        <w:fldChar w:fldCharType="end"/>
      </w:r>
      <w:r w:rsidR="00125707" w:rsidRPr="002A677E">
        <w:t>.</w:t>
      </w:r>
      <w:r w:rsidR="005C14B0" w:rsidRPr="002A677E">
        <w:t xml:space="preserve"> </w:t>
      </w:r>
      <w:r w:rsidR="00FD54FC" w:rsidRPr="002A677E">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1695AE0F" w14:textId="7AFF1E19"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197</w:t>
      </w:r>
      <w:r w:rsidRPr="005B57EC">
        <w:rPr>
          <w:noProof/>
        </w:rPr>
        <w:fldChar w:fldCharType="end"/>
      </w:r>
      <w:r w:rsidR="00125707" w:rsidRPr="002A677E">
        <w:t>.</w:t>
      </w:r>
      <w:r w:rsidR="00125707" w:rsidRPr="002A677E">
        <w:tab/>
      </w:r>
      <w:r w:rsidR="005C14B0" w:rsidRPr="002A677E">
        <w:t xml:space="preserve"> </w:t>
      </w:r>
      <w:r w:rsidR="00FD54FC" w:rsidRPr="002A677E">
        <w:t>The allocation of exposures to exposure classes or jurisdictions shall be made without considering credit mitigation techniques and in particular without considering substitution effects. However</w:t>
      </w:r>
      <w:r w:rsidR="00B14253" w:rsidRPr="002A677E">
        <w:t>,</w:t>
      </w:r>
      <w:r w:rsidR="00FD54FC" w:rsidRPr="002A677E">
        <w:t xml:space="preserve"> the calculation of exposure values and risk weighted exposure amounts for each exposure class and each jurisdiction </w:t>
      </w:r>
      <w:r w:rsidR="00B14253" w:rsidRPr="002A677E">
        <w:t xml:space="preserve">shall </w:t>
      </w:r>
      <w:r w:rsidR="00FD54FC" w:rsidRPr="002A677E">
        <w:t xml:space="preserve">include the incidence of credit risk mitigation techniques, including substitution effects. </w:t>
      </w:r>
    </w:p>
    <w:p w14:paraId="074321E3" w14:textId="2832A6B6" w:rsidR="00FD54FC" w:rsidRPr="002A677E" w:rsidRDefault="00CE7221" w:rsidP="00C112F8">
      <w:pPr>
        <w:pStyle w:val="InstructionsText2"/>
        <w:numPr>
          <w:ilvl w:val="0"/>
          <w:numId w:val="0"/>
        </w:numPr>
        <w:ind w:left="993"/>
      </w:pPr>
      <w:r w:rsidRPr="005B57EC">
        <w:lastRenderedPageBreak/>
        <w:fldChar w:fldCharType="begin"/>
      </w:r>
      <w:r w:rsidRPr="002A677E">
        <w:instrText xml:space="preserve"> seq paragraphs </w:instrText>
      </w:r>
      <w:r w:rsidRPr="005B57EC">
        <w:fldChar w:fldCharType="separate"/>
      </w:r>
      <w:r w:rsidR="005E3D5A">
        <w:rPr>
          <w:noProof/>
        </w:rPr>
        <w:t>198</w:t>
      </w:r>
      <w:r w:rsidRPr="005B57EC">
        <w:rPr>
          <w:noProof/>
        </w:rPr>
        <w:fldChar w:fldCharType="end"/>
      </w:r>
      <w:r w:rsidR="00125707" w:rsidRPr="002A677E">
        <w:t>.</w:t>
      </w:r>
      <w:r w:rsidR="00125707" w:rsidRPr="002A677E">
        <w:tab/>
      </w:r>
      <w:r w:rsidR="005C14B0" w:rsidRPr="002A677E">
        <w:t xml:space="preserve"> </w:t>
      </w:r>
      <w:r w:rsidR="00FD54FC" w:rsidRPr="002A677E">
        <w:t xml:space="preserve">The reporting of information on exposures to ‘General governments’ by jurisdiction of residence of the immediate counterparty other than the domestic jurisdiction of the reporting institution is subject to the thresholds </w:t>
      </w:r>
      <w:r w:rsidR="00B14253" w:rsidRPr="002A677E">
        <w:t xml:space="preserve">laid down </w:t>
      </w:r>
      <w:r w:rsidR="00FD54FC" w:rsidRPr="002A677E">
        <w:t xml:space="preserve">in Article </w:t>
      </w:r>
      <w:r w:rsidR="00535792" w:rsidRPr="002A677E">
        <w:t>6</w:t>
      </w:r>
      <w:r w:rsidR="00FD54FC" w:rsidRPr="002A677E">
        <w:t>(</w:t>
      </w:r>
      <w:r w:rsidR="00535792" w:rsidRPr="002A677E">
        <w:t>3</w:t>
      </w:r>
      <w:r w:rsidR="00FD54FC" w:rsidRPr="002A677E">
        <w:t xml:space="preserve">) </w:t>
      </w:r>
      <w:r w:rsidR="006D6AE0" w:rsidRPr="002A677E">
        <w:t xml:space="preserve">of </w:t>
      </w:r>
      <w:r w:rsidR="00936BB3" w:rsidRPr="002A677E">
        <w:t xml:space="preserve">this </w:t>
      </w:r>
      <w:r w:rsidR="00705025" w:rsidRPr="002A677E">
        <w:t xml:space="preserve">Implementing </w:t>
      </w:r>
      <w:r w:rsidR="00936BB3" w:rsidRPr="002A677E">
        <w:t>Regulation</w:t>
      </w:r>
      <w:r w:rsidR="00FD54FC" w:rsidRPr="002A677E">
        <w:t>.</w:t>
      </w:r>
    </w:p>
    <w:p w14:paraId="3577A9ED" w14:textId="5ED21D22" w:rsidR="00FD54FC" w:rsidRPr="002A677E" w:rsidRDefault="00995A7F" w:rsidP="006B56FF">
      <w:pPr>
        <w:pStyle w:val="Instructionsberschrift2"/>
        <w:numPr>
          <w:ilvl w:val="0"/>
          <w:numId w:val="0"/>
        </w:numPr>
        <w:rPr>
          <w:rFonts w:ascii="Times New Roman" w:hAnsi="Times New Roman" w:cs="Times New Roman"/>
          <w:sz w:val="24"/>
          <w:lang w:val="en-GB"/>
        </w:rPr>
      </w:pPr>
      <w:bookmarkStart w:id="769" w:name="_Toc367202009"/>
      <w:bookmarkStart w:id="770" w:name="_Toc473561057"/>
      <w:bookmarkStart w:id="771" w:name="_Toc151714524"/>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.2.</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Scope of the template</w:t>
      </w:r>
      <w:bookmarkEnd w:id="769"/>
      <w:r w:rsidR="00FD54FC" w:rsidRPr="002A677E">
        <w:rPr>
          <w:rFonts w:ascii="Times New Roman" w:hAnsi="Times New Roman" w:cs="Times New Roman"/>
          <w:sz w:val="24"/>
          <w:lang w:val="en-GB"/>
        </w:rPr>
        <w:t xml:space="preserve"> on exposures to “General governments”</w:t>
      </w:r>
      <w:bookmarkEnd w:id="770"/>
      <w:bookmarkEnd w:id="771"/>
    </w:p>
    <w:p w14:paraId="4ABEC63C" w14:textId="3A3250E2"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199</w:t>
      </w:r>
      <w:r w:rsidRPr="005B57EC">
        <w:rPr>
          <w:noProof/>
        </w:rPr>
        <w:fldChar w:fldCharType="end"/>
      </w:r>
      <w:r w:rsidR="00125707" w:rsidRPr="002A677E">
        <w:t>.</w:t>
      </w:r>
      <w:r w:rsidR="00125707" w:rsidRPr="002A677E">
        <w:tab/>
      </w:r>
      <w:r w:rsidR="005C14B0" w:rsidRPr="002A677E">
        <w:t xml:space="preserve"> </w:t>
      </w:r>
      <w:r w:rsidR="00FD54FC" w:rsidRPr="002A677E">
        <w:t>The scope of the GOV template covers on</w:t>
      </w:r>
      <w:r w:rsidR="00EA0F2F" w:rsidRPr="002A677E">
        <w:t>-balance sheet</w:t>
      </w:r>
      <w:r w:rsidR="00FD54FC" w:rsidRPr="002A677E">
        <w:t>, off-balance sheet and derivatives direct exposures to “General governments” in the banking and trading book. In addition</w:t>
      </w:r>
      <w:r w:rsidR="00B14253" w:rsidRPr="002A677E">
        <w:t>,</w:t>
      </w:r>
      <w:r w:rsidR="00FD54FC" w:rsidRPr="002A677E">
        <w:t xml:space="preserve"> a memorandum item on indirect exposures in the form of credit derivatives sold on general government exposures is also</w:t>
      </w:r>
      <w:r w:rsidR="009F7C08" w:rsidRPr="002A677E">
        <w:t xml:space="preserve"> requested</w:t>
      </w:r>
      <w:r w:rsidR="00FD54FC" w:rsidRPr="002A677E">
        <w:t>.</w:t>
      </w:r>
    </w:p>
    <w:p w14:paraId="13C7BD2C" w14:textId="3755D3DB"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200</w:t>
      </w:r>
      <w:r w:rsidRPr="005B57EC">
        <w:rPr>
          <w:noProof/>
        </w:rPr>
        <w:fldChar w:fldCharType="end"/>
      </w:r>
      <w:r w:rsidR="00125707" w:rsidRPr="002A677E">
        <w:t>.</w:t>
      </w:r>
      <w:r w:rsidR="00125707" w:rsidRPr="002A677E">
        <w:tab/>
      </w:r>
      <w:r w:rsidR="005C14B0" w:rsidRPr="002A677E">
        <w:t xml:space="preserve"> </w:t>
      </w:r>
      <w:r w:rsidR="00FD54FC" w:rsidRPr="002A677E">
        <w:t xml:space="preserve">An exposure is a direct exposure when the immediate counterparty is an entity </w:t>
      </w:r>
      <w:r w:rsidR="00B14253" w:rsidRPr="002A677E">
        <w:t>that is a</w:t>
      </w:r>
      <w:r w:rsidR="00FD54FC" w:rsidRPr="002A677E">
        <w:t xml:space="preserve"> ‘General government’</w:t>
      </w:r>
      <w:r w:rsidR="00B14253" w:rsidRPr="002A677E">
        <w:t xml:space="preserve"> as referred to in point (b)</w:t>
      </w:r>
      <w:r w:rsidR="00BE1277">
        <w:t>,</w:t>
      </w:r>
      <w:r w:rsidR="00B14253" w:rsidRPr="002A677E">
        <w:t xml:space="preserve"> of paragraph 42 of Annex V to this </w:t>
      </w:r>
      <w:r w:rsidR="006B2333" w:rsidRPr="002A677E">
        <w:t xml:space="preserve">Implementing </w:t>
      </w:r>
      <w:r w:rsidR="00B14253" w:rsidRPr="002A677E">
        <w:t>Regulation</w:t>
      </w:r>
      <w:r w:rsidR="00FD54FC" w:rsidRPr="002A677E">
        <w:t xml:space="preserve">. </w:t>
      </w:r>
    </w:p>
    <w:p w14:paraId="70B0FE7F" w14:textId="72AD45A8" w:rsidR="00FD54FC"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201</w:t>
      </w:r>
      <w:r w:rsidRPr="005B57EC">
        <w:rPr>
          <w:noProof/>
        </w:rPr>
        <w:fldChar w:fldCharType="end"/>
      </w:r>
      <w:r w:rsidR="00125707" w:rsidRPr="002A677E">
        <w:t>.</w:t>
      </w:r>
      <w:r w:rsidR="00125707" w:rsidRPr="002A677E">
        <w:tab/>
      </w:r>
      <w:r w:rsidR="005C14B0" w:rsidRPr="002A677E">
        <w:t xml:space="preserve"> </w:t>
      </w:r>
      <w:r w:rsidR="00FD54FC" w:rsidRPr="002A677E">
        <w:t>The template is divided in two sections. The first one is based on a breakdown of exposures by risk, regulatory approach and exposure classes whereas a second one is based on a breakdown by residual maturity</w:t>
      </w:r>
    </w:p>
    <w:p w14:paraId="51205335" w14:textId="30191B10" w:rsidR="00FD54FC" w:rsidRPr="002A677E" w:rsidRDefault="00995A7F" w:rsidP="00B7761D">
      <w:pPr>
        <w:pStyle w:val="Instructionsberschrift2"/>
        <w:numPr>
          <w:ilvl w:val="0"/>
          <w:numId w:val="0"/>
        </w:numPr>
        <w:rPr>
          <w:rFonts w:ascii="Times New Roman" w:hAnsi="Times New Roman" w:cs="Times New Roman"/>
          <w:sz w:val="24"/>
          <w:lang w:val="en-GB"/>
        </w:rPr>
      </w:pPr>
      <w:bookmarkStart w:id="772" w:name="_Toc473561058"/>
      <w:bookmarkStart w:id="773" w:name="_Toc151714525"/>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.3.</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Instructions concerning specific positions</w:t>
      </w:r>
      <w:bookmarkEnd w:id="772"/>
      <w:bookmarkEnd w:id="7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gross carrying amount of non-derivative financial assets</w:t>
            </w:r>
            <w:r w:rsidR="00730040" w:rsidRPr="002A677E">
              <w:rPr>
                <w:rFonts w:ascii="Times New Roman" w:hAnsi="Times New Roman"/>
                <w:b/>
                <w:bCs/>
                <w:sz w:val="24"/>
                <w:u w:val="single"/>
                <w:lang w:eastAsia="de-DE"/>
              </w:rPr>
              <w:t xml:space="preserv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 xml:space="preserve">gross carrying amount, as determined in accordance with paragraph </w:t>
            </w:r>
            <w:r w:rsidR="00245E37" w:rsidRPr="002A677E">
              <w:rPr>
                <w:rFonts w:ascii="Times New Roman" w:hAnsi="Times New Roman"/>
                <w:bCs/>
                <w:sz w:val="24"/>
                <w:lang w:eastAsia="de-DE"/>
              </w:rPr>
              <w:t xml:space="preserve">34 </w:t>
            </w:r>
            <w:r w:rsidR="002F78EA" w:rsidRPr="002A677E">
              <w:rPr>
                <w:rFonts w:ascii="Times New Roman" w:hAnsi="Times New Roman"/>
                <w:bCs/>
                <w:sz w:val="24"/>
                <w:lang w:eastAsia="de-DE"/>
              </w:rPr>
              <w:t>of Part 1 of Annex V to this Implementing Regulation</w:t>
            </w:r>
            <w:r w:rsidRPr="002A677E">
              <w:rPr>
                <w:rFonts w:ascii="Times New Roman" w:hAnsi="Times New Roman"/>
                <w:bCs/>
                <w:sz w:val="24"/>
                <w:lang w:eastAsia="de-DE"/>
              </w:rPr>
              <w:t>, of non-derivative financial assets to General governments, for all accounting portfolios under IFRS or national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of Part 1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xml:space="preserve">, 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730040" w:rsidRPr="002A677E">
              <w:rPr>
                <w:rFonts w:ascii="Times New Roman" w:hAnsi="Times New Roman"/>
                <w:bCs/>
                <w:sz w:val="24"/>
                <w:lang w:eastAsia="de-DE"/>
              </w:rPr>
              <w:t xml:space="preserv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the carrying amount</w:t>
            </w:r>
            <w:r w:rsidR="000E40DD" w:rsidRPr="002A677E">
              <w:rPr>
                <w:rFonts w:ascii="Times New Roman" w:hAnsi="Times New Roman"/>
                <w:bCs/>
                <w:sz w:val="24"/>
                <w:lang w:eastAsia="de-DE"/>
              </w:rPr>
              <w:t>, as referred to in</w:t>
            </w:r>
            <w:r w:rsidRPr="002A677E">
              <w:rPr>
                <w:rFonts w:ascii="Times New Roman" w:hAnsi="Times New Roman"/>
                <w:bCs/>
                <w:sz w:val="24"/>
                <w:lang w:eastAsia="de-DE"/>
              </w:rPr>
              <w:t xml:space="preserve"> paragraph 27 </w:t>
            </w:r>
            <w:r w:rsidR="002F78EA" w:rsidRPr="002A677E">
              <w:rPr>
                <w:rFonts w:ascii="Times New Roman" w:hAnsi="Times New Roman"/>
                <w:bCs/>
                <w:sz w:val="24"/>
                <w:lang w:eastAsia="de-DE"/>
              </w:rPr>
              <w:t>of Part 1 of</w:t>
            </w:r>
            <w:r w:rsidRPr="002A677E">
              <w:rPr>
                <w:rFonts w:ascii="Times New Roman" w:hAnsi="Times New Roman"/>
                <w:bCs/>
                <w:sz w:val="24"/>
                <w:lang w:eastAsia="de-DE"/>
              </w:rPr>
              <w:t xml:space="preserve"> Annex </w:t>
            </w:r>
            <w:r w:rsidR="002F78EA" w:rsidRPr="002A677E">
              <w:rPr>
                <w:rFonts w:ascii="Times New Roman" w:hAnsi="Times New Roman"/>
                <w:bCs/>
                <w:sz w:val="24"/>
                <w:lang w:eastAsia="de-DE"/>
              </w:rPr>
              <w:t>V to this</w:t>
            </w:r>
            <w:r w:rsidR="000E40DD" w:rsidRPr="002A677E">
              <w:rPr>
                <w:rFonts w:ascii="Times New Roman" w:hAnsi="Times New Roman"/>
                <w:bCs/>
                <w:sz w:val="24"/>
                <w:lang w:eastAsia="de-DE"/>
              </w:rPr>
              <w:t xml:space="preserve"> </w:t>
            </w:r>
            <w:r w:rsidR="006B2333" w:rsidRPr="002A677E">
              <w:rPr>
                <w:rFonts w:ascii="Times New Roman" w:hAnsi="Times New Roman"/>
                <w:bCs/>
                <w:sz w:val="24"/>
                <w:lang w:eastAsia="de-DE"/>
              </w:rPr>
              <w:t xml:space="preserve">Implementing </w:t>
            </w:r>
            <w:r w:rsidR="000E40DD" w:rsidRPr="002A677E">
              <w:rPr>
                <w:rFonts w:ascii="Times New Roman" w:hAnsi="Times New Roman"/>
                <w:bCs/>
                <w:sz w:val="24"/>
                <w:lang w:eastAsia="de-DE"/>
              </w:rPr>
              <w:t>Regulation</w:t>
            </w:r>
            <w:r w:rsidRPr="002A677E">
              <w:rPr>
                <w:rFonts w:ascii="Times New Roman" w:hAnsi="Times New Roman"/>
                <w:bCs/>
                <w:sz w:val="24"/>
                <w:lang w:eastAsia="de-DE"/>
              </w:rPr>
              <w:t xml:space="preserve">, of non-derivative financial assets to General governments for all accounting portfolios under IFRS or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 xml:space="preserve">of Part 1 of Annex V to this Implementing Regulation </w:t>
            </w:r>
            <w:r w:rsidRPr="002A677E">
              <w:rPr>
                <w:rFonts w:ascii="Times New Roman" w:hAnsi="Times New Roman"/>
                <w:bCs/>
                <w:sz w:val="24"/>
                <w:lang w:eastAsia="de-DE"/>
              </w:rPr>
              <w:t xml:space="preserve">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 net of short positions</w:t>
            </w:r>
            <w:r w:rsidR="00B14253" w:rsidRPr="002A677E">
              <w:rPr>
                <w:rFonts w:ascii="Times New Roman" w:hAnsi="Times New Roman"/>
                <w:bCs/>
                <w:sz w:val="24"/>
                <w:lang w:eastAsia="de-DE"/>
              </w:rPr>
              <w:t>.</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has a short position for the same residual maturity</w:t>
            </w:r>
            <w:r w:rsidR="000E40DD" w:rsidRPr="002A677E">
              <w:rPr>
                <w:rFonts w:ascii="Times New Roman" w:hAnsi="Times New Roman"/>
                <w:bCs/>
                <w:sz w:val="24"/>
                <w:lang w:eastAsia="de-DE"/>
              </w:rPr>
              <w:t xml:space="preserve"> and</w:t>
            </w:r>
            <w:r w:rsidR="00D95045" w:rsidRPr="002A677E">
              <w:rPr>
                <w:rFonts w:ascii="Times New Roman" w:hAnsi="Times New Roman"/>
                <w:bCs/>
                <w:sz w:val="24"/>
                <w:lang w:eastAsia="de-DE"/>
              </w:rPr>
              <w:t xml:space="preserve"> </w:t>
            </w:r>
            <w:r w:rsidRPr="002A677E">
              <w:rPr>
                <w:rFonts w:ascii="Times New Roman" w:hAnsi="Times New Roman"/>
                <w:bCs/>
                <w:sz w:val="24"/>
                <w:lang w:eastAsia="de-DE"/>
              </w:rPr>
              <w:t>the same immediate counterparty</w:t>
            </w:r>
            <w:r w:rsidR="00D95045" w:rsidRPr="002A677E">
              <w:rPr>
                <w:rFonts w:ascii="Times New Roman" w:hAnsi="Times New Roman"/>
                <w:bCs/>
                <w:sz w:val="24"/>
                <w:lang w:eastAsia="de-DE"/>
              </w:rPr>
              <w:t xml:space="preserve"> </w:t>
            </w:r>
            <w:r w:rsidR="00607523" w:rsidRPr="002A677E">
              <w:rPr>
                <w:rFonts w:ascii="Times New Roman" w:hAnsi="Times New Roman"/>
                <w:bCs/>
                <w:sz w:val="24"/>
                <w:lang w:eastAsia="de-DE"/>
              </w:rPr>
              <w:t xml:space="preserve">that </w:t>
            </w:r>
            <w:r w:rsidR="003D199D" w:rsidRPr="002A677E">
              <w:rPr>
                <w:rFonts w:ascii="Times New Roman" w:hAnsi="Times New Roman"/>
                <w:bCs/>
                <w:sz w:val="24"/>
                <w:lang w:eastAsia="de-DE"/>
              </w:rPr>
              <w:t xml:space="preserve">is </w:t>
            </w:r>
            <w:r w:rsidR="00D95045" w:rsidRPr="002A677E">
              <w:rPr>
                <w:rFonts w:ascii="Times New Roman" w:hAnsi="Times New Roman"/>
                <w:bCs/>
                <w:sz w:val="24"/>
                <w:lang w:eastAsia="de-DE"/>
              </w:rPr>
              <w:t>denominated in the same currency</w:t>
            </w:r>
            <w:r w:rsidRPr="002A677E">
              <w:rPr>
                <w:rFonts w:ascii="Times New Roman" w:hAnsi="Times New Roman"/>
                <w:bCs/>
                <w:sz w:val="24"/>
                <w:lang w:eastAsia="de-DE"/>
              </w:rPr>
              <w:t>,</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w:t>
            </w:r>
            <w:r w:rsidR="00B14253" w:rsidRPr="002A677E">
              <w:rPr>
                <w:rFonts w:ascii="Times New Roman" w:hAnsi="Times New Roman"/>
                <w:bCs/>
                <w:sz w:val="24"/>
                <w:lang w:eastAsia="de-DE"/>
              </w:rPr>
              <w:t>at</w:t>
            </w:r>
            <w:r w:rsidRPr="002A677E">
              <w:rPr>
                <w:rFonts w:ascii="Times New Roman" w:hAnsi="Times New Roman"/>
                <w:bCs/>
                <w:sz w:val="24"/>
                <w:lang w:eastAsia="de-DE"/>
              </w:rPr>
              <w:t xml:space="preserve"> net amount shall be considered </w:t>
            </w:r>
            <w:r w:rsidR="00B14253" w:rsidRPr="002A677E">
              <w:rPr>
                <w:rFonts w:ascii="Times New Roman" w:hAnsi="Times New Roman"/>
                <w:bCs/>
                <w:sz w:val="24"/>
                <w:lang w:eastAsia="de-DE"/>
              </w:rPr>
              <w:t>to be</w:t>
            </w:r>
            <w:r w:rsidRPr="002A677E">
              <w:rPr>
                <w:rFonts w:ascii="Times New Roman" w:hAnsi="Times New Roman"/>
                <w:bCs/>
                <w:sz w:val="24"/>
                <w:lang w:eastAsia="de-DE"/>
              </w:rPr>
              <w:t xml:space="preserve"> zero when it is a negative amount</w:t>
            </w:r>
            <w:r w:rsidRPr="002A677E" w:rsidDel="00501397">
              <w:rPr>
                <w:rFonts w:ascii="Times New Roman" w:hAnsi="Times New Roman"/>
                <w:bCs/>
                <w:sz w:val="24"/>
                <w:lang w:eastAsia="de-DE"/>
              </w:rPr>
              <w:t>.</w:t>
            </w:r>
            <w:r w:rsidR="00454026" w:rsidRPr="002A677E">
              <w:rPr>
                <w:rFonts w:ascii="Times New Roman" w:hAnsi="Times New Roman"/>
                <w:bCs/>
                <w:sz w:val="24"/>
                <w:lang w:eastAsia="de-DE"/>
              </w:rPr>
              <w:t xml:space="preserve"> Where an </w:t>
            </w:r>
            <w:r w:rsidR="00454026" w:rsidRPr="002A677E">
              <w:rPr>
                <w:rFonts w:ascii="Times New Roman" w:hAnsi="Times New Roman"/>
                <w:bCs/>
                <w:sz w:val="24"/>
                <w:lang w:eastAsia="de-DE"/>
              </w:rPr>
              <w:lastRenderedPageBreak/>
              <w:t xml:space="preserve">institution has a short position without a matching direct position, the amount of the short position shall be considered zero for the purposes of this column.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030-</w:t>
            </w: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w:t>
            </w:r>
            <w:r w:rsidR="000E40DD" w:rsidRPr="002A677E">
              <w:rPr>
                <w:rFonts w:ascii="Times New Roman" w:hAnsi="Times New Roman"/>
                <w:bCs/>
                <w:sz w:val="24"/>
                <w:lang w:eastAsia="de-DE"/>
              </w:rPr>
              <w:t>in the row above of this table</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to General governments</w:t>
            </w:r>
            <w:r w:rsidR="000E40DD" w:rsidRPr="002A677E">
              <w:rPr>
                <w:rFonts w:ascii="Times New Roman" w:hAnsi="Times New Roman"/>
                <w:bCs/>
                <w:sz w:val="24"/>
                <w:lang w:eastAsia="de-DE"/>
              </w:rPr>
              <w:t>, broken down</w:t>
            </w:r>
            <w:r w:rsidRPr="002A677E">
              <w:rPr>
                <w:rFonts w:ascii="Times New Roman" w:hAnsi="Times New Roman"/>
                <w:bCs/>
                <w:sz w:val="24"/>
                <w:lang w:eastAsia="de-DE"/>
              </w:rPr>
              <w:t xml:space="preserve"> by accounting portfolio under the applicable accounting framework</w:t>
            </w:r>
            <w:r w:rsidR="00454026" w:rsidRPr="002A677E">
              <w:rPr>
                <w:rFonts w:ascii="Times New Roman" w:hAnsi="Times New Roman"/>
                <w:bCs/>
                <w:sz w:val="24"/>
                <w:lang w:eastAsia="de-DE"/>
              </w:rPr>
              <w:t>.</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640" w:type="dxa"/>
          </w:tcPr>
          <w:p w14:paraId="62D50A1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7.8(a)(ii); IFRS 9 Appendix </w:t>
            </w:r>
            <w:r w:rsidR="00FD54FC" w:rsidRPr="002A677E">
              <w:rPr>
                <w:rFonts w:ascii="Times New Roman" w:hAnsi="Times New Roman"/>
                <w:bCs/>
                <w:sz w:val="24"/>
                <w:lang w:eastAsia="de-DE"/>
              </w:rPr>
              <w:t>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0</w:t>
            </w:r>
            <w:r w:rsidR="00FD54FC" w:rsidRPr="002A677E">
              <w:rPr>
                <w:rFonts w:ascii="Times New Roman" w:hAnsi="Times New Roman"/>
                <w:bCs/>
                <w:sz w:val="24"/>
                <w:lang w:eastAsia="de-DE"/>
              </w:rPr>
              <w:t>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w:t>
            </w:r>
            <w:r w:rsidR="00FD54FC" w:rsidRPr="002A677E">
              <w:rPr>
                <w:rFonts w:ascii="Times New Roman" w:hAnsi="Times New Roman"/>
                <w:bCs/>
                <w:sz w:val="24"/>
                <w:lang w:eastAsia="de-DE"/>
              </w:rPr>
              <w:t>32</w:t>
            </w:r>
            <w:r w:rsidR="00B14253" w:rsidRPr="002A677E">
              <w:rPr>
                <w:rFonts w:ascii="Times New Roman" w:hAnsi="Times New Roman"/>
                <w:bCs/>
                <w:sz w:val="24"/>
                <w:lang w:eastAsia="de-DE"/>
              </w:rPr>
              <w:t xml:space="preserve"> and </w:t>
            </w:r>
            <w:r w:rsidR="00FD54FC" w:rsidRPr="002A677E">
              <w:rPr>
                <w:rFonts w:ascii="Times New Roman" w:hAnsi="Times New Roman"/>
                <w:bCs/>
                <w:sz w:val="24"/>
                <w:lang w:eastAsia="de-DE"/>
              </w:rPr>
              <w:t>33</w:t>
            </w:r>
            <w:r w:rsidR="002B004B" w:rsidRPr="002A677E">
              <w:rPr>
                <w:rFonts w:ascii="Times New Roman" w:hAnsi="Times New Roman"/>
                <w:bCs/>
                <w:sz w:val="24"/>
                <w:lang w:eastAsia="de-DE"/>
              </w:rPr>
              <w:t xml:space="preserve">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Paragraph 16 of </w:t>
            </w:r>
            <w:r w:rsidR="002F78EA" w:rsidRPr="002A677E">
              <w:rPr>
                <w:rFonts w:ascii="Times New Roman" w:hAnsi="Times New Roman"/>
                <w:bCs/>
                <w:sz w:val="24"/>
                <w:lang w:eastAsia="de-DE"/>
              </w:rPr>
              <w:t>Part 1 of Annex V to this Implementing Regulation</w:t>
            </w:r>
            <w:r w:rsidR="00FD54FC" w:rsidRPr="002A677E">
              <w:rPr>
                <w:rFonts w:ascii="Times New Roman" w:hAnsi="Times New Roman"/>
                <w:bCs/>
                <w:sz w:val="24"/>
                <w:lang w:eastAsia="de-DE"/>
              </w:rPr>
              <w:t xml:space="preserve">; </w:t>
            </w:r>
            <w:r w:rsidR="002B004B"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2B004B"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 IFRS 9.4.1.5 and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8(6) </w:t>
            </w:r>
            <w:r w:rsidR="002E27B0" w:rsidRPr="002A677E">
              <w:rPr>
                <w:rFonts w:ascii="Times New Roman" w:hAnsi="Times New Roman"/>
                <w:sz w:val="24"/>
              </w:rPr>
              <w:t>of Directive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w:t>
            </w:r>
            <w:r w:rsidR="00FD54FC" w:rsidRPr="002A677E" w:rsidDel="00501397">
              <w:rPr>
                <w:rFonts w:ascii="Times New Roman" w:hAnsi="Times New Roman"/>
                <w:bCs/>
                <w:sz w:val="24"/>
                <w:lang w:eastAsia="de-DE"/>
              </w:rPr>
              <w:t>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sidR="00B83DDE">
              <w:rPr>
                <w:rFonts w:ascii="Times New Roman" w:hAnsi="Times New Roman"/>
                <w:bCs/>
                <w:sz w:val="24"/>
                <w:lang w:eastAsia="de-DE"/>
              </w:rPr>
              <w:t>, p</w:t>
            </w:r>
            <w:r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8(8) </w:t>
            </w:r>
            <w:r w:rsidR="002E27B0" w:rsidRPr="002A677E">
              <w:rPr>
                <w:rFonts w:ascii="Times New Roman" w:hAnsi="Times New Roman"/>
                <w:sz w:val="24"/>
              </w:rPr>
              <w:t>of Directive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10</w:t>
            </w:r>
            <w:r w:rsidR="00FD54FC" w:rsidRPr="002A677E" w:rsidDel="00501397">
              <w:rPr>
                <w:rFonts w:ascii="Times New Roman" w:hAnsi="Times New Roman"/>
                <w:bCs/>
                <w:sz w:val="24"/>
                <w:lang w:eastAsia="de-DE"/>
              </w:rPr>
              <w:t>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IFRS 7.8(f); IFRS 9.4.1.2; </w:t>
            </w:r>
            <w:r w:rsidR="002F78EA" w:rsidRPr="002A677E">
              <w:rPr>
                <w:rFonts w:ascii="Times New Roman" w:hAnsi="Times New Roman"/>
                <w:bCs/>
                <w:sz w:val="24"/>
                <w:lang w:eastAsia="de-DE"/>
              </w:rPr>
              <w:t>P</w:t>
            </w:r>
            <w:r w:rsidR="00127986" w:rsidRPr="002A677E">
              <w:rPr>
                <w:rFonts w:ascii="Times New Roman" w:hAnsi="Times New Roman"/>
                <w:bCs/>
                <w:sz w:val="24"/>
                <w:lang w:eastAsia="de-DE"/>
              </w:rPr>
              <w:t>aragraph</w:t>
            </w:r>
            <w:r w:rsidR="000E40DD" w:rsidRPr="002A677E">
              <w:rPr>
                <w:rFonts w:ascii="Times New Roman" w:hAnsi="Times New Roman"/>
                <w:bCs/>
                <w:sz w:val="24"/>
                <w:lang w:eastAsia="de-DE"/>
              </w:rPr>
              <w:t xml:space="preserve"> </w:t>
            </w:r>
            <w:r w:rsidR="002F78EA" w:rsidRPr="002A677E">
              <w:rPr>
                <w:rFonts w:ascii="Times New Roman" w:hAnsi="Times New Roman"/>
                <w:bCs/>
                <w:sz w:val="24"/>
                <w:lang w:eastAsia="de-DE"/>
              </w:rPr>
              <w:t>15</w:t>
            </w:r>
            <w:r w:rsidR="000E40DD" w:rsidRPr="002A677E">
              <w:rPr>
                <w:rFonts w:ascii="Times New Roman" w:hAnsi="Times New Roman"/>
                <w:bCs/>
                <w:sz w:val="24"/>
                <w:lang w:eastAsia="de-DE"/>
              </w:rPr>
              <w:t xml:space="preserve"> of Part 1</w:t>
            </w:r>
            <w:r w:rsidR="002F78EA" w:rsidRPr="002A677E">
              <w:rPr>
                <w:rFonts w:ascii="Times New Roman" w:hAnsi="Times New Roman"/>
                <w:bCs/>
                <w:sz w:val="24"/>
                <w:lang w:eastAsia="de-DE"/>
              </w:rPr>
              <w:t xml:space="preserve"> of Annex V to this Implementing Regulation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w:t>
            </w:r>
            <w:r w:rsidR="00FD54FC" w:rsidRPr="002A677E" w:rsidDel="00501397">
              <w:rPr>
                <w:rFonts w:ascii="Times New Roman" w:hAnsi="Times New Roman"/>
                <w:bCs/>
                <w:sz w:val="24"/>
                <w:lang w:eastAsia="de-DE"/>
              </w:rPr>
              <w:t>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002B004B" w:rsidRPr="002A677E">
              <w:rPr>
                <w:rFonts w:ascii="Times New Roman" w:hAnsi="Times New Roman"/>
                <w:bCs/>
                <w:sz w:val="24"/>
                <w:lang w:eastAsia="de-DE"/>
              </w:rPr>
              <w:t>Article 6(1)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(i) </w:t>
            </w:r>
            <w:r w:rsidR="002B004B" w:rsidRPr="002A677E">
              <w:rPr>
                <w:rFonts w:ascii="Times New Roman" w:hAnsi="Times New Roman"/>
                <w:bCs/>
                <w:sz w:val="24"/>
                <w:lang w:eastAsia="de-DE"/>
              </w:rPr>
              <w:t xml:space="preserve">and Article 8(2) </w:t>
            </w:r>
            <w:r w:rsidR="002E27B0" w:rsidRPr="002A677E">
              <w:rPr>
                <w:rFonts w:ascii="Times New Roman" w:hAnsi="Times New Roman"/>
                <w:sz w:val="24"/>
              </w:rPr>
              <w:t>of Directive 2013/34/EU</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Pr="002A677E">
              <w:rPr>
                <w:rFonts w:ascii="Times New Roman" w:hAnsi="Times New Roman"/>
                <w:bCs/>
                <w:sz w:val="24"/>
                <w:lang w:eastAsia="de-DE"/>
              </w:rPr>
              <w:t>Annex V</w:t>
            </w:r>
            <w:r w:rsidR="00B83DDE">
              <w:rPr>
                <w:rFonts w:ascii="Times New Roman" w:hAnsi="Times New Roman"/>
                <w:bCs/>
                <w:sz w:val="24"/>
                <w:lang w:eastAsia="de-DE"/>
              </w:rPr>
              <w:t>, p</w:t>
            </w:r>
            <w:r w:rsidR="00EC38B2" w:rsidRPr="002A677E">
              <w:rPr>
                <w:rFonts w:ascii="Times New Roman" w:hAnsi="Times New Roman"/>
                <w:bCs/>
                <w:sz w:val="24"/>
                <w:lang w:eastAsia="de-DE"/>
              </w:rPr>
              <w:t>art 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aragraph 16 </w:t>
            </w:r>
            <w:r w:rsidRPr="002A677E">
              <w:rPr>
                <w:rFonts w:ascii="Times New Roman" w:hAnsi="Times New Roman"/>
                <w:bCs/>
                <w:sz w:val="24"/>
                <w:lang w:eastAsia="de-DE"/>
              </w:rPr>
              <w:t>to this Implementing Regulation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Pr="002A677E">
              <w:rPr>
                <w:rFonts w:ascii="Times New Roman" w:hAnsi="Times New Roman"/>
                <w:bCs/>
                <w:sz w:val="24"/>
                <w:lang w:eastAsia="de-DE"/>
              </w:rPr>
              <w:t xml:space="preserve">Article 12(7) </w:t>
            </w:r>
            <w:r w:rsidR="002E27B0" w:rsidRPr="002A677E">
              <w:rPr>
                <w:rFonts w:ascii="Times New Roman" w:hAnsi="Times New Roman"/>
                <w:sz w:val="24"/>
              </w:rPr>
              <w:t>of Directive 2013/34/EU</w:t>
            </w:r>
            <w:r w:rsidR="00FD54FC" w:rsidRPr="002A677E">
              <w:rPr>
                <w:rFonts w:ascii="Times New Roman" w:hAnsi="Times New Roman"/>
                <w:bCs/>
                <w:sz w:val="24"/>
                <w:lang w:eastAsia="de-DE"/>
              </w:rPr>
              <w:t xml:space="preserve">; </w:t>
            </w:r>
            <w:r w:rsidR="003B09EA" w:rsidRPr="002A677E">
              <w:rPr>
                <w:rFonts w:ascii="Times New Roman" w:hAnsi="Times New Roman"/>
                <w:bCs/>
                <w:sz w:val="24"/>
                <w:lang w:eastAsia="de-DE"/>
              </w:rPr>
              <w:t>Annex V</w:t>
            </w:r>
            <w:r w:rsidR="00B83DDE">
              <w:rPr>
                <w:rFonts w:ascii="Times New Roman" w:hAnsi="Times New Roman"/>
                <w:bCs/>
                <w:sz w:val="24"/>
                <w:lang w:eastAsia="de-DE"/>
              </w:rPr>
              <w:t>, p</w:t>
            </w:r>
            <w:r w:rsidR="003B09EA" w:rsidRPr="002A677E">
              <w:rPr>
                <w:rFonts w:ascii="Times New Roman" w:hAnsi="Times New Roman"/>
                <w:bCs/>
                <w:sz w:val="24"/>
                <w:lang w:eastAsia="de-DE"/>
              </w:rPr>
              <w:t>art 1</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 16 </w:t>
            </w:r>
            <w:r w:rsidR="002F78EA" w:rsidRPr="002A677E">
              <w:rPr>
                <w:rFonts w:ascii="Times New Roman" w:hAnsi="Times New Roman"/>
                <w:bCs/>
                <w:sz w:val="24"/>
                <w:lang w:eastAsia="de-DE"/>
              </w:rPr>
              <w:t>to this Implementing Regulation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is a General government as defined in paragraph</w:t>
            </w:r>
            <w:r w:rsidR="007715D6"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0E40DD" w:rsidRPr="002A677E">
              <w:rPr>
                <w:rFonts w:ascii="Times New Roman" w:hAnsi="Times New Roman"/>
                <w:bCs/>
                <w:sz w:val="24"/>
                <w:lang w:eastAsia="de-DE"/>
              </w:rPr>
              <w:t>155</w:t>
            </w:r>
            <w:r w:rsidR="007715D6" w:rsidRPr="002A677E">
              <w:rPr>
                <w:rFonts w:ascii="Times New Roman" w:hAnsi="Times New Roman"/>
                <w:bCs/>
                <w:sz w:val="24"/>
                <w:lang w:eastAsia="de-DE"/>
              </w:rPr>
              <w:t xml:space="preserve">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sells securities acquired in a reverse repurchase loan or borrowed in a securities lending transaction.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reported by residual maturity bucket, as </w:t>
            </w:r>
            <w:r w:rsidR="00127986" w:rsidRPr="002A677E">
              <w:rPr>
                <w:rFonts w:ascii="Times New Roman" w:hAnsi="Times New Roman"/>
                <w:bCs/>
                <w:sz w:val="24"/>
                <w:lang w:eastAsia="de-DE"/>
              </w:rPr>
              <w:t xml:space="preserve">listed </w:t>
            </w:r>
            <w:r w:rsidRPr="002A677E">
              <w:rPr>
                <w:rFonts w:ascii="Times New Roman" w:hAnsi="Times New Roman"/>
                <w:bCs/>
                <w:sz w:val="24"/>
                <w:lang w:eastAsia="de-DE"/>
              </w:rPr>
              <w:t>in row</w:t>
            </w:r>
            <w:r w:rsidR="00B14253"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170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230, and by immediate counterparty.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lang w:eastAsia="de-DE"/>
              </w:rPr>
            </w:pPr>
            <w:r w:rsidRPr="002A677E">
              <w:rPr>
                <w:rFonts w:ascii="Times New Roman" w:hAnsi="Times New Roman"/>
                <w:bCs/>
                <w:sz w:val="24"/>
                <w:lang w:eastAsia="de-DE"/>
              </w:rPr>
              <w:t>The s</w:t>
            </w:r>
            <w:r w:rsidR="00FD54FC" w:rsidRPr="002A677E">
              <w:rPr>
                <w:rFonts w:ascii="Times New Roman" w:hAnsi="Times New Roman"/>
                <w:bCs/>
                <w:sz w:val="24"/>
                <w:lang w:eastAsia="de-DE"/>
              </w:rPr>
              <w:t xml:space="preserve">hort positions </w:t>
            </w:r>
            <w:r w:rsidRPr="002A677E">
              <w:rPr>
                <w:rFonts w:ascii="Times New Roman" w:hAnsi="Times New Roman"/>
                <w:bCs/>
                <w:sz w:val="24"/>
                <w:lang w:eastAsia="de-DE"/>
              </w:rPr>
              <w:t xml:space="preserve">reported in this column can be netted against </w:t>
            </w:r>
            <w:r w:rsidR="00FD54FC" w:rsidRPr="002A677E">
              <w:rPr>
                <w:rFonts w:ascii="Times New Roman" w:hAnsi="Times New Roman"/>
                <w:bCs/>
                <w:sz w:val="24"/>
                <w:lang w:eastAsia="de-DE"/>
              </w:rPr>
              <w:t xml:space="preserve">positions </w:t>
            </w:r>
            <w:r w:rsidRPr="002A677E">
              <w:rPr>
                <w:rFonts w:ascii="Times New Roman" w:hAnsi="Times New Roman"/>
                <w:bCs/>
                <w:sz w:val="24"/>
                <w:lang w:eastAsia="de-DE"/>
              </w:rPr>
              <w:t xml:space="preserve">with </w:t>
            </w:r>
            <w:r w:rsidR="00FD54FC" w:rsidRPr="002A677E">
              <w:rPr>
                <w:rFonts w:ascii="Times New Roman" w:hAnsi="Times New Roman"/>
                <w:bCs/>
                <w:sz w:val="24"/>
                <w:lang w:eastAsia="de-DE"/>
              </w:rPr>
              <w:t>the same residual maturity and immediate counterparty</w:t>
            </w:r>
            <w:r w:rsidRPr="002A677E">
              <w:rPr>
                <w:rFonts w:ascii="Times New Roman" w:hAnsi="Times New Roman"/>
                <w:bCs/>
                <w:sz w:val="24"/>
                <w:lang w:eastAsia="de-DE"/>
              </w:rPr>
              <w:t xml:space="preserve"> and denominated in the same currency that are reported in </w:t>
            </w:r>
            <w:r w:rsidR="00703C87" w:rsidRPr="002A677E">
              <w:rPr>
                <w:rFonts w:ascii="Times New Roman" w:hAnsi="Times New Roman"/>
                <w:bCs/>
                <w:sz w:val="24"/>
                <w:lang w:eastAsia="de-DE"/>
              </w:rPr>
              <w:t xml:space="preserve">columns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120</w:t>
            </w:r>
            <w:r w:rsidRPr="002A677E">
              <w:rPr>
                <w:rFonts w:ascii="Times New Roman" w:hAnsi="Times New Roman"/>
                <w:bCs/>
                <w:sz w:val="24"/>
                <w:lang w:eastAsia="de-DE"/>
              </w:rPr>
              <w:t xml:space="preserve"> in order to obtain the net position that is reported in column 0020</w:t>
            </w:r>
            <w:r w:rsidR="00FD54FC" w:rsidRPr="002A677E">
              <w:rPr>
                <w:rFonts w:ascii="Times New Roman" w:hAnsi="Times New Roman"/>
                <w:bCs/>
                <w:sz w:val="24"/>
                <w:lang w:eastAsia="de-DE"/>
              </w:rPr>
              <w:t>.</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that arise when the institution sells the securities acquired in reverse repurchase loans</w:t>
            </w:r>
            <w:r w:rsidR="00590386" w:rsidRPr="002A677E">
              <w:rPr>
                <w:rFonts w:ascii="Times New Roman" w:hAnsi="Times New Roman"/>
                <w:bCs/>
                <w:sz w:val="24"/>
                <w:lang w:eastAsia="de-DE"/>
              </w:rPr>
              <w:t xml:space="preserve">, </w:t>
            </w:r>
            <w:r w:rsidR="00B14253" w:rsidRPr="002A677E">
              <w:rPr>
                <w:rFonts w:ascii="Times New Roman" w:hAnsi="Times New Roman"/>
                <w:bCs/>
                <w:sz w:val="24"/>
                <w:lang w:eastAsia="de-DE"/>
              </w:rPr>
              <w:t xml:space="preserve">where the </w:t>
            </w:r>
            <w:r w:rsidRPr="002A677E">
              <w:rPr>
                <w:rFonts w:ascii="Times New Roman" w:hAnsi="Times New Roman"/>
                <w:bCs/>
                <w:sz w:val="24"/>
                <w:lang w:eastAsia="de-DE"/>
              </w:rPr>
              <w:t>direct counterparty</w:t>
            </w:r>
            <w:r w:rsidR="00590386" w:rsidRPr="002A677E">
              <w:rPr>
                <w:rFonts w:ascii="Times New Roman" w:hAnsi="Times New Roman"/>
                <w:bCs/>
                <w:sz w:val="24"/>
                <w:lang w:eastAsia="de-DE"/>
              </w:rPr>
              <w:t xml:space="preserve"> of those securities</w:t>
            </w:r>
            <w:r w:rsidRPr="002A677E">
              <w:rPr>
                <w:rFonts w:ascii="Times New Roman" w:hAnsi="Times New Roman"/>
                <w:bCs/>
                <w:sz w:val="24"/>
                <w:lang w:eastAsia="de-DE"/>
              </w:rPr>
              <w:t xml:space="preserve"> is a General government</w:t>
            </w:r>
            <w:r w:rsidR="00590386" w:rsidRPr="002A677E">
              <w:rPr>
                <w:rFonts w:ascii="Times New Roman" w:hAnsi="Times New Roman"/>
                <w:bCs/>
                <w:sz w:val="24"/>
                <w:lang w:eastAsia="de-DE"/>
              </w:rPr>
              <w:t xml:space="preserve"> and</w:t>
            </w:r>
            <w:r w:rsidRPr="002A677E">
              <w:rPr>
                <w:rFonts w:ascii="Times New Roman" w:hAnsi="Times New Roman"/>
                <w:bCs/>
                <w:sz w:val="24"/>
                <w:lang w:eastAsia="de-DE"/>
              </w:rPr>
              <w:t xml:space="preserve"> that are included in the held for trading or trading financial assets accounting portfolios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or </w:t>
            </w:r>
            <w:r w:rsidR="00535792" w:rsidRPr="002A677E">
              <w:rPr>
                <w:rFonts w:ascii="Times New Roman" w:hAnsi="Times New Roman"/>
                <w:bCs/>
                <w:sz w:val="24"/>
                <w:lang w:eastAsia="de-DE"/>
              </w:rPr>
              <w:t>0</w:t>
            </w:r>
            <w:r w:rsidRPr="002A677E">
              <w:rPr>
                <w:rFonts w:ascii="Times New Roman" w:hAnsi="Times New Roman"/>
                <w:bCs/>
                <w:sz w:val="24"/>
                <w:lang w:eastAsia="de-DE"/>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that arise when the sold securities were borrowed in a securities lending transition shall not be included in this column.</w:t>
            </w:r>
            <w:r w:rsidR="00730040" w:rsidRPr="002A677E">
              <w:rPr>
                <w:rFonts w:ascii="Times New Roman" w:hAnsi="Times New Roman"/>
                <w:bCs/>
                <w:sz w:val="24"/>
                <w:lang w:eastAsia="de-DE"/>
              </w:rPr>
              <w:t xml:space="preserv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2F78EA" w:rsidRPr="002A677E">
              <w:rPr>
                <w:rFonts w:ascii="Times New Roman" w:hAnsi="Times New Roman"/>
                <w:bCs/>
                <w:sz w:val="24"/>
                <w:lang w:eastAsia="de-DE"/>
              </w:rPr>
              <w:t xml:space="preserve"> (paragraphs 70 and 71 of Part 2 of Annex V to this Implementing Regulation)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730040" w:rsidRPr="002A677E">
              <w:rPr>
                <w:rFonts w:ascii="Times New Roman" w:hAnsi="Times New Roman"/>
                <w:bCs/>
                <w:sz w:val="24"/>
                <w:lang w:eastAsia="de-DE"/>
              </w:rPr>
              <w:t xml:space="preserv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2F78EA" w:rsidRPr="002A677E">
              <w:rPr>
                <w:rFonts w:ascii="Times New Roman" w:hAnsi="Times New Roman"/>
                <w:bCs/>
                <w:sz w:val="24"/>
                <w:lang w:eastAsia="de-DE"/>
              </w:rPr>
              <w:t xml:space="preserve"> (paragraph 69 of Part 2 of Annex V to this Implementing Regulation)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and </w:t>
            </w:r>
            <w:r w:rsidR="00535792" w:rsidRPr="002A677E">
              <w:rPr>
                <w:rFonts w:ascii="Times New Roman" w:hAnsi="Times New Roman"/>
                <w:bCs/>
                <w:sz w:val="24"/>
                <w:lang w:eastAsia="de-DE"/>
              </w:rPr>
              <w:t>0</w:t>
            </w:r>
            <w:r w:rsidRPr="002A677E">
              <w:rPr>
                <w:rFonts w:ascii="Times New Roman" w:hAnsi="Times New Roman"/>
                <w:bCs/>
                <w:sz w:val="24"/>
                <w:lang w:eastAsia="de-DE"/>
              </w:rPr>
              <w:t>070.</w:t>
            </w:r>
          </w:p>
          <w:p w14:paraId="2D99AB15" w14:textId="77777777"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derivative positions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200 to </w:t>
            </w:r>
            <w:r w:rsidR="00535792" w:rsidRPr="002A677E">
              <w:rPr>
                <w:rFonts w:ascii="Times New Roman" w:hAnsi="Times New Roman"/>
                <w:bCs/>
                <w:sz w:val="24"/>
                <w:lang w:eastAsia="de-DE"/>
              </w:rPr>
              <w:t>0</w:t>
            </w:r>
            <w:r w:rsidRPr="002A677E">
              <w:rPr>
                <w:rFonts w:ascii="Times New Roman" w:hAnsi="Times New Roman"/>
                <w:bCs/>
                <w:sz w:val="24"/>
                <w:lang w:eastAsia="de-DE"/>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are held for trading</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or are included in the trading portfolio under IFRS and national GAAP based on </w:t>
            </w:r>
            <w:r w:rsidR="00B64EB6"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lastRenderedPageBreak/>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notional amount, as defined in </w:t>
            </w:r>
            <w:r w:rsidR="002F78EA" w:rsidRPr="002A677E">
              <w:rPr>
                <w:rFonts w:ascii="Times New Roman" w:hAnsi="Times New Roman"/>
                <w:bCs/>
                <w:sz w:val="24"/>
                <w:lang w:eastAsia="de-DE"/>
              </w:rPr>
              <w:t>paragraphs 133 to 135 of Part 2 of Annex V to this Implementing Regulation</w:t>
            </w:r>
            <w:r w:rsidR="00E863C1" w:rsidRPr="002A677E">
              <w:rPr>
                <w:rFonts w:ascii="Times New Roman" w:hAnsi="Times New Roman"/>
                <w:bCs/>
                <w:sz w:val="24"/>
                <w:lang w:eastAsia="de-DE"/>
              </w:rPr>
              <w:t>,</w:t>
            </w:r>
            <w:r w:rsidRPr="002A677E">
              <w:rPr>
                <w:rFonts w:ascii="Times New Roman" w:hAnsi="Times New Roman"/>
                <w:bCs/>
                <w:sz w:val="24"/>
                <w:lang w:eastAsia="de-DE"/>
              </w:rPr>
              <w:t xml:space="preserve"> of all derivative contracts concluded and not yet settled at the reporting reference date</w:t>
            </w:r>
            <w:r w:rsidR="007715D6" w:rsidRPr="002A677E">
              <w:rPr>
                <w:rFonts w:ascii="Times New Roman" w:hAnsi="Times New Roman"/>
                <w:bCs/>
                <w:sz w:val="24"/>
                <w:lang w:eastAsia="de-DE"/>
              </w:rPr>
              <w:t>,</w:t>
            </w:r>
            <w:r w:rsidRPr="002A677E">
              <w:rPr>
                <w:rFonts w:ascii="Times New Roman" w:hAnsi="Times New Roman"/>
                <w:bCs/>
                <w:sz w:val="24"/>
                <w:lang w:eastAsia="de-DE"/>
              </w:rPr>
              <w:t xml:space="preserve"> w</w:t>
            </w:r>
            <w:r w:rsidR="00B14253" w:rsidRPr="002A677E">
              <w:rPr>
                <w:rFonts w:ascii="Times New Roman" w:hAnsi="Times New Roman"/>
                <w:bCs/>
                <w:sz w:val="24"/>
                <w:lang w:eastAsia="de-DE"/>
              </w:rPr>
              <w:t>here the</w:t>
            </w:r>
            <w:r w:rsidRPr="002A677E">
              <w:rPr>
                <w:rFonts w:ascii="Times New Roman" w:hAnsi="Times New Roman"/>
                <w:bCs/>
                <w:sz w:val="24"/>
                <w:lang w:eastAsia="de-DE"/>
              </w:rPr>
              <w:t xml:space="preserve"> counterparty is a General government as defined i</w:t>
            </w:r>
            <w:r w:rsidRPr="002A677E" w:rsidDel="009C11E5">
              <w:rPr>
                <w:rFonts w:ascii="Times New Roman" w:hAnsi="Times New Roman"/>
                <w:bCs/>
                <w:sz w:val="24"/>
                <w:lang w:eastAsia="de-DE"/>
              </w:rPr>
              <w:t>n paragraph</w:t>
            </w:r>
            <w:r w:rsidR="007715D6"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002451F4"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of this Annex</w:t>
            </w:r>
            <w:r w:rsidR="007715D6" w:rsidRPr="002A677E">
              <w:rPr>
                <w:rFonts w:ascii="Times New Roman" w:hAnsi="Times New Roman"/>
                <w:bCs/>
                <w:sz w:val="24"/>
                <w:lang w:eastAsia="de-DE"/>
              </w:rPr>
              <w:t xml:space="preserve"> and the </w:t>
            </w:r>
            <w:r w:rsidRPr="002A677E">
              <w:rPr>
                <w:rFonts w:ascii="Times New Roman" w:hAnsi="Times New Roman"/>
                <w:bCs/>
                <w:sz w:val="24"/>
                <w:lang w:eastAsia="de-DE"/>
              </w:rPr>
              <w:t xml:space="preserve">fair value </w:t>
            </w:r>
            <w:r w:rsidR="007715D6" w:rsidRPr="002A677E">
              <w:rPr>
                <w:rFonts w:ascii="Times New Roman" w:hAnsi="Times New Roman"/>
                <w:bCs/>
                <w:sz w:val="24"/>
                <w:lang w:eastAsia="de-DE"/>
              </w:rPr>
              <w:t xml:space="preserve">of the derivative </w:t>
            </w:r>
            <w:r w:rsidRPr="002A677E">
              <w:rPr>
                <w:rFonts w:ascii="Times New Roman" w:hAnsi="Times New Roman"/>
                <w:bCs/>
                <w:sz w:val="24"/>
                <w:lang w:eastAsia="de-DE"/>
              </w:rPr>
              <w:t>is positive for the institution at the reference date.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w:t>
            </w:r>
            <w:r w:rsidR="00730040" w:rsidRPr="002A677E">
              <w:rPr>
                <w:rFonts w:ascii="Times New Roman" w:hAnsi="Times New Roman"/>
                <w:bCs/>
                <w:sz w:val="24"/>
                <w:lang w:eastAsia="de-DE"/>
              </w:rPr>
              <w:t xml:space="preserv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the derivatives accounted for as financial liabilities at the reporting reference date.</w:t>
            </w:r>
            <w:r w:rsidR="00730040" w:rsidRPr="002A677E">
              <w:rPr>
                <w:rFonts w:ascii="Times New Roman" w:hAnsi="Times New Roman"/>
                <w:bCs/>
                <w:sz w:val="24"/>
                <w:lang w:eastAsia="de-DE"/>
              </w:rPr>
              <w:t xml:space="preserv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w:t>
            </w:r>
            <w:r w:rsidR="002F78EA" w:rsidRPr="002A677E">
              <w:rPr>
                <w:rFonts w:ascii="Times New Roman" w:hAnsi="Times New Roman"/>
                <w:bCs/>
                <w:sz w:val="24"/>
                <w:lang w:eastAsia="de-DE"/>
              </w:rPr>
              <w:t>paragraphs 133 to 135 of Part 2 of Annex V to this Implementing Regulation</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007715D6" w:rsidRPr="002A677E">
              <w:rPr>
                <w:rFonts w:ascii="Times New Roman" w:hAnsi="Times New Roman"/>
                <w:bCs/>
                <w:sz w:val="24"/>
                <w:lang w:eastAsia="de-DE"/>
              </w:rPr>
              <w:t xml:space="preserve">, </w:t>
            </w:r>
            <w:r w:rsidR="00B14253" w:rsidRPr="002A677E">
              <w:rPr>
                <w:rFonts w:ascii="Times New Roman" w:hAnsi="Times New Roman"/>
                <w:bCs/>
                <w:sz w:val="24"/>
                <w:lang w:eastAsia="de-DE"/>
              </w:rPr>
              <w:t>where the</w:t>
            </w:r>
            <w:r w:rsidRPr="002A677E" w:rsidDel="00501397">
              <w:rPr>
                <w:rFonts w:ascii="Times New Roman" w:hAnsi="Times New Roman"/>
                <w:bCs/>
                <w:sz w:val="24"/>
                <w:lang w:eastAsia="de-DE"/>
              </w:rPr>
              <w:t xml:space="preserve"> counterparty is a General government as defined in paragraph</w:t>
            </w:r>
            <w:r w:rsidR="007715D6" w:rsidRPr="002A677E">
              <w:rPr>
                <w:rFonts w:ascii="Times New Roman" w:hAnsi="Times New Roman"/>
                <w:bCs/>
                <w:sz w:val="24"/>
                <w:lang w:eastAsia="de-DE"/>
              </w:rPr>
              <w:t xml:space="preserve">s </w:t>
            </w:r>
            <w:r w:rsidR="00C3070C"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 xml:space="preserve">of </w:t>
            </w:r>
            <w:r w:rsidR="00127986" w:rsidRPr="002A677E">
              <w:rPr>
                <w:rFonts w:ascii="Times New Roman" w:hAnsi="Times New Roman"/>
                <w:bCs/>
                <w:sz w:val="24"/>
                <w:lang w:eastAsia="de-DE"/>
              </w:rPr>
              <w:lastRenderedPageBreak/>
              <w:t>this Annex</w:t>
            </w:r>
            <w:r w:rsidR="007715D6" w:rsidRPr="002A677E">
              <w:rPr>
                <w:rFonts w:ascii="Times New Roman" w:hAnsi="Times New Roman"/>
                <w:bCs/>
                <w:sz w:val="24"/>
                <w:lang w:eastAsia="de-DE"/>
              </w:rPr>
              <w:t xml:space="preserve"> and the </w:t>
            </w:r>
            <w:r w:rsidRPr="002A677E" w:rsidDel="00501397">
              <w:rPr>
                <w:rFonts w:ascii="Times New Roman" w:hAnsi="Times New Roman"/>
                <w:bCs/>
                <w:sz w:val="24"/>
                <w:lang w:eastAsia="de-DE"/>
              </w:rPr>
              <w:t>fair value</w:t>
            </w:r>
            <w:r w:rsidR="007715D6"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w:t>
            </w:r>
            <w:r w:rsidR="007715D6" w:rsidRPr="002A677E">
              <w:rPr>
                <w:rFonts w:ascii="Times New Roman" w:hAnsi="Times New Roman"/>
                <w:bCs/>
                <w:sz w:val="24"/>
                <w:lang w:eastAsia="de-DE"/>
              </w:rPr>
              <w:t xml:space="preserve"> at the reference date</w:t>
            </w:r>
            <w:r w:rsidRPr="002A677E" w:rsidDel="00501397">
              <w:rPr>
                <w:rFonts w:ascii="Times New Roman" w:hAnsi="Times New Roman"/>
                <w:bCs/>
                <w:sz w:val="24"/>
                <w:lang w:eastAsia="de-DE"/>
              </w:rPr>
              <w: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240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of the off-balance sheet item is a General government as defined </w:t>
            </w:r>
            <w:r w:rsidRPr="002A677E" w:rsidDel="00C5148F">
              <w:rPr>
                <w:rFonts w:ascii="Times New Roman" w:hAnsi="Times New Roman"/>
                <w:bCs/>
                <w:sz w:val="24"/>
                <w:lang w:eastAsia="de-DE"/>
              </w:rPr>
              <w:t>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 xml:space="preserve">, nominal amount of the commitments and financial guarantees that are not considered as a derivative in accordance with IFRS or under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w:t>
            </w:r>
            <w:r w:rsidR="002F78EA" w:rsidRPr="002A677E">
              <w:rPr>
                <w:rFonts w:ascii="Times New Roman" w:hAnsi="Times New Roman"/>
                <w:bCs/>
                <w:sz w:val="24"/>
                <w:lang w:eastAsia="de-DE"/>
              </w:rPr>
              <w:t>paragraphs 102-119 of Part 2 of Annex V to this Implementing Regulation</w:t>
            </w:r>
            <w:r w:rsidRPr="002A677E">
              <w:rPr>
                <w:rFonts w:ascii="Times New Roman" w:hAnsi="Times New Roman"/>
                <w:bCs/>
                <w:sz w:val="24"/>
                <w:lang w:eastAsia="de-DE"/>
              </w:rPr>
              <w:t>,).</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w:t>
            </w:r>
            <w:r w:rsidR="002F78EA" w:rsidRPr="002A677E">
              <w:rPr>
                <w:rFonts w:ascii="Times New Roman" w:hAnsi="Times New Roman"/>
                <w:bCs/>
                <w:sz w:val="24"/>
                <w:lang w:eastAsia="de-DE"/>
              </w:rPr>
              <w:t>paragraphs 43 and 44 of Part 2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2A677E">
              <w:rPr>
                <w:rFonts w:ascii="Times New Roman" w:hAnsi="Times New Roman"/>
                <w:bCs/>
                <w:sz w:val="24"/>
                <w:lang w:eastAsia="de-DE"/>
              </w:rPr>
              <w:t xml:space="preserv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2</w:t>
            </w:r>
            <w:r w:rsidR="00FD54FC" w:rsidRPr="002A677E">
              <w:rPr>
                <w:rFonts w:ascii="Times New Roman" w:hAnsi="Times New Roman"/>
                <w:bCs/>
                <w:sz w:val="24"/>
                <w:lang w:eastAsia="de-DE"/>
              </w:rPr>
              <w:t>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sidR="00937A7D">
              <w:rPr>
                <w:rFonts w:ascii="Times New Roman" w:hAnsi="Times New Roman"/>
                <w:bCs/>
                <w:sz w:val="24"/>
                <w:lang w:eastAsia="de-DE"/>
              </w:rPr>
              <w:t xml:space="preserve"> </w:t>
            </w:r>
            <w:r w:rsidR="005C7542">
              <w:rPr>
                <w:rFonts w:ascii="Times New Roman" w:hAnsi="Times New Roman"/>
                <w:bCs/>
                <w:sz w:val="24"/>
                <w:lang w:eastAsia="de-DE"/>
              </w:rPr>
              <w:t>‘</w:t>
            </w:r>
            <w:r w:rsidR="00937A7D">
              <w:rPr>
                <w:rFonts w:ascii="Times New Roman" w:hAnsi="Times New Roman"/>
                <w:bCs/>
                <w:sz w:val="24"/>
                <w:lang w:eastAsia="de-DE"/>
              </w:rPr>
              <w:t>Liabilities</w:t>
            </w:r>
            <w:r w:rsidR="005C7542">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(6)(c) and ‘Off balance sheet items’, </w:t>
            </w:r>
            <w:r w:rsidRPr="002A677E">
              <w:rPr>
                <w:rFonts w:ascii="Times New Roman" w:hAnsi="Times New Roman"/>
                <w:bCs/>
                <w:sz w:val="24"/>
                <w:lang w:eastAsia="de-DE"/>
              </w:rPr>
              <w:t xml:space="preserve">Articles 27(11), 28(8) and Article 33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IFRS 9.4.2.1(c)(ii),(d)(ii), 9.5.5.20;IAS 37, IFRS 4</w:t>
            </w:r>
            <w:r w:rsidR="00B83DDE">
              <w:rPr>
                <w:rFonts w:ascii="Times New Roman" w:hAnsi="Times New Roman"/>
                <w:bCs/>
                <w:sz w:val="24"/>
                <w:lang w:eastAsia="de-DE"/>
              </w:rPr>
              <w:t>, p</w:t>
            </w:r>
            <w:r w:rsidR="00FD54FC" w:rsidRPr="002A677E">
              <w:rPr>
                <w:rFonts w:ascii="Times New Roman" w:hAnsi="Times New Roman"/>
                <w:bCs/>
                <w:sz w:val="24"/>
                <w:lang w:eastAsia="de-DE"/>
              </w:rPr>
              <w:t>art 2.</w:t>
            </w:r>
            <w:r w:rsidR="00E863C1" w:rsidRPr="002A677E">
              <w:rPr>
                <w:rFonts w:ascii="Times New Roman" w:hAnsi="Times New Roman"/>
                <w:bCs/>
                <w:sz w:val="24"/>
                <w:lang w:eastAsia="de-DE"/>
              </w:rPr>
              <w:t>11</w:t>
            </w:r>
            <w:r w:rsidRPr="002A677E">
              <w:rPr>
                <w:rFonts w:ascii="Times New Roman" w:hAnsi="Times New Roman"/>
                <w:bCs/>
                <w:sz w:val="24"/>
                <w:lang w:eastAsia="de-DE"/>
              </w:rPr>
              <w:t xml:space="preserve"> of Annex V to this Implementing Regulation</w:t>
            </w:r>
            <w:r w:rsidR="00E863C1" w:rsidRPr="002A677E">
              <w:rPr>
                <w:rFonts w:ascii="Times New Roman" w:hAnsi="Times New Roman"/>
                <w:bCs/>
                <w:sz w:val="24"/>
                <w:lang w:eastAsia="de-DE"/>
              </w:rPr>
              <w:t>.</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Provisions on all off-balance sheet exposures regardless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measured</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except those that are measured at fair value through profit or loss in accordance with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2A677E">
              <w:rPr>
                <w:rFonts w:ascii="Times New Roman" w:hAnsi="Times New Roman"/>
                <w:bCs/>
                <w:sz w:val="24"/>
                <w:lang w:eastAsia="de-DE"/>
              </w:rPr>
              <w:t>0</w:t>
            </w:r>
            <w:r w:rsidRPr="002A677E">
              <w:rPr>
                <w:rFonts w:ascii="Times New Roman" w:hAnsi="Times New Roman"/>
                <w:bCs/>
                <w:sz w:val="24"/>
                <w:lang w:eastAsia="de-DE"/>
              </w:rPr>
              <w:t>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2A677E">
              <w:rPr>
                <w:rFonts w:ascii="Times New Roman" w:hAnsi="Times New Roman"/>
                <w:bCs/>
                <w:sz w:val="24"/>
                <w:lang w:eastAsia="de-DE"/>
              </w:rPr>
              <w:t>paragraph 110 of Part 2 of Annex V to this Implementing Regulation</w:t>
            </w:r>
            <w:r w:rsidRPr="002A677E">
              <w:rPr>
                <w:rFonts w:ascii="Times New Roman" w:hAnsi="Times New Roman"/>
                <w:bCs/>
                <w:sz w:val="24"/>
                <w:lang w:eastAsia="de-DE"/>
              </w:rPr>
              <w:t>)</w:t>
            </w:r>
          </w:p>
          <w:p w14:paraId="7E9DE855" w14:textId="77777777" w:rsidR="00FD54FC" w:rsidRPr="002A677E" w:rsidRDefault="00730040" w:rsidP="00FD54FC">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r w:rsidR="00B74792" w:rsidRPr="002A677E">
              <w:rPr>
                <w:rFonts w:ascii="Times New Roman" w:hAnsi="Times New Roman"/>
                <w:bCs/>
                <w:sz w:val="24"/>
                <w:lang w:eastAsia="de-DE"/>
              </w:rPr>
              <w:t>-</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Credit derivatives that do not meet the definition of financial guarantees </w:t>
            </w:r>
            <w:r w:rsidR="00127986" w:rsidRPr="002A677E">
              <w:rPr>
                <w:rFonts w:ascii="Times New Roman" w:hAnsi="Times New Roman"/>
                <w:bCs/>
                <w:sz w:val="24"/>
                <w:lang w:eastAsia="de-DE"/>
              </w:rPr>
              <w:t>in Annex V</w:t>
            </w:r>
            <w:r w:rsidR="00B83DDE">
              <w:rPr>
                <w:rFonts w:ascii="Times New Roman" w:hAnsi="Times New Roman"/>
                <w:bCs/>
                <w:sz w:val="24"/>
                <w:lang w:eastAsia="de-DE"/>
              </w:rPr>
              <w:t>, p</w:t>
            </w:r>
            <w:r w:rsidR="00127986" w:rsidRPr="002A677E">
              <w:rPr>
                <w:rFonts w:ascii="Times New Roman" w:hAnsi="Times New Roman"/>
                <w:bCs/>
                <w:sz w:val="24"/>
                <w:lang w:eastAsia="de-DE"/>
              </w:rPr>
              <w:t>art 2</w:t>
            </w:r>
            <w:r w:rsidR="00B83DDE">
              <w:rPr>
                <w:rFonts w:ascii="Times New Roman" w:hAnsi="Times New Roman"/>
                <w:bCs/>
                <w:sz w:val="24"/>
                <w:lang w:eastAsia="de-DE"/>
              </w:rPr>
              <w:t>, p</w:t>
            </w:r>
            <w:r w:rsidR="00127986" w:rsidRPr="002A677E">
              <w:rPr>
                <w:rFonts w:ascii="Times New Roman" w:hAnsi="Times New Roman"/>
                <w:bCs/>
                <w:sz w:val="24"/>
                <w:lang w:eastAsia="de-DE"/>
              </w:rPr>
              <w:t xml:space="preserve">aragraph 58 </w:t>
            </w:r>
            <w:r w:rsidRPr="002A677E">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2A677E">
              <w:rPr>
                <w:rFonts w:ascii="Times New Roman" w:hAnsi="Times New Roman"/>
                <w:bCs/>
                <w:sz w:val="24"/>
                <w:lang w:eastAsia="de-DE"/>
              </w:rPr>
              <w:t xml:space="preserve"> shall</w:t>
            </w:r>
            <w:r w:rsidRPr="002A677E">
              <w:rPr>
                <w:rFonts w:ascii="Times New Roman" w:hAnsi="Times New Roman"/>
                <w:bCs/>
                <w:sz w:val="24"/>
                <w:lang w:eastAsia="de-DE"/>
              </w:rPr>
              <w:t xml:space="preserve"> be reported.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 xml:space="preserve">These columns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not be reported for exposures broken down by risk, regulatory approach and exposure class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w:t>
            </w:r>
            <w:r w:rsidR="0077276E" w:rsidRPr="002A677E">
              <w:rPr>
                <w:rFonts w:ascii="Times New Roman" w:hAnsi="Times New Roman"/>
                <w:bCs/>
                <w:sz w:val="24"/>
                <w:lang w:eastAsia="de-DE"/>
              </w:rPr>
              <w:t>6</w:t>
            </w:r>
            <w:r w:rsidRPr="002A677E">
              <w:rPr>
                <w:rFonts w:ascii="Times New Roman" w:hAnsi="Times New Roman"/>
                <w:bCs/>
                <w:sz w:val="24"/>
                <w:lang w:eastAsia="de-DE"/>
              </w:rPr>
              <w:t>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the amount to be reported in this column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the fair value of the derivatives with a positive fair value at the reference reporting date, independently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w:t>
            </w:r>
            <w:r w:rsidR="00A92F0D" w:rsidRPr="002A677E">
              <w:rPr>
                <w:rFonts w:ascii="Times New Roman" w:hAnsi="Times New Roman"/>
                <w:bCs/>
                <w:sz w:val="24"/>
                <w:lang w:eastAsia="de-DE"/>
              </w:rPr>
              <w:t>shall be</w:t>
            </w:r>
            <w:r w:rsidRPr="002A677E">
              <w:rPr>
                <w:rFonts w:ascii="Times New Roman" w:hAnsi="Times New Roman"/>
                <w:bCs/>
                <w:sz w:val="24"/>
                <w:lang w:eastAsia="de-DE"/>
              </w:rPr>
              <w:t xml:space="preserve"> the carrying amount of the derivatives that are financial liabilities at the reporting date.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the amount to be reported in this column is the fair value of the derivatives with a negative fair value at the reference reporting date, independently </w:t>
            </w:r>
            <w:r w:rsidR="00A92F0D"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r w:rsidRPr="002A677E">
              <w:rPr>
                <w:rFonts w:ascii="Times New Roman" w:hAnsi="Times New Roman"/>
                <w:b/>
                <w:bCs/>
                <w:sz w:val="24"/>
                <w:u w:val="single"/>
                <w:lang w:eastAsia="de-D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Article 166 and </w:t>
            </w:r>
            <w:r w:rsidR="00705025" w:rsidRPr="002A677E">
              <w:rPr>
                <w:rFonts w:ascii="Times New Roman" w:hAnsi="Times New Roman"/>
                <w:bCs/>
                <w:sz w:val="24"/>
                <w:lang w:eastAsia="de-DE"/>
              </w:rPr>
              <w:t xml:space="preserve">the second sentence of </w:t>
            </w:r>
            <w:r w:rsidRPr="002A677E">
              <w:rPr>
                <w:rFonts w:ascii="Times New Roman" w:hAnsi="Times New Roman"/>
                <w:bCs/>
                <w:sz w:val="24"/>
                <w:lang w:eastAsia="de-DE"/>
              </w:rPr>
              <w:t xml:space="preserve">Article 230(1)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A92F0D"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sidR="00402284">
              <w:rPr>
                <w:rFonts w:ascii="Times New Roman" w:hAnsi="Times New Roman"/>
                <w:bCs/>
                <w:sz w:val="24"/>
                <w:lang w:eastAsia="de-DE"/>
              </w:rPr>
              <w:t xml:space="preserve"> </w:t>
            </w:r>
            <w:r w:rsidRPr="002A677E">
              <w:rPr>
                <w:rFonts w:ascii="Times New Roman" w:hAnsi="Times New Roman"/>
                <w:bCs/>
                <w:sz w:val="24"/>
                <w:lang w:eastAsia="de-DE"/>
              </w:rPr>
              <w:t>Article 113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to 5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see Article 153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and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w:t>
            </w:r>
            <w:r w:rsidR="00A85E91" w:rsidRPr="002A677E">
              <w:rPr>
                <w:rFonts w:ascii="Times New Roman" w:hAnsi="Times New Roman"/>
                <w:bCs/>
                <w:sz w:val="24"/>
                <w:lang w:eastAsia="de-DE"/>
              </w:rPr>
              <w:t xml:space="preserve">direct exposures 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9F7C08"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both counterparty credit risk and market risk</w:t>
            </w:r>
            <w:r w:rsidR="009F7C08"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w:t>
            </w:r>
            <w:r w:rsidR="00854146"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not be considered for the purposes of this column, as the value in this column is based solely on direct exposures.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w:t>
            </w:r>
            <w:r w:rsidR="00FD38B8" w:rsidRPr="002A677E">
              <w:rPr>
                <w:rFonts w:ascii="Times New Roman" w:hAnsi="Times New Roman"/>
                <w:bCs/>
                <w:sz w:val="24"/>
                <w:lang w:eastAsia="de-DE"/>
              </w:rPr>
              <w:t xml:space="preserve">s </w:t>
            </w:r>
            <w:r w:rsidR="00B65598" w:rsidRPr="002A677E">
              <w:rPr>
                <w:rFonts w:ascii="Times New Roman" w:hAnsi="Times New Roman"/>
                <w:bCs/>
                <w:sz w:val="24"/>
                <w:lang w:eastAsia="de-DE"/>
              </w:rPr>
              <w:t>191</w:t>
            </w:r>
            <w:r w:rsidR="00FD38B8" w:rsidRPr="002A677E">
              <w:rPr>
                <w:rFonts w:ascii="Times New Roman" w:hAnsi="Times New Roman"/>
                <w:bCs/>
                <w:sz w:val="24"/>
                <w:lang w:eastAsia="de-DE"/>
              </w:rPr>
              <w:t xml:space="preserve"> to </w:t>
            </w:r>
            <w:r w:rsidR="00B65598" w:rsidRPr="002A677E">
              <w:rPr>
                <w:rFonts w:ascii="Times New Roman" w:hAnsi="Times New Roman"/>
                <w:bCs/>
                <w:sz w:val="24"/>
                <w:lang w:eastAsia="de-DE"/>
              </w:rPr>
              <w:t>196</w:t>
            </w:r>
            <w:r w:rsidR="00127986" w:rsidRPr="002A677E">
              <w:rPr>
                <w:rFonts w:ascii="Times New Roman" w:hAnsi="Times New Roman"/>
                <w:bCs/>
                <w:sz w:val="24"/>
                <w:lang w:eastAsia="de-DE"/>
              </w:rPr>
              <w:t xml:space="preserve"> of this Annex</w:t>
            </w:r>
            <w:r w:rsidR="00A92F0D" w:rsidRPr="002A677E">
              <w:rPr>
                <w:rFonts w:ascii="Times New Roman" w:hAnsi="Times New Roman"/>
                <w:bCs/>
                <w:sz w:val="24"/>
                <w:lang w:eastAsia="de-DE"/>
              </w:rPr>
              <w:t>.</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r w:rsidRPr="002A677E">
              <w:rPr>
                <w:rFonts w:ascii="Times New Roman" w:hAnsi="Times New Roman"/>
                <w:bCs/>
                <w:sz w:val="24"/>
                <w:lang w:eastAsia="de-DE"/>
              </w:rPr>
              <w:t>0</w:t>
            </w:r>
            <w:r w:rsidR="00FD54FC" w:rsidRPr="002A677E">
              <w:rPr>
                <w:rFonts w:ascii="Times New Roman" w:hAnsi="Times New Roman"/>
                <w:bCs/>
                <w:sz w:val="24"/>
                <w:lang w:eastAsia="de-DE"/>
              </w:rPr>
              <w:t>15</w:t>
            </w:r>
            <w:r w:rsidR="00A85E91" w:rsidRPr="002A677E">
              <w:rPr>
                <w:rFonts w:ascii="Times New Roman" w:hAnsi="Times New Roman"/>
                <w:bCs/>
                <w:sz w:val="24"/>
                <w:lang w:eastAsia="de-DE"/>
              </w:rPr>
              <w:t>5</w:t>
            </w:r>
          </w:p>
        </w:tc>
        <w:tc>
          <w:tcPr>
            <w:tcW w:w="8701" w:type="dxa"/>
          </w:tcPr>
          <w:p w14:paraId="5791F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w:t>
            </w:r>
            <w:r w:rsidR="00E67B4A" w:rsidRPr="002A677E">
              <w:rPr>
                <w:rFonts w:ascii="Times New Roman" w:hAnsi="Times New Roman"/>
                <w:bCs/>
                <w:sz w:val="24"/>
                <w:lang w:eastAsia="de-DE"/>
              </w:rPr>
              <w:t>,</w:t>
            </w:r>
            <w:r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II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w:t>
            </w:r>
            <w:r w:rsidR="00542EAE" w:rsidRPr="002A677E">
              <w:rPr>
                <w:rFonts w:ascii="Times New Roman" w:hAnsi="Times New Roman"/>
                <w:bCs/>
                <w:sz w:val="24"/>
                <w:lang w:eastAsia="de-DE"/>
              </w:rPr>
              <w:t xml:space="preserve">both </w:t>
            </w:r>
            <w:r w:rsidRPr="002A677E">
              <w:rPr>
                <w:rFonts w:ascii="Times New Roman" w:hAnsi="Times New Roman"/>
                <w:bCs/>
                <w:sz w:val="24"/>
                <w:lang w:eastAsia="de-DE"/>
              </w:rPr>
              <w:t>the non-trading book</w:t>
            </w:r>
            <w:r w:rsidR="00542EAE" w:rsidRPr="002A677E">
              <w:rPr>
                <w:rFonts w:ascii="Times New Roman" w:hAnsi="Times New Roman"/>
                <w:bCs/>
                <w:sz w:val="24"/>
                <w:lang w:eastAsia="de-DE"/>
              </w:rPr>
              <w:t xml:space="preserve"> and </w:t>
            </w:r>
            <w:r w:rsidR="00CB256D" w:rsidRPr="002A677E">
              <w:rPr>
                <w:rFonts w:ascii="Times New Roman" w:hAnsi="Times New Roman"/>
                <w:bCs/>
                <w:sz w:val="24"/>
                <w:lang w:eastAsia="de-DE"/>
              </w:rPr>
              <w:t xml:space="preserve">the </w:t>
            </w:r>
            <w:r w:rsidR="00542EAE" w:rsidRPr="002A677E">
              <w:rPr>
                <w:rFonts w:ascii="Times New Roman" w:hAnsi="Times New Roman"/>
                <w:bCs/>
                <w:sz w:val="24"/>
                <w:lang w:eastAsia="de-DE"/>
              </w:rPr>
              <w:t>trading book</w:t>
            </w:r>
            <w:r w:rsidRPr="002A677E">
              <w:rPr>
                <w:rFonts w:ascii="Times New Roman" w:hAnsi="Times New Roman"/>
                <w:bCs/>
                <w:sz w:val="24"/>
                <w:lang w:eastAsia="de-DE"/>
              </w:rPr>
              <w:t xml:space="preserve"> subject to a capital charge for counterparty credit risk.</w:t>
            </w:r>
            <w:r w:rsidR="00730040" w:rsidRPr="002A677E">
              <w:rPr>
                <w:rFonts w:ascii="Times New Roman" w:hAnsi="Times New Roman"/>
                <w:bCs/>
                <w:sz w:val="24"/>
                <w:lang w:eastAsia="de-DE"/>
              </w:rPr>
              <w:t xml:space="preserv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542EAE"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w:t>
            </w:r>
            <w:r w:rsidR="00542EAE" w:rsidRPr="002A677E">
              <w:rPr>
                <w:rFonts w:ascii="Times New Roman" w:hAnsi="Times New Roman"/>
                <w:bCs/>
                <w:sz w:val="24"/>
                <w:lang w:eastAsia="de-DE"/>
              </w:rPr>
              <w:t xml:space="preserve"> own funds requirements for</w:t>
            </w:r>
            <w:r w:rsidRPr="002A677E">
              <w:rPr>
                <w:rFonts w:ascii="Times New Roman" w:hAnsi="Times New Roman"/>
                <w:bCs/>
                <w:sz w:val="24"/>
                <w:lang w:eastAsia="de-DE"/>
              </w:rPr>
              <w:t xml:space="preserve"> both counterparty credit risk and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542EAE" w:rsidRPr="002A677E">
              <w:rPr>
                <w:rFonts w:ascii="Times New Roman" w:hAnsi="Times New Roman"/>
                <w:bCs/>
                <w:sz w:val="24"/>
                <w:lang w:eastAsia="de-DE"/>
              </w:rPr>
              <w:t>: the</w:t>
            </w:r>
            <w:r w:rsidRPr="002A677E">
              <w:rPr>
                <w:rFonts w:ascii="Times New Roman" w:hAnsi="Times New Roman"/>
                <w:bCs/>
                <w:sz w:val="24"/>
                <w:lang w:eastAsia="de-DE"/>
              </w:rPr>
              <w:t xml:space="preserv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credit risk rows, while the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the market risk row.</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114</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 xml:space="preserve">Exposures to General governments that are regional governments or local authorities. These </w:t>
            </w:r>
            <w:r w:rsidR="006E5D07" w:rsidRPr="002A677E">
              <w:rPr>
                <w:rFonts w:ascii="Times New Roman" w:hAnsi="Times New Roman"/>
                <w:bCs/>
                <w:sz w:val="24"/>
                <w:lang w:eastAsia="de-DE"/>
              </w:rPr>
              <w:t>exposures</w:t>
            </w:r>
            <w:r w:rsidRPr="002A677E">
              <w:rPr>
                <w:rFonts w:ascii="Times New Roman" w:hAnsi="Times New Roman"/>
                <w:bCs/>
                <w:sz w:val="24"/>
                <w:lang w:eastAsia="de-DE"/>
              </w:rPr>
              <w:t xml:space="preserve"> are allocated to the “Regional governments or local authorities”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5</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6</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w:t>
            </w:r>
            <w:r w:rsidR="00FD54FC" w:rsidRPr="002A677E">
              <w:rPr>
                <w:rFonts w:ascii="Times New Roman" w:hAnsi="Times New Roman"/>
                <w:bCs/>
                <w:sz w:val="24"/>
                <w:lang w:eastAsia="de-DE"/>
              </w:rPr>
              <w:t>xposures to General government</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2A677E">
              <w:rPr>
                <w:rFonts w:ascii="Times New Roman" w:hAnsi="Times New Roman"/>
                <w:bCs/>
                <w:sz w:val="24"/>
                <w:lang w:eastAsia="de-DE"/>
              </w:rPr>
              <w:t>s</w:t>
            </w:r>
            <w:r w:rsidR="00FD54FC" w:rsidRPr="002A677E">
              <w:rPr>
                <w:rFonts w:ascii="Times New Roman" w:hAnsi="Times New Roman"/>
                <w:bCs/>
                <w:sz w:val="24"/>
                <w:lang w:eastAsia="de-DE"/>
              </w:rPr>
              <w:t xml:space="preserve"> 112 and 1</w:t>
            </w:r>
            <w:r w:rsidR="002F7E28" w:rsidRPr="002A677E">
              <w:rPr>
                <w:rFonts w:ascii="Times New Roman" w:hAnsi="Times New Roman"/>
                <w:bCs/>
                <w:sz w:val="24"/>
                <w:lang w:eastAsia="de-DE"/>
              </w:rPr>
              <w:t>18</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00FD54FC" w:rsidRPr="002A677E">
              <w:rPr>
                <w:rFonts w:ascii="Times New Roman" w:hAnsi="Times New Roman"/>
                <w:bCs/>
                <w:sz w:val="24"/>
                <w:lang w:eastAsia="de-DE"/>
              </w:rPr>
              <w:t>07</w:t>
            </w:r>
            <w:r w:rsidR="006E5D07" w:rsidRPr="002A677E">
              <w:rPr>
                <w:rFonts w:ascii="Times New Roman" w:hAnsi="Times New Roman"/>
                <w:bCs/>
                <w:sz w:val="24"/>
                <w:lang w:eastAsia="de-DE"/>
              </w:rPr>
              <w:t>.00</w:t>
            </w:r>
            <w:r w:rsidR="00FD54FC"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CE47AF" w:rsidRPr="002A677E">
              <w:rPr>
                <w:rFonts w:ascii="Times New Roman" w:hAnsi="Times New Roman"/>
                <w:bCs/>
                <w:sz w:val="24"/>
                <w:lang w:eastAsia="de-DE"/>
              </w:rPr>
              <w:t>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040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above, which are allocated to SA exposure classes in accordance with Article 112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7D54453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r w:rsidR="005C31F9">
              <w:rPr>
                <w:rFonts w:ascii="Times New Roman" w:hAnsi="Times New Roman"/>
                <w:bCs/>
                <w:sz w:val="24"/>
                <w:lang w:eastAsia="de-DE"/>
              </w:rPr>
              <w:t>a</w:t>
            </w:r>
            <w:r w:rsidRPr="002A677E">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110</w:t>
            </w:r>
          </w:p>
        </w:tc>
        <w:tc>
          <w:tcPr>
            <w:tcW w:w="8701" w:type="dxa"/>
          </w:tcPr>
          <w:p w14:paraId="6E027F9D" w14:textId="24EF791D"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Regional governments or local authorities </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525A3FF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regional governments or local authorities and that are allocated to the “</w:t>
            </w:r>
            <w:r w:rsidR="007512DF">
              <w:rPr>
                <w:rFonts w:ascii="Times New Roman" w:hAnsi="Times New Roman"/>
                <w:bCs/>
                <w:sz w:val="24"/>
                <w:lang w:eastAsia="de-DE"/>
              </w:rPr>
              <w:t>R</w:t>
            </w:r>
            <w:r w:rsidR="007512DF" w:rsidRPr="002A677E">
              <w:rPr>
                <w:rFonts w:ascii="Times New Roman" w:hAnsi="Times New Roman"/>
                <w:bCs/>
                <w:sz w:val="24"/>
                <w:lang w:eastAsia="de-DE"/>
              </w:rPr>
              <w:t>egional governments or local authorities</w:t>
            </w:r>
            <w:r w:rsidRPr="002A677E">
              <w:rPr>
                <w:rFonts w:ascii="Times New Roman" w:hAnsi="Times New Roman"/>
                <w:bCs/>
                <w:sz w:val="24"/>
                <w:lang w:eastAsia="de-DE"/>
              </w:rPr>
              <w:t>” exposure class in accordance with Article 147(</w:t>
            </w:r>
            <w:r w:rsidR="00E65E5D">
              <w:rPr>
                <w:rFonts w:ascii="Times New Roman" w:hAnsi="Times New Roman"/>
                <w:bCs/>
                <w:sz w:val="24"/>
                <w:lang w:eastAsia="de-DE"/>
              </w:rPr>
              <w:t>2</w:t>
            </w:r>
            <w:r w:rsidRPr="002A677E">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4320CF">
              <w:rPr>
                <w:rFonts w:ascii="Times New Roman" w:hAnsi="Times New Roman"/>
                <w:bCs/>
                <w:sz w:val="24"/>
                <w:lang w:eastAsia="de-DE"/>
              </w:rPr>
              <w:t>1</w:t>
            </w:r>
            <w:r w:rsidR="003B09EA" w:rsidRPr="002A677E">
              <w:rPr>
                <w:rFonts w:ascii="Times New Roman" w:hAnsi="Times New Roman"/>
                <w:bCs/>
                <w:sz w:val="24"/>
                <w:lang w:eastAsia="de-DE"/>
              </w:rPr>
              <w:t>)</w:t>
            </w:r>
            <w:r w:rsidR="004320CF">
              <w:rPr>
                <w:rFonts w:ascii="Times New Roman" w:hAnsi="Times New Roman"/>
                <w:bCs/>
                <w:sz w:val="24"/>
                <w:lang w:eastAsia="de-DE"/>
              </w:rPr>
              <w:t xml:space="preserve"> (i</w:t>
            </w:r>
            <w:r w:rsidR="003B09EA" w:rsidRPr="002A677E">
              <w:rPr>
                <w:rFonts w:ascii="Times New Roman" w:hAnsi="Times New Roman"/>
                <w:bCs/>
                <w:sz w:val="24"/>
                <w:lang w:eastAsia="de-DE"/>
              </w:rPr>
              <w:t>)</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1544007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w:t>
            </w:r>
            <w:r w:rsidR="003B09EA" w:rsidRPr="002A677E">
              <w:rPr>
                <w:rFonts w:ascii="Times New Roman" w:hAnsi="Times New Roman"/>
                <w:bCs/>
                <w:sz w:val="24"/>
                <w:lang w:eastAsia="de-DE"/>
              </w:rPr>
              <w:t>Article 147(3</w:t>
            </w:r>
            <w:r w:rsidR="005C31F9">
              <w:rPr>
                <w:rFonts w:ascii="Times New Roman" w:hAnsi="Times New Roman"/>
                <w:bCs/>
                <w:sz w:val="24"/>
                <w:lang w:eastAsia="de-DE"/>
              </w:rPr>
              <w:t>a</w:t>
            </w:r>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701" w:type="dxa"/>
          </w:tcPr>
          <w:p w14:paraId="08D30562" w14:textId="6CD1B422"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Public sector entities </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102A6D8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w:t>
            </w:r>
            <w:r w:rsidR="0007764C">
              <w:rPr>
                <w:rFonts w:ascii="Times New Roman" w:hAnsi="Times New Roman"/>
                <w:bCs/>
                <w:sz w:val="24"/>
                <w:lang w:eastAsia="de-DE"/>
              </w:rPr>
              <w:t>Public sector entitites</w:t>
            </w:r>
            <w:r w:rsidRPr="002A677E">
              <w:rPr>
                <w:rFonts w:ascii="Times New Roman" w:hAnsi="Times New Roman"/>
                <w:bCs/>
                <w:sz w:val="24"/>
                <w:lang w:eastAsia="de-DE"/>
              </w:rPr>
              <w:t xml:space="preserve">” exposure class in accordance with </w:t>
            </w:r>
            <w:r w:rsidR="003B09EA" w:rsidRPr="002A677E">
              <w:rPr>
                <w:rFonts w:ascii="Times New Roman" w:hAnsi="Times New Roman"/>
                <w:bCs/>
                <w:sz w:val="24"/>
                <w:lang w:eastAsia="de-DE"/>
              </w:rPr>
              <w:t>Article 147(</w:t>
            </w:r>
            <w:r w:rsidR="004320CF">
              <w:rPr>
                <w:rFonts w:ascii="Times New Roman" w:hAnsi="Times New Roman"/>
                <w:bCs/>
                <w:sz w:val="24"/>
                <w:lang w:eastAsia="de-DE"/>
              </w:rPr>
              <w:t>2</w:t>
            </w:r>
            <w:r w:rsidR="003B09EA" w:rsidRPr="002A677E">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oint (</w:t>
            </w:r>
            <w:r w:rsidR="004320CF">
              <w:rPr>
                <w:rFonts w:ascii="Times New Roman" w:hAnsi="Times New Roman"/>
                <w:bCs/>
                <w:sz w:val="24"/>
                <w:lang w:eastAsia="de-DE"/>
              </w:rPr>
              <w:t>a1</w:t>
            </w:r>
            <w:r w:rsidR="003B09EA" w:rsidRPr="002A677E">
              <w:rPr>
                <w:rFonts w:ascii="Times New Roman" w:hAnsi="Times New Roman"/>
                <w:bCs/>
                <w:sz w:val="24"/>
                <w:lang w:eastAsia="de-DE"/>
              </w:rPr>
              <w:t>)</w:t>
            </w:r>
            <w:r w:rsidR="004320CF">
              <w:rPr>
                <w:rFonts w:ascii="Times New Roman" w:hAnsi="Times New Roman"/>
                <w:bCs/>
                <w:sz w:val="24"/>
                <w:lang w:eastAsia="de-DE"/>
              </w:rPr>
              <w:t xml:space="preserve"> (ii</w:t>
            </w:r>
            <w:r w:rsidR="003B09EA" w:rsidRPr="002A677E">
              <w:rPr>
                <w:rFonts w:ascii="Times New Roman" w:hAnsi="Times New Roman"/>
                <w:bCs/>
                <w:sz w:val="24"/>
                <w:lang w:eastAsia="de-DE"/>
              </w:rPr>
              <w:t>)</w:t>
            </w:r>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00F75233"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3B09EA" w:rsidRPr="002A677E">
              <w:rPr>
                <w:rFonts w:ascii="Times New Roman" w:hAnsi="Times New Roman"/>
                <w:bCs/>
                <w:sz w:val="24"/>
                <w:lang w:eastAsia="de-DE"/>
              </w:rPr>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(c)</w:t>
            </w:r>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530BA1" w:rsidRPr="002A677E">
              <w:rPr>
                <w:rFonts w:ascii="Times New Roman" w:hAnsi="Times New Roman"/>
                <w:bCs/>
                <w:sz w:val="24"/>
                <w:lang w:eastAsia="de-DE"/>
              </w:rPr>
              <w:t>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Other general government exposures subject to </w:t>
            </w:r>
            <w:r w:rsidR="008241B9" w:rsidRPr="002A677E">
              <w:rPr>
                <w:rFonts w:ascii="Times New Roman" w:hAnsi="Times New Roman"/>
                <w:b/>
                <w:bCs/>
                <w:sz w:val="24"/>
                <w:u w:val="single"/>
                <w:lang w:eastAsia="de-DE"/>
              </w:rPr>
              <w:t>IRB Approach</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090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140 above which are allocated to IRB exposure classes in accordance with Article 147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This row</w:t>
            </w:r>
            <w:r w:rsidR="00FD54FC" w:rsidRPr="002A677E">
              <w:rPr>
                <w:rFonts w:ascii="Times New Roman" w:hAnsi="Times New Roman"/>
                <w:bCs/>
                <w:sz w:val="24"/>
                <w:lang w:eastAsia="de-DE"/>
              </w:rPr>
              <w:t xml:space="preserve"> cover</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positions for which </w:t>
            </w:r>
            <w:r w:rsidR="00262B22" w:rsidRPr="002A677E">
              <w:rPr>
                <w:rFonts w:ascii="Times New Roman" w:hAnsi="Times New Roman"/>
                <w:bCs/>
                <w:sz w:val="24"/>
                <w:lang w:eastAsia="de-DE"/>
              </w:rPr>
              <w:t>one of the following own funds requirements of</w:t>
            </w:r>
            <w:r w:rsidR="00FD54FC" w:rsidRPr="002A677E">
              <w:rPr>
                <w:rFonts w:ascii="Times New Roman" w:hAnsi="Times New Roman"/>
                <w:bCs/>
                <w:sz w:val="24"/>
                <w:lang w:eastAsia="de-DE"/>
              </w:rPr>
              <w:t xml:space="preserve"> Part Three</w:t>
            </w:r>
            <w:r w:rsidR="00E67B4A" w:rsidRPr="002A677E">
              <w:rPr>
                <w:rFonts w:ascii="Times New Roman" w:hAnsi="Times New Roman"/>
                <w:bCs/>
                <w:sz w:val="24"/>
                <w:lang w:eastAsia="de-DE"/>
              </w:rPr>
              <w:t>,</w:t>
            </w:r>
            <w:r w:rsidR="00FD54FC"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IV </w:t>
            </w:r>
            <w:r w:rsidR="00FE28F4" w:rsidRPr="001235ED">
              <w:rPr>
                <w:rFonts w:ascii="Times New Roman" w:hAnsi="Times New Roman"/>
                <w:sz w:val="24"/>
                <w:lang w:val="en-US"/>
              </w:rPr>
              <w:t>of Regulation (EU) No 575/2013</w:t>
            </w:r>
            <w:r w:rsidR="00262B22" w:rsidRPr="002A677E">
              <w:rPr>
                <w:rFonts w:ascii="Times New Roman" w:hAnsi="Times New Roman"/>
                <w:bCs/>
                <w:sz w:val="24"/>
                <w:lang w:eastAsia="de-DE"/>
              </w:rPr>
              <w:t xml:space="preserve"> is calculated:</w:t>
            </w:r>
          </w:p>
          <w:p w14:paraId="3CD907EF" w14:textId="12ECBA53" w:rsidR="00AB5C94" w:rsidRPr="002A677E" w:rsidRDefault="00262B22" w:rsidP="001435E2">
            <w:pPr>
              <w:pStyle w:val="ListParagraph"/>
              <w:numPr>
                <w:ilvl w:val="0"/>
                <w:numId w:val="31"/>
              </w:numPr>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00FE28F4" w:rsidRPr="001235ED">
              <w:rPr>
                <w:rFonts w:ascii="Times New Roman" w:hAnsi="Times New Roman"/>
                <w:sz w:val="24"/>
                <w:lang w:val="en-US"/>
              </w:rPr>
              <w:t>of Regulation (EU) No 575/2013</w:t>
            </w:r>
          </w:p>
          <w:p w14:paraId="431286B4" w14:textId="46B84B34" w:rsidR="00DB3A45" w:rsidRPr="000059B8" w:rsidRDefault="00AB5C94" w:rsidP="001435E2">
            <w:pPr>
              <w:pStyle w:val="ListParagraph"/>
              <w:numPr>
                <w:ilvl w:val="0"/>
                <w:numId w:val="31"/>
              </w:numPr>
              <w:rPr>
                <w:lang w:eastAsia="de-DE"/>
              </w:rPr>
            </w:pPr>
            <w:r w:rsidRPr="002A677E">
              <w:rPr>
                <w:rFonts w:ascii="Times New Roman" w:hAnsi="Times New Roman"/>
                <w:bCs/>
                <w:sz w:val="24"/>
                <w:lang w:eastAsia="de-DE"/>
              </w:rPr>
              <w:t xml:space="preserve">Own funds requirements for specific or general risk in accordance with </w:t>
            </w:r>
            <w:r w:rsidR="00F372AF" w:rsidRPr="002A677E">
              <w:rPr>
                <w:rFonts w:ascii="Times New Roman" w:hAnsi="Times New Roman"/>
                <w:sz w:val="24"/>
                <w:lang w:eastAsia="de-DE"/>
              </w:rPr>
              <w:t>Part Three, Title IV, Chapter 5</w:t>
            </w:r>
            <w:r w:rsidR="00194FA2">
              <w:rPr>
                <w:rFonts w:ascii="Times New Roman" w:hAnsi="Times New Roman"/>
                <w:sz w:val="24"/>
                <w:lang w:eastAsia="de-DE"/>
              </w:rPr>
              <w:t>,</w:t>
            </w:r>
            <w:r w:rsidR="00F372AF" w:rsidRPr="002A677E">
              <w:rPr>
                <w:rFonts w:ascii="Times New Roman" w:hAnsi="Times New Roman"/>
                <w:sz w:val="24"/>
                <w:lang w:eastAsia="de-DE"/>
              </w:rPr>
              <w:t xml:space="preserve"> </w:t>
            </w:r>
            <w:r w:rsidR="00FE28F4" w:rsidRPr="001235ED">
              <w:rPr>
                <w:rFonts w:ascii="Times New Roman" w:hAnsi="Times New Roman"/>
                <w:sz w:val="24"/>
                <w:lang w:val="en-US"/>
              </w:rPr>
              <w:t xml:space="preserve">of </w:t>
            </w:r>
            <w:r w:rsidR="00194FA2">
              <w:rPr>
                <w:rFonts w:ascii="Times New Roman" w:hAnsi="Times New Roman"/>
                <w:sz w:val="24"/>
                <w:lang w:val="en-US"/>
              </w:rPr>
              <w:t>that</w:t>
            </w:r>
            <w:r w:rsidR="00FE28F4" w:rsidRPr="001235ED">
              <w:rPr>
                <w:rFonts w:ascii="Times New Roman" w:hAnsi="Times New Roman"/>
                <w:sz w:val="24"/>
                <w:lang w:val="en-US"/>
              </w:rPr>
              <w:t xml:space="preserve"> Regulation</w:t>
            </w:r>
            <w:r w:rsidR="00194FA2">
              <w:rPr>
                <w:rFonts w:ascii="Times New Roman" w:hAnsi="Times New Roman"/>
                <w:sz w:val="24"/>
                <w:lang w:val="en-US"/>
              </w:rPr>
              <w:t>;</w:t>
            </w:r>
          </w:p>
          <w:p w14:paraId="6D123908" w14:textId="140809A8" w:rsidR="00FD54FC" w:rsidRPr="008735B6" w:rsidRDefault="00DB3A45" w:rsidP="001435E2">
            <w:pPr>
              <w:pStyle w:val="ListParagraph"/>
              <w:numPr>
                <w:ilvl w:val="0"/>
                <w:numId w:val="31"/>
              </w:numPr>
              <w:rPr>
                <w:lang w:eastAsia="de-DE"/>
              </w:rPr>
            </w:pPr>
            <w:r>
              <w:rPr>
                <w:rFonts w:ascii="Times New Roman" w:hAnsi="Times New Roman"/>
                <w:bCs/>
                <w:sz w:val="24"/>
                <w:lang w:val="en-US"/>
              </w:rPr>
              <w:t>Own funds requirements for credit spread risk</w:t>
            </w:r>
            <w:r w:rsidR="0021767F">
              <w:rPr>
                <w:rFonts w:ascii="Times New Roman" w:hAnsi="Times New Roman"/>
                <w:bCs/>
                <w:sz w:val="24"/>
                <w:lang w:val="en-US"/>
              </w:rPr>
              <w:t xml:space="preserve"> or default risk in accordance with Part Three, Title IV, Chapter </w:t>
            </w:r>
            <w:r w:rsidR="00194FA2">
              <w:rPr>
                <w:rFonts w:ascii="Times New Roman" w:hAnsi="Times New Roman"/>
                <w:bCs/>
                <w:sz w:val="24"/>
                <w:lang w:val="en-US"/>
              </w:rPr>
              <w:t>1a of that Regulation</w:t>
            </w:r>
            <w:r w:rsidR="00FD54FC" w:rsidRPr="002A677E">
              <w:rPr>
                <w:rFonts w:ascii="Times New Roman" w:hAnsi="Times New Roman"/>
                <w:bCs/>
                <w:sz w:val="24"/>
                <w:lang w:eastAsia="de-DE"/>
              </w:rPr>
              <w:t>.</w:t>
            </w:r>
            <w:r w:rsidR="00262B22" w:rsidRPr="002A677E">
              <w:rPr>
                <w:rFonts w:ascii="Times New Roman" w:hAnsi="Times New Roman"/>
                <w:bCs/>
                <w:sz w:val="24"/>
                <w:lang w:eastAsia="de-DE"/>
              </w:rPr>
              <w:t xml:space="preserve"> </w:t>
            </w:r>
          </w:p>
          <w:p w14:paraId="44D08DED" w14:textId="0438966A" w:rsidR="00194FA2" w:rsidRPr="002A677E" w:rsidRDefault="00194FA2" w:rsidP="008735B6">
            <w:pPr>
              <w:pStyle w:val="ListParagraph"/>
              <w:numPr>
                <w:ilvl w:val="0"/>
                <w:numId w:val="31"/>
              </w:numPr>
              <w:rPr>
                <w:lang w:eastAsia="de-DE"/>
              </w:rPr>
            </w:pPr>
            <w:r>
              <w:rPr>
                <w:rFonts w:ascii="Times New Roman" w:hAnsi="Times New Roman"/>
                <w:bCs/>
                <w:sz w:val="24"/>
                <w:lang w:val="en-US"/>
              </w:rPr>
              <w:t>Own funds requirements calculated in accordance with Part Three, Title IV, Chapter 1a of that Regulation, where the position is affected by risk factors of the broad risk factor categor</w:t>
            </w:r>
            <w:r w:rsidR="006A6907">
              <w:rPr>
                <w:rFonts w:ascii="Times New Roman" w:hAnsi="Times New Roman"/>
                <w:bCs/>
                <w:sz w:val="24"/>
                <w:lang w:val="en-US"/>
              </w:rPr>
              <w:t xml:space="preserve">y credit spreads or </w:t>
            </w:r>
            <w:r w:rsidR="00E25749">
              <w:rPr>
                <w:rFonts w:ascii="Times New Roman" w:hAnsi="Times New Roman"/>
                <w:bCs/>
                <w:sz w:val="24"/>
                <w:lang w:val="en-US"/>
              </w:rPr>
              <w:t>included in the institution’s internal</w:t>
            </w:r>
            <w:r w:rsidR="006A6907">
              <w:rPr>
                <w:rFonts w:ascii="Times New Roman" w:hAnsi="Times New Roman"/>
                <w:bCs/>
                <w:sz w:val="24"/>
                <w:lang w:val="en-US"/>
              </w:rPr>
              <w:t xml:space="preserve"> default </w:t>
            </w:r>
            <w:r w:rsidR="00E25749">
              <w:rPr>
                <w:rFonts w:ascii="Times New Roman" w:hAnsi="Times New Roman"/>
                <w:bCs/>
                <w:sz w:val="24"/>
                <w:lang w:val="en-US"/>
              </w:rPr>
              <w:t>risk model</w:t>
            </w:r>
            <w:r w:rsidR="00E25749">
              <w:rPr>
                <w:rFonts w:ascii="Times New Roman" w:hAnsi="Times New Roman"/>
                <w:bCs/>
                <w:sz w:val="24"/>
                <w:lang w:eastAsia="de-DE"/>
              </w:rPr>
              <w:t>.</w:t>
            </w:r>
          </w:p>
          <w:p w14:paraId="6F22E69C" w14:textId="13C0B75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CE47AF"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CE47AF"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 xml:space="preserve">both counterparty credit risk and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AB5C94"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CE47AF" w:rsidRPr="002A677E">
              <w:rPr>
                <w:rFonts w:ascii="Times New Roman" w:hAnsi="Times New Roman"/>
                <w:bCs/>
                <w:sz w:val="24"/>
                <w:lang w:eastAsia="de-DE"/>
              </w:rPr>
              <w:t xml:space="preserve">: the </w:t>
            </w:r>
            <w:r w:rsidRPr="002A677E">
              <w:rPr>
                <w:rFonts w:ascii="Times New Roman" w:hAnsi="Times New Roman"/>
                <w:bCs/>
                <w:sz w:val="24"/>
                <w:lang w:eastAsia="de-DE"/>
              </w:rPr>
              <w:t xml:space="preserve">exposure 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be reported in the credit risk rows, while the exposure due to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market risk row.</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[ 0 - 3M [</w:t>
            </w:r>
            <w:r w:rsidR="00FD54FC" w:rsidRPr="002A677E">
              <w:rPr>
                <w:rFonts w:ascii="Times New Roman" w:hAnsi="Times New Roman"/>
                <w:bCs/>
                <w:sz w:val="24"/>
                <w:lang w:eastAsia="de-DE"/>
              </w:rPr>
              <w:t xml:space="preserve"> : Less than 90 days</w:t>
            </w:r>
            <w:r w:rsidR="00854146" w:rsidRPr="002A677E">
              <w:rPr>
                <w:rFonts w:ascii="Times New Roman" w:hAnsi="Times New Roman"/>
                <w:bCs/>
                <w:sz w:val="24"/>
                <w:lang w:eastAsia="de-DE"/>
              </w:rPr>
              <w:t>;</w:t>
            </w:r>
          </w:p>
          <w:p w14:paraId="2395D862"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[ 3M - 1Y [</w:t>
            </w:r>
            <w:r w:rsidR="00FD54FC" w:rsidRPr="002A677E">
              <w:rPr>
                <w:rFonts w:ascii="Times New Roman" w:hAnsi="Times New Roman"/>
                <w:bCs/>
                <w:sz w:val="24"/>
                <w:lang w:eastAsia="de-DE"/>
              </w:rPr>
              <w:t xml:space="preserve"> : Equal or greater than 90 days and less than 365 days</w:t>
            </w:r>
            <w:r w:rsidR="00854146" w:rsidRPr="002A677E">
              <w:rPr>
                <w:rFonts w:ascii="Times New Roman" w:hAnsi="Times New Roman"/>
                <w:bCs/>
                <w:sz w:val="24"/>
                <w:lang w:eastAsia="de-DE"/>
              </w:rPr>
              <w:t>;</w:t>
            </w:r>
          </w:p>
          <w:p w14:paraId="469AE544"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[ 1Y – 2Y [</w:t>
            </w:r>
            <w:r w:rsidR="00FD54FC" w:rsidRPr="002A677E">
              <w:rPr>
                <w:rFonts w:ascii="Times New Roman" w:hAnsi="Times New Roman"/>
                <w:bCs/>
                <w:sz w:val="24"/>
                <w:lang w:eastAsia="de-DE"/>
              </w:rPr>
              <w:t xml:space="preserve"> : Equal or greater than 365 days and less than 730 days</w:t>
            </w:r>
            <w:r w:rsidR="00854146" w:rsidRPr="002A677E">
              <w:rPr>
                <w:rFonts w:ascii="Times New Roman" w:hAnsi="Times New Roman"/>
                <w:bCs/>
                <w:sz w:val="24"/>
                <w:lang w:eastAsia="de-DE"/>
              </w:rPr>
              <w:t>;</w:t>
            </w:r>
          </w:p>
          <w:p w14:paraId="3F5A4E5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[ 2Y – 3Y [</w:t>
            </w:r>
            <w:r w:rsidR="00FD54FC" w:rsidRPr="002A677E">
              <w:rPr>
                <w:rFonts w:ascii="Times New Roman" w:hAnsi="Times New Roman"/>
                <w:bCs/>
                <w:sz w:val="24"/>
                <w:lang w:eastAsia="de-DE"/>
              </w:rPr>
              <w:t xml:space="preserve"> : Equal or greater than 730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w:t>
            </w:r>
            <w:r w:rsidR="00854146" w:rsidRPr="002A677E">
              <w:rPr>
                <w:rFonts w:ascii="Times New Roman" w:hAnsi="Times New Roman"/>
                <w:bCs/>
                <w:sz w:val="24"/>
                <w:lang w:eastAsia="de-DE"/>
              </w:rPr>
              <w:t>;</w:t>
            </w:r>
          </w:p>
          <w:p w14:paraId="067C94B6"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[ 3Y – 5Y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w:t>
            </w:r>
            <w:r w:rsidR="00854146" w:rsidRPr="002A677E">
              <w:rPr>
                <w:rFonts w:ascii="Times New Roman" w:hAnsi="Times New Roman"/>
                <w:bCs/>
                <w:sz w:val="24"/>
                <w:lang w:eastAsia="de-DE"/>
              </w:rPr>
              <w:t>;</w:t>
            </w:r>
          </w:p>
          <w:p w14:paraId="7461BE90"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[ 5Y – 10Y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 and less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4D8A035"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[ 10Y – more</w:t>
            </w:r>
            <w:r w:rsidR="00FD54FC" w:rsidRPr="002A677E">
              <w:rPr>
                <w:rFonts w:ascii="Times New Roman" w:hAnsi="Times New Roman"/>
                <w:bCs/>
                <w:sz w:val="24"/>
                <w:lang w:eastAsia="de-DE"/>
              </w:rPr>
              <w:t xml:space="preserve"> : Equal or greater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lang w:eastAsia="de-DE"/>
              </w:rPr>
            </w:pPr>
            <w:r w:rsidRPr="002A677E">
              <w:rPr>
                <w:rFonts w:ascii="Times New Roman" w:hAnsi="Times New Roman"/>
                <w:bCs/>
                <w:sz w:val="24"/>
                <w:lang w:eastAsia="de-DE"/>
              </w:rPr>
              <w:t xml:space="preserve">Where the contractual date of maturity </w:t>
            </w:r>
            <w:r w:rsidR="009807C6" w:rsidRPr="002A677E">
              <w:rPr>
                <w:rFonts w:ascii="Times New Roman" w:hAnsi="Times New Roman"/>
                <w:bCs/>
                <w:sz w:val="24"/>
                <w:lang w:eastAsia="de-DE"/>
              </w:rPr>
              <w:t>is earlier than</w:t>
            </w:r>
            <w:r w:rsidRPr="002A677E">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Exposures without a residual maturity shall be allocated to the residual maturity bucket on the basis of their period of notice or other contractual indications about the maturity.</w:t>
            </w:r>
            <w:r w:rsidR="00402284">
              <w:rPr>
                <w:rFonts w:ascii="Times New Roman" w:hAnsi="Times New Roman"/>
                <w:bCs/>
                <w:sz w:val="24"/>
                <w:lang w:eastAsia="de-DE"/>
              </w:rPr>
              <w:t xml:space="preserve"> </w:t>
            </w:r>
            <w:r w:rsidRPr="002A677E">
              <w:rPr>
                <w:rFonts w:ascii="Times New Roman" w:hAnsi="Times New Roman"/>
                <w:bCs/>
                <w:sz w:val="24"/>
                <w:lang w:eastAsia="de-DE"/>
              </w:rPr>
              <w:t>If there is no predefined period of notice nor other contractual indication about the maturity, exposures shall be allocated to the residual maturity bucket [10Y – more].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4" w:name="_Toc19715886"/>
      <w:bookmarkStart w:id="775" w:name="_Toc151714526"/>
      <w:r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ab/>
        <w:t>NPE Loss Coverage (NPE LC)</w:t>
      </w:r>
      <w:bookmarkEnd w:id="774"/>
      <w:bookmarkEnd w:id="775"/>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6" w:name="_Toc19715887"/>
      <w:bookmarkStart w:id="777" w:name="_Toc15171452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776"/>
      <w:bookmarkEnd w:id="777"/>
      <w:r w:rsidRPr="002A677E">
        <w:rPr>
          <w:rFonts w:ascii="Times New Roman" w:hAnsi="Times New Roman" w:cs="Times New Roman"/>
          <w:sz w:val="24"/>
          <w:u w:val="none"/>
          <w:lang w:val="en-GB"/>
        </w:rPr>
        <w:t xml:space="preserve"> </w:t>
      </w:r>
    </w:p>
    <w:p w14:paraId="2FE9C10F" w14:textId="2729D319" w:rsidR="00DD00B4" w:rsidRPr="002A677E" w:rsidRDefault="00840A22" w:rsidP="00C112F8">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sidR="005E3D5A">
        <w:rPr>
          <w:noProof/>
        </w:rPr>
        <w:t>202</w:t>
      </w:r>
      <w:r w:rsidRPr="005B57EC">
        <w:rPr>
          <w:noProof/>
        </w:rPr>
        <w:fldChar w:fldCharType="end"/>
      </w:r>
      <w:r w:rsidR="00DD00B4"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00FE28F4" w:rsidRPr="001235ED">
        <w:rPr>
          <w:lang w:val="en-US"/>
        </w:rPr>
        <w:t>of Regulation (EU) No 575/2013</w:t>
      </w:r>
      <w:r w:rsidR="00DD00B4" w:rsidRPr="002A677E">
        <w:rPr>
          <w:noProof/>
        </w:rPr>
        <w:t>.</w:t>
      </w:r>
    </w:p>
    <w:p w14:paraId="35A02FEC" w14:textId="0A942B52" w:rsidR="00DD00B4" w:rsidRPr="002A677E" w:rsidRDefault="00CE7221" w:rsidP="00C112F8">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203</w:t>
      </w:r>
      <w:r w:rsidRPr="005B57EC">
        <w:fldChar w:fldCharType="end"/>
      </w:r>
      <w:r w:rsidR="00771068" w:rsidRPr="002A677E">
        <w:t>.</w:t>
      </w:r>
      <w:r w:rsidR="00DD00B4" w:rsidRPr="002A677E">
        <w:t xml:space="preserve"> The block of templates consists of a set of three templates:</w:t>
      </w:r>
    </w:p>
    <w:p w14:paraId="5D5B318C" w14:textId="0C931439" w:rsidR="00DD00B4" w:rsidRDefault="00DD00B4" w:rsidP="001435E2">
      <w:pPr>
        <w:pStyle w:val="ListParagraph"/>
        <w:numPr>
          <w:ilvl w:val="0"/>
          <w:numId w:val="37"/>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017B9046" w14:textId="5DB0AB84" w:rsidR="00E5715E" w:rsidRPr="002A677E" w:rsidRDefault="00E5715E" w:rsidP="001435E2">
      <w:pPr>
        <w:pStyle w:val="ListParagraph"/>
        <w:numPr>
          <w:ilvl w:val="0"/>
          <w:numId w:val="37"/>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2B5F79D0" w14:textId="7A185E2E" w:rsidR="00DD00B4" w:rsidRPr="002A677E" w:rsidRDefault="00DD00B4" w:rsidP="001435E2">
      <w:pPr>
        <w:pStyle w:val="ListParagraph"/>
        <w:numPr>
          <w:ilvl w:val="0"/>
          <w:numId w:val="37"/>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00F63AB7"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sidR="00402284">
        <w:rPr>
          <w:rFonts w:ascii="Times New Roman" w:hAnsi="Times New Roman"/>
          <w:sz w:val="24"/>
        </w:rPr>
        <w:t xml:space="preserve"> </w:t>
      </w:r>
    </w:p>
    <w:p w14:paraId="08D0E4C0" w14:textId="714E95F8" w:rsidR="00DD00B4" w:rsidRPr="002A677E" w:rsidRDefault="00CE7221" w:rsidP="008C51B5">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204</w:t>
      </w:r>
      <w:r w:rsidRPr="005B57EC">
        <w:fldChar w:fldCharType="end"/>
      </w:r>
      <w:r w:rsidR="00771068" w:rsidRPr="002A677E">
        <w:t>.</w:t>
      </w:r>
      <w:r w:rsidR="00402284">
        <w:t xml:space="preserve"> </w:t>
      </w:r>
      <w:r w:rsidR="00381685" w:rsidRPr="002A677E">
        <w:t xml:space="preserve">The the minimum loss coverage requirement for non-performing exposures </w:t>
      </w:r>
      <w:r w:rsidR="00DD00B4" w:rsidRPr="002A677E">
        <w:t>applies to (i) exposures, originated on and after 26 April 2019, that become non-performing, and (ii) exposures originated before 26 April 2019 when they are modified after that date in a way that increases their exposure value to the obligor (Article 469a</w:t>
      </w:r>
      <w:r w:rsidR="00381685" w:rsidRPr="002A677E">
        <w:t xml:space="preserve"> </w:t>
      </w:r>
      <w:r w:rsidR="00A27BBC" w:rsidRPr="001235ED">
        <w:rPr>
          <w:lang w:val="en-US"/>
        </w:rPr>
        <w:t>of Regulation (EU) No 575/2013</w:t>
      </w:r>
      <w:r w:rsidR="00DD00B4" w:rsidRPr="002A677E">
        <w:t>), that become non-performing.</w:t>
      </w:r>
    </w:p>
    <w:p w14:paraId="50E45877" w14:textId="6EDC393C" w:rsidR="00DD00B4" w:rsidRPr="002A677E" w:rsidRDefault="00CE7221" w:rsidP="008C51B5">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205</w:t>
      </w:r>
      <w:r w:rsidRPr="005B57EC">
        <w:fldChar w:fldCharType="end"/>
      </w:r>
      <w:r w:rsidR="00771068" w:rsidRPr="002A677E">
        <w:t xml:space="preserve">. </w:t>
      </w:r>
      <w:r w:rsidR="000212B7" w:rsidRPr="002A677E">
        <w:t>I</w:t>
      </w:r>
      <w:r w:rsidR="00DD00B4" w:rsidRPr="002A677E">
        <w:t>nstitutions shall calculate the deductions for NPEs</w:t>
      </w:r>
      <w:r w:rsidR="004F0F3D" w:rsidRPr="002A677E">
        <w:t xml:space="preserve"> in accordance with Article 47c(1)</w:t>
      </w:r>
      <w:r w:rsidR="00B83DDE">
        <w:t>, p</w:t>
      </w:r>
      <w:r w:rsidR="003B09EA" w:rsidRPr="002A677E">
        <w:t>oints (a) and (b)</w:t>
      </w:r>
      <w:r w:rsidR="002E7287">
        <w:t>,</w:t>
      </w:r>
      <w:r w:rsidR="003B09EA" w:rsidRPr="002A677E">
        <w:t xml:space="preserve"> </w:t>
      </w:r>
      <w:r w:rsidR="00A27BBC" w:rsidRPr="001235ED">
        <w:rPr>
          <w:lang w:val="en-US"/>
        </w:rPr>
        <w:t>of Regulation (EU) No 575/2013</w:t>
      </w:r>
      <w:r w:rsidR="004F0F3D" w:rsidRPr="002A677E">
        <w:t>,</w:t>
      </w:r>
      <w:r w:rsidR="00DD00B4" w:rsidRPr="002A677E">
        <w:t>, including</w:t>
      </w:r>
      <w:r w:rsidR="00402284">
        <w:t xml:space="preserve"> </w:t>
      </w:r>
      <w:r w:rsidR="00DD00B4" w:rsidRPr="002A677E">
        <w:t xml:space="preserve">the calculation </w:t>
      </w:r>
      <w:r w:rsidR="00DD00B4" w:rsidRPr="002A677E">
        <w:lastRenderedPageBreak/>
        <w:t>of minimum coverage requirements and total provisions and adjustments or deductions, at individual exposure level (‘transaction based’) and not at debtor or portfolio levels.</w:t>
      </w:r>
    </w:p>
    <w:p w14:paraId="6322A857" w14:textId="118CB39A" w:rsidR="00DD00B4" w:rsidRPr="002A677E" w:rsidRDefault="00CE7221" w:rsidP="008C51B5">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206</w:t>
      </w:r>
      <w:r w:rsidRPr="005B57EC">
        <w:fldChar w:fldCharType="end"/>
      </w:r>
      <w:r w:rsidR="00771068" w:rsidRPr="002A677E">
        <w:t xml:space="preserve">. </w:t>
      </w:r>
      <w:r w:rsidR="00866C27" w:rsidRPr="002A677E">
        <w:t>F</w:t>
      </w:r>
      <w:r w:rsidR="00DD00B4" w:rsidRPr="002A677E">
        <w:t>or the purposes of calculating the deductions for NPEs, institutions shall differentiate between the unsecured and secured part of a NPE</w:t>
      </w:r>
      <w:r w:rsidR="00866C27" w:rsidRPr="002A677E">
        <w:t xml:space="preserve"> in accordance with Article 47c(1)</w:t>
      </w:r>
      <w:r w:rsidR="00402284">
        <w:t xml:space="preserve"> </w:t>
      </w:r>
      <w:r w:rsidR="00A27BBC" w:rsidRPr="001235ED">
        <w:rPr>
          <w:lang w:val="en-US"/>
        </w:rPr>
        <w:t>of Regulation (EU) No 575/2013</w:t>
      </w:r>
      <w:r w:rsidR="00DD00B4" w:rsidRPr="002A677E">
        <w:t>. To this end, institutions shall report exposure values and minimum coverage requirements separately for the unsecured part of NPEs and for the secured part of NPEs.</w:t>
      </w:r>
    </w:p>
    <w:bookmarkStart w:id="778" w:name="_Toc522019774"/>
    <w:p w14:paraId="43A10D03" w14:textId="5DD2D7B6" w:rsidR="00DD00B4" w:rsidRPr="002A677E" w:rsidRDefault="00CE7221" w:rsidP="008C51B5">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005E3D5A">
        <w:rPr>
          <w:noProof/>
        </w:rPr>
        <w:t>207</w:t>
      </w:r>
      <w:r w:rsidRPr="005B57EC">
        <w:fldChar w:fldCharType="end"/>
      </w:r>
      <w:r w:rsidR="00771068" w:rsidRPr="002A677E">
        <w:t xml:space="preserve">. </w:t>
      </w:r>
      <w:r w:rsidR="00866C27" w:rsidRPr="002A677E">
        <w:t>For</w:t>
      </w:r>
      <w:r w:rsidR="00DD00B4" w:rsidRPr="002A677E">
        <w:t xml:space="preserve"> the purposes of mapping of relevant applicable factors and calculating minimum coverage requirements, </w:t>
      </w:r>
      <w:r w:rsidR="00866C27" w:rsidRPr="002A677E">
        <w:t xml:space="preserve">institutions shall classify </w:t>
      </w:r>
      <w:r w:rsidR="00DD00B4" w:rsidRPr="002A677E">
        <w:t xml:space="preserve">the secured part of NPEs </w:t>
      </w:r>
      <w:r w:rsidR="004F0F3D" w:rsidRPr="002A677E">
        <w:t xml:space="preserve">depending on the type of credit protection </w:t>
      </w:r>
      <w:r w:rsidR="00866C27" w:rsidRPr="002A677E">
        <w:t xml:space="preserve">in accordance with Article 47c(3) </w:t>
      </w:r>
      <w:r w:rsidR="00A27BBC" w:rsidRPr="001235ED">
        <w:rPr>
          <w:lang w:val="en-US"/>
        </w:rPr>
        <w:t>of Regulation (EU) No 575/2013</w:t>
      </w:r>
      <w:r w:rsidR="00866C27" w:rsidRPr="002A677E">
        <w:t xml:space="preserve"> </w:t>
      </w:r>
      <w:r w:rsidR="00DD00B4" w:rsidRPr="002A677E">
        <w:t>as</w:t>
      </w:r>
      <w:r w:rsidR="00866C27" w:rsidRPr="002A677E">
        <w:t xml:space="preserve"> follows</w:t>
      </w:r>
      <w:r w:rsidR="00DD00B4" w:rsidRPr="002A677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9" w:name="_Toc19715888"/>
      <w:bookmarkStart w:id="780" w:name="_Toc151714528"/>
      <w:r w:rsidRPr="002A677E">
        <w:rPr>
          <w:rFonts w:ascii="Times New Roman" w:hAnsi="Times New Roman" w:cs="Times New Roman"/>
          <w:sz w:val="24"/>
          <w:u w:val="none"/>
          <w:lang w:val="en-GB"/>
        </w:rPr>
        <w:t xml:space="preserve">8.2. C 35.01 – </w:t>
      </w:r>
      <w:bookmarkEnd w:id="778"/>
      <w:r w:rsidRPr="002A677E">
        <w:rPr>
          <w:rFonts w:ascii="Times New Roman" w:hAnsi="Times New Roman" w:cs="Times New Roman"/>
          <w:sz w:val="24"/>
          <w:u w:val="none"/>
          <w:lang w:val="en-GB"/>
        </w:rPr>
        <w:t>THE CALCULATION OF DEDUCTIONS FOR NON-PERFORMING EXPOSURES (NPE LC1)</w:t>
      </w:r>
      <w:bookmarkEnd w:id="779"/>
      <w:bookmarkEnd w:id="780"/>
    </w:p>
    <w:p w14:paraId="1C47E267"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781" w:name="_Toc151714529"/>
      <w:r w:rsidRPr="002A677E">
        <w:rPr>
          <w:rFonts w:ascii="Times New Roman" w:hAnsi="Times New Roman" w:cs="Times New Roman"/>
          <w:sz w:val="24"/>
          <w:lang w:val="en-GB"/>
        </w:rPr>
        <w:t>Instructions concerning specific positions</w:t>
      </w:r>
      <w:bookmarkEnd w:id="781"/>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lang w:bidi="ne-NP"/>
              </w:rPr>
            </w:pPr>
            <w:bookmarkStart w:id="782"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588D054"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2A677E">
              <w:rPr>
                <w:rFonts w:ascii="Times New Roman" w:hAnsi="Times New Roman"/>
                <w:sz w:val="24"/>
              </w:rPr>
              <w:t>ars shall start to run from the date on which the exposures was originally classified as non- performing</w:t>
            </w:r>
            <w:r w:rsidRPr="002A677E">
              <w:rPr>
                <w:rFonts w:ascii="Times New Roman" w:hAnsi="Times New Roman"/>
                <w:sz w:val="24"/>
              </w:rPr>
              <w:t xml:space="preserve">, and not from the date of their purchase. </w:t>
            </w:r>
          </w:p>
          <w:p w14:paraId="3CACD559"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4D817EF7"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the sum of all columns from 0010 to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782"/>
          <w:p w14:paraId="4AFEBFF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Applicable amount of insufficient coverage</w:t>
            </w:r>
          </w:p>
          <w:p w14:paraId="51563B67" w14:textId="343DC59D" w:rsidR="00DD00B4" w:rsidRPr="002A677E" w:rsidRDefault="002327CE" w:rsidP="00DD00B4">
            <w:pPr>
              <w:rPr>
                <w:rFonts w:ascii="Times New Roman" w:hAnsi="Times New Roman"/>
                <w:sz w:val="24"/>
              </w:rPr>
            </w:pPr>
            <w:r w:rsidRPr="002A677E">
              <w:rPr>
                <w:rFonts w:ascii="Times New Roman" w:hAnsi="Times New Roman"/>
                <w:sz w:val="24"/>
              </w:rPr>
              <w:t xml:space="preserve">Article 47c(1) </w:t>
            </w:r>
            <w:r w:rsidR="00A27BBC" w:rsidRPr="001235ED">
              <w:rPr>
                <w:rFonts w:ascii="Times New Roman" w:hAnsi="Times New Roman"/>
                <w:sz w:val="24"/>
                <w:lang w:val="en-US"/>
              </w:rPr>
              <w:t>of Regulation (EU) No 575/2013</w:t>
            </w:r>
          </w:p>
          <w:p w14:paraId="7431B28F" w14:textId="77777777" w:rsidR="00DD00B4" w:rsidRPr="002A677E" w:rsidRDefault="00DD00B4" w:rsidP="00DD00B4">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319C177A" w14:textId="77777777" w:rsidR="00DD00B4" w:rsidRPr="002A677E" w:rsidRDefault="00DD00B4" w:rsidP="00DD00B4">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79CCC5B2" w14:textId="35068447" w:rsidR="00DD00B4" w:rsidRPr="002A677E" w:rsidRDefault="002327CE"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FC92990"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 Article 47c(6</w:t>
            </w:r>
            <w:r w:rsidR="002327CE"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ABC6FE1" w14:textId="77777777" w:rsidR="00DD00B4" w:rsidRPr="002A677E" w:rsidRDefault="00A532F5" w:rsidP="00DD00B4">
            <w:pPr>
              <w:rPr>
                <w:rFonts w:ascii="Times New Roman" w:hAnsi="Times New Roman"/>
                <w:sz w:val="24"/>
              </w:rPr>
            </w:pPr>
            <w:r w:rsidRPr="002A677E">
              <w:rPr>
                <w:rFonts w:ascii="Times New Roman" w:hAnsi="Times New Roman"/>
                <w:sz w:val="24"/>
              </w:rPr>
              <w:t>Institution shall report the t</w:t>
            </w:r>
            <w:r w:rsidR="00DD00B4" w:rsidRPr="002A677E">
              <w:rPr>
                <w:rFonts w:ascii="Times New Roman" w:hAnsi="Times New Roman"/>
                <w:sz w:val="24"/>
              </w:rPr>
              <w:t xml:space="preserve">otal minimum coverage requirement for the unsecured part of NPEs,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p w14:paraId="2A1D0912"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00F4CCB6" w14:textId="560D6425" w:rsidR="00DD00B4" w:rsidRPr="002A677E" w:rsidRDefault="003B09EA" w:rsidP="00DD00B4">
            <w:pPr>
              <w:rPr>
                <w:rFonts w:ascii="Times New Roman" w:hAnsi="Times New Roman"/>
                <w:sz w:val="24"/>
                <w:lang w:val="en-US"/>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oint (a)(ii),</w:t>
            </w:r>
            <w:r w:rsidR="002E7287">
              <w:rPr>
                <w:rFonts w:ascii="Times New Roman" w:hAnsi="Times New Roman"/>
                <w:sz w:val="24"/>
              </w:rPr>
              <w:t xml:space="preserve"> </w:t>
            </w:r>
            <w:r w:rsidR="00DD00B4" w:rsidRPr="002A677E">
              <w:rPr>
                <w:rFonts w:ascii="Times New Roman" w:hAnsi="Times New Roman"/>
                <w:sz w:val="24"/>
                <w:lang w:val="en-US"/>
              </w:rPr>
              <w:t>Article 47c(3), Article 47c(4), Article 47c(6</w:t>
            </w:r>
            <w:r w:rsidR="002327CE" w:rsidRPr="002A677E">
              <w:rPr>
                <w:rFonts w:ascii="Times New Roman" w:hAnsi="Times New Roman"/>
                <w:sz w:val="24"/>
                <w:lang w:val="en-US"/>
              </w:rPr>
              <w:t xml:space="preserve">) </w:t>
            </w:r>
            <w:r w:rsidR="00A27BBC" w:rsidRPr="001235ED">
              <w:rPr>
                <w:rFonts w:ascii="Times New Roman" w:hAnsi="Times New Roman"/>
                <w:sz w:val="24"/>
                <w:lang w:val="en-US"/>
              </w:rPr>
              <w:t>of Regulation (EU) No 575/2013</w:t>
            </w:r>
            <w:r w:rsidR="00DD00B4" w:rsidRPr="002A677E">
              <w:rPr>
                <w:rFonts w:ascii="Times New Roman" w:hAnsi="Times New Roman"/>
                <w:sz w:val="24"/>
                <w:lang w:val="en-US"/>
              </w:rPr>
              <w:t>.</w:t>
            </w:r>
          </w:p>
          <w:p w14:paraId="4A5E1811" w14:textId="77777777" w:rsidR="00DD00B4" w:rsidRPr="002A677E" w:rsidRDefault="00A532F5" w:rsidP="00DD00B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minimum coverage requirement for the secured part of NPEs,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p w14:paraId="16CE15A0"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6171E166" w14:textId="047A39FF" w:rsidR="00DD00B4" w:rsidRPr="002A677E" w:rsidRDefault="00DD00B4" w:rsidP="00DD00B4">
            <w:pPr>
              <w:rPr>
                <w:rFonts w:ascii="Times New Roman" w:hAnsi="Times New Roman"/>
                <w:sz w:val="24"/>
              </w:rPr>
            </w:pPr>
            <w:r w:rsidRPr="002A677E">
              <w:rPr>
                <w:rFonts w:ascii="Times New Roman" w:hAnsi="Times New Roman"/>
                <w:sz w:val="24"/>
              </w:rPr>
              <w:t>Article 47a</w:t>
            </w:r>
            <w:r w:rsidR="002327CE" w:rsidRPr="002A677E">
              <w:rPr>
                <w:rFonts w:ascii="Times New Roman" w:hAnsi="Times New Roman"/>
                <w:sz w:val="24"/>
              </w:rPr>
              <w:t xml:space="preserve">(2) </w:t>
            </w:r>
            <w:r w:rsidR="00A27BBC" w:rsidRPr="001235ED">
              <w:rPr>
                <w:rFonts w:ascii="Times New Roman" w:hAnsi="Times New Roman"/>
                <w:sz w:val="24"/>
                <w:lang w:val="en-US"/>
              </w:rPr>
              <w:t>of Regulation (EU) No 575/2013</w:t>
            </w:r>
          </w:p>
          <w:p w14:paraId="68E0F46C"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Article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456BC00D" w14:textId="537FFFE3" w:rsidR="00DD00B4" w:rsidRPr="002A677E" w:rsidRDefault="00623EAD" w:rsidP="00DD00B4">
            <w:pPr>
              <w:rPr>
                <w:rFonts w:ascii="Times New Roman" w:hAnsi="Times New Roman"/>
                <w:b/>
                <w:sz w:val="24"/>
                <w:u w:val="single"/>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w:t>
            </w:r>
            <w:r w:rsidR="00770F0C" w:rsidRPr="002A677E">
              <w:rPr>
                <w:rFonts w:ascii="Times New Roman" w:hAnsi="Times New Roman"/>
                <w:sz w:val="24"/>
              </w:rPr>
              <w:t>Article</w:t>
            </w:r>
            <w:r w:rsidR="00DD00B4" w:rsidRPr="002A677E">
              <w:rPr>
                <w:rFonts w:ascii="Times New Roman" w:hAnsi="Times New Roman"/>
                <w:sz w:val="24"/>
              </w:rPr>
              <w:t xml:space="preserv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35CD7AC" w14:textId="3A453F1D" w:rsidR="00DD00B4" w:rsidRPr="002A677E" w:rsidRDefault="00DD00B4" w:rsidP="00DD00B4">
            <w:pPr>
              <w:rPr>
                <w:rFonts w:ascii="Times New Roman" w:hAnsi="Times New Roman"/>
                <w:sz w:val="24"/>
              </w:rPr>
            </w:pPr>
            <w:r w:rsidRPr="002A677E">
              <w:rPr>
                <w:rFonts w:ascii="Times New Roman" w:hAnsi="Times New Roman"/>
                <w:sz w:val="24"/>
                <w:lang w:bidi="ne-NP"/>
              </w:rPr>
              <w:lastRenderedPageBreak/>
              <w:t>Institutions shall report the capped amount of the sum of the items listed in rows 0100-0150 in accordance with</w:t>
            </w:r>
            <w:r w:rsidR="00402284">
              <w:rPr>
                <w:rFonts w:ascii="Times New Roman" w:hAnsi="Times New Roman"/>
                <w:sz w:val="24"/>
                <w:lang w:bidi="ne-NP"/>
              </w:rPr>
              <w:t xml:space="preserve"> </w:t>
            </w:r>
            <w:r w:rsidRPr="002A677E">
              <w:rPr>
                <w:rFonts w:ascii="Times New Roman" w:hAnsi="Times New Roman"/>
                <w:sz w:val="24"/>
              </w:rPr>
              <w:t xml:space="preserve">Article </w:t>
            </w:r>
            <w:r w:rsidR="004773AB" w:rsidRPr="002A677E">
              <w:rPr>
                <w:rFonts w:ascii="Times New Roman" w:hAnsi="Times New Roman"/>
                <w:sz w:val="24"/>
              </w:rPr>
              <w:t>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6BCA9662" w14:textId="77777777" w:rsidR="00DD00B4" w:rsidRPr="002A677E" w:rsidRDefault="00DD00B4" w:rsidP="00DD00B4">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389D4B70" w14:textId="30F67C84" w:rsidR="00DD00B4" w:rsidRPr="002A677E" w:rsidRDefault="00DD00B4" w:rsidP="00DD00B4">
            <w:pPr>
              <w:jc w:val="left"/>
              <w:rPr>
                <w:rFonts w:ascii="Times New Roman" w:hAnsi="Times New Roman"/>
                <w:sz w:val="24"/>
              </w:rPr>
            </w:pPr>
            <w:r w:rsidRPr="002A677E">
              <w:rPr>
                <w:rFonts w:ascii="Times New Roman" w:hAnsi="Times New Roman"/>
                <w:sz w:val="24"/>
                <w:lang w:bidi="ne-NP"/>
              </w:rPr>
              <w:t>Institutions shall report the sum of uncapped amount of the items listed in rows</w:t>
            </w:r>
            <w:r w:rsidR="00402284">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003B09EA"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sidR="00402284">
              <w:rPr>
                <w:rFonts w:ascii="Times New Roman" w:hAnsi="Times New Roman"/>
                <w:sz w:val="24"/>
              </w:rPr>
              <w:t xml:space="preserve">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Specific credit risk adjustments</w:t>
            </w:r>
          </w:p>
          <w:p w14:paraId="03A1D174" w14:textId="5F707374" w:rsidR="00DD00B4" w:rsidRPr="002A677E" w:rsidRDefault="00DD00B4" w:rsidP="003B09EA">
            <w:pPr>
              <w:jc w:val="left"/>
              <w:rPr>
                <w:rFonts w:ascii="Times New Roman" w:hAnsi="Times New Roman"/>
                <w:sz w:val="24"/>
                <w:lang w:bidi="ne-NP"/>
              </w:rPr>
            </w:pPr>
            <w:r w:rsidRPr="002A677E">
              <w:rPr>
                <w:rFonts w:ascii="Times New Roman" w:hAnsi="Times New Roman"/>
                <w:sz w:val="24"/>
                <w:lang w:bidi="ne-NP"/>
              </w:rPr>
              <w:t>Article 47c</w:t>
            </w:r>
            <w:r w:rsidR="002327CE" w:rsidRPr="002A677E">
              <w:rPr>
                <w:rFonts w:ascii="Times New Roman" w:hAnsi="Times New Roman"/>
                <w:sz w:val="24"/>
                <w:lang w:bidi="ne-NP"/>
              </w:rPr>
              <w:t>(1)</w:t>
            </w:r>
            <w:r w:rsidR="003B09EA" w:rsidRPr="002A677E">
              <w:rPr>
                <w:rFonts w:ascii="Times New Roman" w:hAnsi="Times New Roman"/>
                <w:sz w:val="24"/>
                <w:lang w:bidi="ne-NP"/>
              </w:rPr>
              <w:t xml:space="preserve">, point (b)(i) </w:t>
            </w:r>
            <w:r w:rsidR="00A27BBC" w:rsidRPr="001235ED">
              <w:rPr>
                <w:rFonts w:ascii="Times New Roman" w:hAnsi="Times New Roman"/>
                <w:sz w:val="24"/>
                <w:lang w:val="en-US"/>
              </w:rPr>
              <w:t>of Regulation (EU) No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Additional valuation adjustments</w:t>
            </w:r>
          </w:p>
          <w:p w14:paraId="7318E356" w14:textId="25A5085E"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 </w:t>
            </w:r>
            <w:r w:rsidR="00A27BBC" w:rsidRPr="001235ED">
              <w:rPr>
                <w:rFonts w:ascii="Times New Roman" w:hAnsi="Times New Roman"/>
                <w:sz w:val="24"/>
                <w:lang w:val="en-US"/>
              </w:rPr>
              <w:t>of Regulation (EU) No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Other own funds reductions</w:t>
            </w:r>
          </w:p>
          <w:p w14:paraId="4A40893B" w14:textId="2A7D645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(b)(iii) </w:t>
            </w:r>
            <w:r w:rsidR="00A27BBC" w:rsidRPr="001235ED">
              <w:rPr>
                <w:rFonts w:ascii="Times New Roman" w:hAnsi="Times New Roman"/>
                <w:sz w:val="24"/>
                <w:lang w:val="en-US"/>
              </w:rPr>
              <w:t>of Regulation (EU) No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IRB shortfall</w:t>
            </w:r>
          </w:p>
          <w:p w14:paraId="16E4F616" w14:textId="05EA833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(b)(iv) </w:t>
            </w:r>
            <w:r w:rsidR="00A27BBC" w:rsidRPr="001235ED">
              <w:rPr>
                <w:rFonts w:ascii="Times New Roman" w:hAnsi="Times New Roman"/>
                <w:sz w:val="24"/>
                <w:lang w:val="en-US"/>
              </w:rPr>
              <w:t>of Regulation (EU) No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314BE812" w14:textId="07D7EB7F"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 </w:t>
            </w:r>
            <w:r w:rsidR="00A27BBC" w:rsidRPr="001235ED">
              <w:rPr>
                <w:rFonts w:ascii="Times New Roman" w:hAnsi="Times New Roman"/>
                <w:sz w:val="24"/>
                <w:lang w:val="en-US"/>
              </w:rPr>
              <w:t>of Regulation (EU) No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436645CA" w14:textId="7A856730"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(b)(vi) </w:t>
            </w:r>
            <w:r w:rsidR="00A27BBC" w:rsidRPr="001235ED">
              <w:rPr>
                <w:rFonts w:ascii="Times New Roman" w:hAnsi="Times New Roman"/>
                <w:sz w:val="24"/>
                <w:lang w:val="en-US"/>
              </w:rPr>
              <w:t>of Regulation (EU) No 575/2013</w:t>
            </w:r>
          </w:p>
        </w:tc>
      </w:tr>
    </w:tbl>
    <w:p w14:paraId="47D329AA" w14:textId="6AD49867" w:rsidR="00DD00B4" w:rsidRPr="002A677E" w:rsidRDefault="00DD00B4" w:rsidP="001435E2">
      <w:pPr>
        <w:pStyle w:val="Instructionsberschrift2"/>
        <w:numPr>
          <w:ilvl w:val="1"/>
          <w:numId w:val="38"/>
        </w:numPr>
        <w:rPr>
          <w:rFonts w:ascii="Times New Roman" w:hAnsi="Times New Roman" w:cs="Times New Roman"/>
          <w:sz w:val="24"/>
          <w:lang w:val="en-GB"/>
        </w:rPr>
      </w:pPr>
      <w:bookmarkStart w:id="783" w:name="_Toc19715890"/>
      <w:bookmarkStart w:id="784" w:name="_Toc151714530"/>
      <w:r w:rsidRPr="002A677E">
        <w:rPr>
          <w:rFonts w:ascii="Times New Roman" w:hAnsi="Times New Roman" w:cs="Times New Roman"/>
          <w:sz w:val="24"/>
          <w:lang w:val="en-GB"/>
        </w:rPr>
        <w:t>C 35.02 – MINIMUM COVERAGE REQUIREMENTS AND EXPOSURE VALUES OF NON-PERFORMING EXPOSURES EXCLUDING FORBORNE EXPOSURES THAT FA</w:t>
      </w:r>
      <w:r w:rsidR="00FC223C" w:rsidRPr="002A677E">
        <w:rPr>
          <w:rFonts w:ascii="Times New Roman" w:hAnsi="Times New Roman" w:cs="Times New Roman"/>
          <w:sz w:val="24"/>
          <w:lang w:val="en-GB"/>
        </w:rPr>
        <w:t>LL UNDER ARTICLE 47C (6</w:t>
      </w:r>
      <w:r w:rsidR="00F75233" w:rsidRPr="002A677E">
        <w:rPr>
          <w:rFonts w:ascii="Times New Roman" w:hAnsi="Times New Roman" w:cs="Times New Roman"/>
          <w:sz w:val="24"/>
          <w:lang w:val="en-GB"/>
        </w:rPr>
        <w:t xml:space="preserve">) </w:t>
      </w:r>
      <w:r w:rsidR="00F75233" w:rsidRPr="001235ED">
        <w:rPr>
          <w:rFonts w:ascii="Times New Roman" w:hAnsi="Times New Roman" w:cs="Times New Roman"/>
          <w:sz w:val="24"/>
        </w:rPr>
        <w:t>OF REGULATION (EU) NO 575/2013</w:t>
      </w:r>
      <w:r w:rsidR="00F75233"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(NPE LC2)</w:t>
      </w:r>
      <w:bookmarkStart w:id="785" w:name="_Toc19715891"/>
      <w:bookmarkEnd w:id="783"/>
      <w:bookmarkEnd w:id="784"/>
      <w:bookmarkEnd w:id="785"/>
    </w:p>
    <w:p w14:paraId="0AF22E56"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786" w:name="_Toc19715892"/>
      <w:bookmarkStart w:id="787" w:name="_Toc151714531"/>
      <w:r w:rsidRPr="002A677E">
        <w:rPr>
          <w:rFonts w:ascii="Times New Roman" w:hAnsi="Times New Roman" w:cs="Times New Roman"/>
          <w:sz w:val="24"/>
          <w:lang w:val="en-GB"/>
        </w:rPr>
        <w:t>Instructions concerning specific positions</w:t>
      </w:r>
      <w:bookmarkEnd w:id="786"/>
      <w:bookmarkEnd w:id="7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F1F73EA" w14:textId="4A8A2CDD" w:rsidR="00DD00B4" w:rsidRPr="002A677E" w:rsidRDefault="00DD00B4" w:rsidP="00DD00B4">
            <w:pPr>
              <w:rPr>
                <w:rFonts w:ascii="Times New Roman" w:hAnsi="Times New Roman"/>
                <w:sz w:val="24"/>
              </w:rPr>
            </w:pPr>
            <w:r w:rsidRPr="002A677E">
              <w:rPr>
                <w:rFonts w:ascii="Times New Roman" w:hAnsi="Times New Roman"/>
                <w:sz w:val="24"/>
              </w:rPr>
              <w:t xml:space="preserve">The ‘time passed since exposures classified as non-performing’ shall mean the time in years passed since exposure has been classified as non-performing. Institutions shall report data on exposures for which the reference date falls under the corresponding time interval </w:t>
            </w:r>
            <w:r w:rsidRPr="002A677E">
              <w:rPr>
                <w:rFonts w:ascii="Times New Roman" w:hAnsi="Times New Roman"/>
                <w:sz w:val="24"/>
              </w:rPr>
              <w:lastRenderedPageBreak/>
              <w:t>indicating the period in years following exposures’ classification as non-performing,</w:t>
            </w:r>
            <w:r w:rsidR="00402284">
              <w:rPr>
                <w:rFonts w:ascii="Times New Roman" w:hAnsi="Times New Roman"/>
                <w:sz w:val="24"/>
              </w:rPr>
              <w:t xml:space="preserve"> </w:t>
            </w:r>
            <w:r w:rsidRPr="002A677E">
              <w:rPr>
                <w:rFonts w:ascii="Times New Roman" w:hAnsi="Times New Roman"/>
                <w:sz w:val="24"/>
              </w:rPr>
              <w:t>regardless of any application of forbearance measures.</w:t>
            </w:r>
          </w:p>
          <w:p w14:paraId="24AECEC5"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A476185" w14:textId="53F8D1FE" w:rsidR="00DD00B4" w:rsidRPr="002A677E" w:rsidRDefault="00FC223C"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CF595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5F74FB1D" w14:textId="381749C8" w:rsidR="00DD00B4" w:rsidRPr="002A677E" w:rsidRDefault="00DD00B4" w:rsidP="00DD00B4">
            <w:pPr>
              <w:rPr>
                <w:rFonts w:ascii="Times New Roman" w:hAnsi="Times New Roman"/>
                <w:sz w:val="24"/>
              </w:rPr>
            </w:pPr>
            <w:r w:rsidRPr="002A677E">
              <w:rPr>
                <w:rFonts w:ascii="Times New Roman" w:hAnsi="Times New Roman"/>
                <w:sz w:val="24"/>
              </w:rPr>
              <w:t>For the calculation of the total minimum coverage requirement for non-performing exposures, excluding forborne exposures</w:t>
            </w:r>
            <w:r w:rsidR="00623EAD" w:rsidRPr="002A677E">
              <w:rPr>
                <w:rFonts w:ascii="Times New Roman" w:hAnsi="Times New Roman"/>
                <w:sz w:val="24"/>
              </w:rPr>
              <w:t xml:space="preserve">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w:t>
            </w:r>
            <w:r w:rsidR="00623EAD" w:rsidRPr="002A677E">
              <w:rPr>
                <w:rFonts w:ascii="Times New Roman" w:hAnsi="Times New Roman"/>
                <w:sz w:val="24"/>
              </w:rPr>
              <w:t>-0050</w:t>
            </w:r>
            <w:r w:rsidRPr="002A677E">
              <w:rPr>
                <w:rFonts w:ascii="Times New Roman" w:hAnsi="Times New Roman"/>
                <w:sz w:val="24"/>
              </w:rPr>
              <w: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24BFE0E9" w14:textId="763167B7"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w:t>
            </w:r>
            <w:r w:rsidR="00623EAD"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0241592" w14:textId="77777777" w:rsidR="00DD00B4" w:rsidRPr="002A677E" w:rsidRDefault="00DD00B4" w:rsidP="00EA2AFF">
            <w:pPr>
              <w:rPr>
                <w:rFonts w:ascii="Times New Roman" w:hAnsi="Times New Roman"/>
                <w:sz w:val="24"/>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0070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sidR="00402284">
              <w:rPr>
                <w:rFonts w:ascii="Times New Roman" w:hAnsi="Times New Roman"/>
                <w:b/>
                <w:sz w:val="24"/>
                <w:u w:val="single"/>
              </w:rPr>
              <w:t xml:space="preserve"> </w:t>
            </w:r>
          </w:p>
          <w:p w14:paraId="6D42FB8A" w14:textId="5AC7BCCD"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130586"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(d), (f), (h) and (i)</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DB8D95D"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0080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260657F" w14:textId="3BA2EAC0"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FC223C"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(e) and (g)</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722AE19"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0090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69F42878" w14:textId="5FAD2410"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47c(4) </w:t>
            </w:r>
            <w:r w:rsidR="00A27BBC" w:rsidRPr="001235ED">
              <w:rPr>
                <w:rFonts w:ascii="Times New Roman" w:hAnsi="Times New Roman"/>
                <w:sz w:val="24"/>
                <w:lang w:val="en-US"/>
              </w:rPr>
              <w:t>of Regulation (EU) No 575/2013</w:t>
            </w:r>
            <w:r w:rsidR="00DD00B4" w:rsidRPr="002A677E">
              <w:rPr>
                <w:rFonts w:ascii="Times New Roman" w:hAnsi="Times New Roman"/>
                <w:sz w:val="24"/>
              </w:rPr>
              <w:t>.</w:t>
            </w:r>
          </w:p>
          <w:p w14:paraId="56C16227" w14:textId="77777777" w:rsidR="00DD00B4" w:rsidRPr="002A677E" w:rsidRDefault="00DD00B4" w:rsidP="00EA2AFF">
            <w:pPr>
              <w:jc w:val="left"/>
              <w:rPr>
                <w:rFonts w:ascii="Times New Roman" w:hAnsi="Times New Roman"/>
                <w:b/>
                <w:sz w:val="24"/>
                <w:u w:val="single"/>
                <w:lang w:bidi="ne-NP"/>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0100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2FBE3F91" w14:textId="104D5E38" w:rsidR="00DD00B4" w:rsidRPr="002A677E" w:rsidRDefault="00A14679" w:rsidP="00DD00B4">
            <w:pPr>
              <w:jc w:val="left"/>
              <w:rPr>
                <w:rFonts w:ascii="Times New Roman" w:hAnsi="Times New Roman"/>
                <w:sz w:val="24"/>
              </w:rPr>
            </w:pPr>
            <w:r w:rsidRPr="002A677E">
              <w:rPr>
                <w:rFonts w:ascii="Times New Roman" w:hAnsi="Times New Roman"/>
                <w:sz w:val="24"/>
              </w:rPr>
              <w:lastRenderedPageBreak/>
              <w:t xml:space="preserve">Article 47a(2) </w:t>
            </w:r>
            <w:r w:rsidR="00A27BBC" w:rsidRPr="001235ED">
              <w:rPr>
                <w:rFonts w:ascii="Times New Roman" w:hAnsi="Times New Roman"/>
                <w:sz w:val="24"/>
                <w:lang w:val="en-US"/>
              </w:rPr>
              <w:t>of Regulation (EU) No 575/2013</w:t>
            </w:r>
          </w:p>
          <w:p w14:paraId="30996FE0"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2A677E">
              <w:rPr>
                <w:rFonts w:ascii="Times New Roman" w:hAnsi="Times New Roman"/>
                <w:sz w:val="24"/>
              </w:rPr>
              <w:t xml:space="preserve">d credit protection (row 0090) </w:t>
            </w:r>
            <w:r w:rsidRPr="002A677E">
              <w:rPr>
                <w:rFonts w:ascii="Times New Roman" w:hAnsi="Times New Roman"/>
                <w:sz w:val="24"/>
              </w:rPr>
              <w:t>and the part of NPEs guaranteed or insured by an official export credit agency (row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7B1F2DD3" w14:textId="03244D1C" w:rsidR="00DD00B4" w:rsidRPr="002A677E" w:rsidRDefault="009D30AF"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w:t>
            </w:r>
            <w:r w:rsidR="00A14679"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762DE1BF" w14:textId="77777777" w:rsidR="00DD00B4" w:rsidRPr="002A677E" w:rsidRDefault="00EA2AFF" w:rsidP="00EA2AFF">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NPEs broken-down by time passed since exposures classified as non-performing.</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56630187" w14:textId="74149F43" w:rsidR="00DD00B4" w:rsidRPr="002A677E" w:rsidRDefault="00DD00B4" w:rsidP="00DD00B4">
            <w:pPr>
              <w:rPr>
                <w:rFonts w:ascii="Times New Roman" w:hAnsi="Times New Roman"/>
                <w:sz w:val="24"/>
              </w:rPr>
            </w:pPr>
            <w:r w:rsidRPr="002A677E">
              <w:rPr>
                <w:rFonts w:ascii="Times New Roman" w:hAnsi="Times New Roman"/>
                <w:sz w:val="24"/>
              </w:rPr>
              <w:t>Article</w:t>
            </w:r>
            <w:r w:rsidR="00C259E2" w:rsidRPr="002A677E">
              <w:rPr>
                <w:rFonts w:ascii="Times New Roman" w:hAnsi="Times New Roman"/>
                <w:sz w:val="24"/>
              </w:rPr>
              <w:t xml:space="preserve"> 47a(2), Article</w:t>
            </w:r>
            <w:r w:rsidRPr="002A677E">
              <w:rPr>
                <w:rFonts w:ascii="Times New Roman" w:hAnsi="Times New Roman"/>
                <w:sz w:val="24"/>
              </w:rPr>
              <w:t xml:space="preserve"> 47c(1) and </w:t>
            </w:r>
            <w:r w:rsidR="009D30AF"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(d), (f), (h) and (i)</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F3E758E" w14:textId="3017747D" w:rsidR="00DD00B4" w:rsidRPr="002A677E" w:rsidRDefault="00441F78"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 secured by immovable property pursuant t</w:t>
            </w:r>
            <w:r w:rsidR="00C259E2" w:rsidRPr="002A677E">
              <w:rPr>
                <w:rFonts w:ascii="Times New Roman" w:hAnsi="Times New Roman"/>
                <w:sz w:val="24"/>
              </w:rPr>
              <w:t>o 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is a residential loan guaranteed by an eligible protection provider as re</w:t>
            </w:r>
            <w:r w:rsidR="00C259E2"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42A6F49" w14:textId="562ED389" w:rsidR="00DD00B4" w:rsidRPr="002A677E" w:rsidRDefault="00C259E2" w:rsidP="00DD00B4">
            <w:pPr>
              <w:jc w:val="left"/>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r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(e) and (g)</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w:t>
            </w:r>
          </w:p>
          <w:p w14:paraId="1AFC29A6" w14:textId="597B2AED" w:rsidR="00DD00B4" w:rsidRPr="002A677E" w:rsidRDefault="00441F78" w:rsidP="00E67B4A">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C259E2" w:rsidRPr="002A677E">
              <w:rPr>
                <w:rFonts w:ascii="Times New Roman" w:hAnsi="Times New Roman"/>
                <w:sz w:val="24"/>
              </w:rPr>
              <w:t>o</w:t>
            </w:r>
            <w:r w:rsidR="00402284">
              <w:rPr>
                <w:rFonts w:ascii="Times New Roman" w:hAnsi="Times New Roman"/>
                <w:sz w:val="24"/>
              </w:rPr>
              <w:t xml:space="preserve"> </w:t>
            </w:r>
            <w:r w:rsidR="00C259E2" w:rsidRPr="002A677E">
              <w:rPr>
                <w:rFonts w:ascii="Times New Roman" w:hAnsi="Times New Roman"/>
                <w:sz w:val="24"/>
              </w:rPr>
              <w:t>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53CE9387" w14:textId="19C35BD1" w:rsidR="00DD00B4" w:rsidRPr="002A677E" w:rsidRDefault="00BD5F43" w:rsidP="00DD00B4">
            <w:pPr>
              <w:jc w:val="left"/>
              <w:rPr>
                <w:rFonts w:ascii="Times New Roman" w:hAnsi="Times New Roman"/>
                <w:sz w:val="24"/>
              </w:rPr>
            </w:pPr>
            <w:r w:rsidRPr="002A677E">
              <w:rPr>
                <w:rFonts w:ascii="Times New Roman" w:hAnsi="Times New Roman"/>
                <w:sz w:val="24"/>
              </w:rPr>
              <w:t xml:space="preserve">Article 47a(2) and Article 47c(4) </w:t>
            </w:r>
            <w:r w:rsidR="00F75233" w:rsidRPr="001235ED">
              <w:rPr>
                <w:rFonts w:ascii="Times New Roman" w:hAnsi="Times New Roman"/>
                <w:sz w:val="24"/>
                <w:lang w:val="en-US"/>
              </w:rPr>
              <w:t>of Regulation (EU) No 575/2013</w:t>
            </w:r>
          </w:p>
          <w:p w14:paraId="36FE7597" w14:textId="3CB29F82" w:rsidR="00DD00B4" w:rsidRPr="002A677E" w:rsidRDefault="00441F78" w:rsidP="00441F78">
            <w:pPr>
              <w:jc w:val="left"/>
              <w:rPr>
                <w:rFonts w:ascii="Times New Roman" w:hAnsi="Times New Roman"/>
                <w:b/>
                <w:sz w:val="24"/>
                <w:u w:val="single"/>
                <w:lang w:bidi="ne-NP"/>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w:t>
            </w:r>
            <w:r w:rsidR="00402284">
              <w:rPr>
                <w:rFonts w:ascii="Times New Roman" w:hAnsi="Times New Roman"/>
                <w:sz w:val="24"/>
              </w:rPr>
              <w:t xml:space="preserve"> </w:t>
            </w:r>
            <w:r w:rsidR="00DD00B4" w:rsidRPr="002A677E">
              <w:rPr>
                <w:rFonts w:ascii="Times New Roman" w:hAnsi="Times New Roman"/>
                <w:sz w:val="24"/>
                <w:lang w:bidi="ne-NP"/>
              </w:rPr>
              <w:t>guaranteed or insured by an official export credit agency</w:t>
            </w:r>
            <w:r w:rsidR="001843F9" w:rsidRPr="002A677E">
              <w:rPr>
                <w:rFonts w:ascii="Times New Roman" w:hAnsi="Times New Roman"/>
                <w:sz w:val="24"/>
                <w:lang w:bidi="ne-NP"/>
              </w:rPr>
              <w:t xml:space="preserve"> or guaranteed or counter-guaranteed by an</w:t>
            </w:r>
            <w:r w:rsidR="00C47E57" w:rsidRPr="002A677E">
              <w:rPr>
                <w:rFonts w:ascii="Times New Roman" w:hAnsi="Times New Roman"/>
                <w:sz w:val="24"/>
                <w:lang w:bidi="ne-NP"/>
              </w:rPr>
              <w:t>other</w:t>
            </w:r>
            <w:r w:rsidR="001843F9" w:rsidRPr="002A677E">
              <w:rPr>
                <w:rFonts w:ascii="Times New Roman" w:hAnsi="Times New Roman"/>
                <w:sz w:val="24"/>
                <w:lang w:bidi="ne-NP"/>
              </w:rPr>
              <w:t xml:space="preserve"> eligible protection provider as referred to in article 47c(4)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1435E2">
      <w:pPr>
        <w:pStyle w:val="Instructionsberschrift2"/>
        <w:numPr>
          <w:ilvl w:val="1"/>
          <w:numId w:val="38"/>
        </w:numPr>
        <w:rPr>
          <w:rFonts w:ascii="Times New Roman" w:hAnsi="Times New Roman" w:cs="Times New Roman"/>
          <w:sz w:val="24"/>
          <w:lang w:val="en-GB"/>
        </w:rPr>
      </w:pPr>
      <w:bookmarkStart w:id="788" w:name="_Toc19715893"/>
      <w:bookmarkStart w:id="789" w:name="_Toc151714532"/>
      <w:r w:rsidRPr="002A677E">
        <w:rPr>
          <w:rFonts w:ascii="Times New Roman" w:hAnsi="Times New Roman" w:cs="Times New Roman"/>
          <w:sz w:val="24"/>
          <w:lang w:val="en-GB"/>
        </w:rPr>
        <w:t>C 35.03 – MINIMUM COVERAGE REQUIREMENTS AND EXPOSURE VALUES OF NON-PERFORMING FORBORNE EXPOSURES THAT FA</w:t>
      </w:r>
      <w:r w:rsidR="00FC223C" w:rsidRPr="002A677E">
        <w:rPr>
          <w:rFonts w:ascii="Times New Roman" w:hAnsi="Times New Roman" w:cs="Times New Roman"/>
          <w:sz w:val="24"/>
          <w:lang w:val="en-GB"/>
        </w:rPr>
        <w:t xml:space="preserve">LL UNDER ARTICLE 47C (6) </w:t>
      </w:r>
      <w:r w:rsidR="00F75233" w:rsidRPr="002A677E">
        <w:rPr>
          <w:rFonts w:ascii="Times New Roman" w:hAnsi="Times New Roman" w:cs="Times New Roman"/>
          <w:sz w:val="24"/>
          <w:lang w:val="en-GB"/>
        </w:rPr>
        <w:t>OF REGULATION (EU) NO 575/2013</w:t>
      </w:r>
      <w:r w:rsidRPr="002A677E">
        <w:rPr>
          <w:rFonts w:ascii="Times New Roman" w:hAnsi="Times New Roman" w:cs="Times New Roman"/>
          <w:sz w:val="24"/>
          <w:lang w:val="en-GB"/>
        </w:rPr>
        <w:t xml:space="preserve"> (NPE LC3)</w:t>
      </w:r>
      <w:bookmarkStart w:id="790" w:name="_Toc19715894"/>
      <w:bookmarkEnd w:id="788"/>
      <w:bookmarkEnd w:id="789"/>
      <w:bookmarkEnd w:id="790"/>
    </w:p>
    <w:p w14:paraId="5A68B535"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791" w:name="_Toc19715895"/>
      <w:bookmarkStart w:id="792" w:name="_Toc151714533"/>
      <w:r w:rsidRPr="002A677E">
        <w:rPr>
          <w:rFonts w:ascii="Times New Roman" w:hAnsi="Times New Roman" w:cs="Times New Roman"/>
          <w:sz w:val="24"/>
          <w:lang w:val="en-GB"/>
        </w:rPr>
        <w:t>Instructions concerning specific positions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3D3EBC38"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AC789BC"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C6F9C3C" w14:textId="21FBC49A"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760D4A">
              <w:rPr>
                <w:rFonts w:ascii="Times New Roman" w:hAnsi="Times New Roman"/>
                <w:sz w:val="24"/>
              </w:rPr>
              <w:t>,</w:t>
            </w:r>
            <w:r w:rsidR="003B09EA" w:rsidRPr="002A677E">
              <w:rPr>
                <w:rFonts w:ascii="Times New Roman" w:hAnsi="Times New Roman"/>
                <w:sz w:val="24"/>
              </w:rPr>
              <w:t xml:space="preserve"> </w:t>
            </w:r>
            <w:r w:rsidRPr="002A677E">
              <w:rPr>
                <w:rFonts w:ascii="Times New Roman" w:hAnsi="Times New Roman"/>
                <w:sz w:val="24"/>
              </w:rPr>
              <w:t>and Article 47c(6)</w:t>
            </w:r>
            <w:r w:rsidR="00A648C2"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0C972EE" w14:textId="5126B749" w:rsidR="00DD00B4" w:rsidRPr="002A677E" w:rsidRDefault="00DD00B4" w:rsidP="00A648C2">
            <w:pPr>
              <w:rPr>
                <w:rFonts w:ascii="Times New Roman" w:hAnsi="Times New Roman"/>
                <w:sz w:val="24"/>
              </w:rPr>
            </w:pPr>
            <w:r w:rsidRPr="002A677E">
              <w:rPr>
                <w:rFonts w:ascii="Times New Roman" w:hAnsi="Times New Roman"/>
                <w:sz w:val="24"/>
              </w:rPr>
              <w:t>For the calculation of total minimum coverage requirement of non-performing forborne exposures that f</w:t>
            </w:r>
            <w:r w:rsidR="00A648C2" w:rsidRPr="002A677E">
              <w:rPr>
                <w:rFonts w:ascii="Times New Roman" w:hAnsi="Times New Roman"/>
                <w:sz w:val="24"/>
              </w:rPr>
              <w:t xml:space="preserve">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4099803A" w14:textId="46D5FF84" w:rsidR="00DD00B4" w:rsidRPr="002A677E" w:rsidRDefault="00A648C2"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00DD00B4" w:rsidRPr="002A677E">
              <w:rPr>
                <w:rFonts w:ascii="Times New Roman" w:hAnsi="Times New Roman"/>
                <w:sz w:val="24"/>
              </w:rPr>
              <w:t>Article 47c(2), Article 47c(6</w:t>
            </w:r>
            <w:r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BD9128D" w14:textId="1AB83AE7"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the unsecured part of non-performing forborne exposures that f</w:t>
            </w:r>
            <w:r w:rsidR="00233577" w:rsidRPr="002A677E">
              <w:rPr>
                <w:rFonts w:ascii="Times New Roman" w:hAnsi="Times New Roman"/>
                <w:sz w:val="24"/>
              </w:rPr>
              <w:t>all under Article 47c</w:t>
            </w:r>
            <w:r w:rsidR="00A648C2"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D9FC58F" w14:textId="0A7A9BAF"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356AD33F" w14:textId="7A924E49" w:rsidR="00DD00B4" w:rsidRPr="002A677E" w:rsidRDefault="00303974"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immovable property pursuant t</w:t>
            </w:r>
            <w:r w:rsidR="00233577" w:rsidRPr="002A677E">
              <w:rPr>
                <w:rFonts w:ascii="Times New Roman" w:hAnsi="Times New Roman"/>
                <w:sz w:val="24"/>
              </w:rPr>
              <w:t>o Part Three</w:t>
            </w:r>
            <w:r w:rsidR="00E67B4A" w:rsidRPr="002A677E">
              <w:rPr>
                <w:rFonts w:ascii="Times New Roman" w:hAnsi="Times New Roman"/>
                <w:sz w:val="24"/>
              </w:rPr>
              <w:t>,</w:t>
            </w:r>
            <w:r w:rsidR="00233577"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are residential loans guaranteed by an eligible protection provider as referr</w:t>
            </w:r>
            <w:r w:rsidR="00233577" w:rsidRPr="002A677E">
              <w:rPr>
                <w:rFonts w:ascii="Times New Roman" w:hAnsi="Times New Roman"/>
                <w:sz w:val="24"/>
              </w:rPr>
              <w:t xml:space="preserve">ed to in Article 201 </w:t>
            </w:r>
            <w:r w:rsidR="00F75233" w:rsidRPr="001235ED">
              <w:rPr>
                <w:rFonts w:ascii="Times New Roman" w:hAnsi="Times New Roman"/>
                <w:sz w:val="24"/>
                <w:lang w:val="en-US"/>
              </w:rPr>
              <w:t>of that Regulation</w:t>
            </w:r>
            <w:r w:rsidR="00DD00B4" w:rsidRPr="002A677E">
              <w:rPr>
                <w:rFonts w:ascii="Times New Roman" w:hAnsi="Times New Roman"/>
                <w:sz w:val="24"/>
              </w:rPr>
              <w:t>, falli</w:t>
            </w:r>
            <w:r w:rsidR="00233577" w:rsidRPr="002A677E">
              <w:rPr>
                <w:rFonts w:ascii="Times New Roman" w:hAnsi="Times New Roman"/>
                <w:sz w:val="24"/>
              </w:rPr>
              <w:t xml:space="preserve">ng under Article 47c(6) </w:t>
            </w:r>
            <w:r w:rsidR="00F75233" w:rsidRPr="001235ED">
              <w:rPr>
                <w:rFonts w:ascii="Times New Roman" w:hAnsi="Times New Roman"/>
                <w:sz w:val="24"/>
                <w:lang w:val="en-US"/>
              </w:rPr>
              <w:t>of that Regulation</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D8A5075" w14:textId="4E66820E"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(e) and (g), </w:t>
            </w:r>
            <w:r w:rsidR="00FC223C" w:rsidRPr="002A677E">
              <w:rPr>
                <w:rFonts w:ascii="Times New Roman" w:hAnsi="Times New Roman"/>
                <w:sz w:val="24"/>
              </w:rPr>
              <w:t xml:space="preserve">Article 47c(6) </w:t>
            </w:r>
            <w:r w:rsidR="00F75233" w:rsidRPr="001235ED">
              <w:rPr>
                <w:rFonts w:ascii="Times New Roman" w:hAnsi="Times New Roman"/>
                <w:sz w:val="24"/>
                <w:lang w:val="en-US"/>
              </w:rPr>
              <w:t>of Regulation (EU) No 575/2013</w:t>
            </w:r>
          </w:p>
          <w:p w14:paraId="7E3D68AC" w14:textId="4D98347E" w:rsidR="00DD00B4" w:rsidRPr="002A677E" w:rsidRDefault="00303974" w:rsidP="00303974">
            <w:pPr>
              <w:rPr>
                <w:rFonts w:ascii="Times New Roman" w:hAnsi="Times New Roman"/>
                <w:sz w:val="24"/>
              </w:rPr>
            </w:pPr>
            <w:r w:rsidRPr="002A677E">
              <w:rPr>
                <w:rFonts w:ascii="Times New Roman" w:hAnsi="Times New Roman"/>
                <w:sz w:val="24"/>
              </w:rPr>
              <w:lastRenderedPageBreak/>
              <w:t>Institutions shall report the t</w:t>
            </w:r>
            <w:r w:rsidR="00DD00B4" w:rsidRPr="002A677E">
              <w:rPr>
                <w:rFonts w:ascii="Times New Roman" w:hAnsi="Times New Roman"/>
                <w:sz w:val="24"/>
              </w:rPr>
              <w:t>otal minimum coverage requirement for parts of non-performing forborne exposures se-cured by other funded or unfunded credit protection, falling</w:t>
            </w:r>
            <w:r w:rsidR="00233577" w:rsidRPr="002A677E">
              <w:rPr>
                <w:rFonts w:ascii="Times New Roman" w:hAnsi="Times New Roman"/>
                <w:sz w:val="24"/>
              </w:rPr>
              <w:t xml:space="preserve">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37B9F3D5" w14:textId="6322A4B5" w:rsidR="00DD00B4" w:rsidRPr="002A677E" w:rsidRDefault="00233577" w:rsidP="00DD00B4">
            <w:pPr>
              <w:rPr>
                <w:rFonts w:ascii="Times New Roman" w:hAnsi="Times New Roman"/>
                <w:sz w:val="24"/>
              </w:rPr>
            </w:pPr>
            <w:r w:rsidRPr="002A677E">
              <w:rPr>
                <w:rFonts w:ascii="Times New Roman" w:hAnsi="Times New Roman"/>
                <w:sz w:val="24"/>
              </w:rPr>
              <w:t xml:space="preserve">Article 47a(2) and Article 47c(6) </w:t>
            </w:r>
            <w:r w:rsidR="00F75233" w:rsidRPr="001235ED">
              <w:rPr>
                <w:rFonts w:ascii="Times New Roman" w:hAnsi="Times New Roman"/>
                <w:sz w:val="24"/>
                <w:lang w:val="en-US"/>
              </w:rPr>
              <w:t>of Regulation (EU) No 575/2013</w:t>
            </w:r>
          </w:p>
          <w:p w14:paraId="73CC09B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39625700" w14:textId="431592EA" w:rsidR="00DD00B4" w:rsidRPr="002A677E" w:rsidRDefault="00233577"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 Article 47c(6)</w:t>
            </w:r>
            <w:r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0CB07F08" w14:textId="2DB1E8B6" w:rsidR="00DD00B4" w:rsidRPr="002A677E" w:rsidRDefault="00303974" w:rsidP="00303974">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forborne N</w:t>
            </w:r>
            <w:r w:rsidR="00233577" w:rsidRPr="002A677E">
              <w:rPr>
                <w:rFonts w:ascii="Times New Roman" w:hAnsi="Times New Roman"/>
                <w:sz w:val="24"/>
              </w:rPr>
              <w:t xml:space="preserve">PEs that fall under Article 47c(6) </w:t>
            </w:r>
            <w:r w:rsidR="00F75233" w:rsidRPr="001235ED">
              <w:rPr>
                <w:rFonts w:ascii="Times New Roman" w:hAnsi="Times New Roman"/>
                <w:sz w:val="24"/>
                <w:lang w:val="en-US"/>
              </w:rPr>
              <w:t>of Regulation (EU) No 575/2013</w:t>
            </w:r>
            <w:r w:rsidR="00D53774"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2F389D69" w14:textId="35F83915" w:rsidR="00DD00B4" w:rsidRPr="002A677E" w:rsidRDefault="006C0EF3" w:rsidP="00DD00B4">
            <w:pPr>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Article 47c(1) and Article 47c(3)</w:t>
            </w:r>
            <w:r w:rsidR="00B83DDE">
              <w:rPr>
                <w:rFonts w:ascii="Times New Roman" w:hAnsi="Times New Roman"/>
                <w:sz w:val="24"/>
              </w:rPr>
              <w:t>, p</w:t>
            </w:r>
            <w:r w:rsidR="003B09EA"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9FB8F53" w14:textId="247F1EAE" w:rsidR="00DD00B4" w:rsidRPr="002A677E" w:rsidRDefault="00303974" w:rsidP="00F75233">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forborne NPEs</w:t>
            </w:r>
            <w:r w:rsidR="00402284">
              <w:rPr>
                <w:rFonts w:ascii="Times New Roman" w:hAnsi="Times New Roman"/>
                <w:sz w:val="24"/>
              </w:rPr>
              <w:t xml:space="preserve"> </w:t>
            </w:r>
            <w:r w:rsidR="008D0D6A" w:rsidRPr="002A677E">
              <w:rPr>
                <w:rFonts w:ascii="Times New Roman" w:hAnsi="Times New Roman"/>
                <w:sz w:val="24"/>
              </w:rPr>
              <w:t xml:space="preserve">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immovable property pursuant t</w:t>
            </w:r>
            <w:r w:rsidR="008D0D6A" w:rsidRPr="002A677E">
              <w:rPr>
                <w:rFonts w:ascii="Times New Roman" w:hAnsi="Times New Roman"/>
                <w:sz w:val="24"/>
              </w:rPr>
              <w:t xml:space="preserve">o </w:t>
            </w:r>
            <w:r w:rsidR="00E67B4A" w:rsidRPr="002A677E">
              <w:rPr>
                <w:rFonts w:ascii="Times New Roman" w:hAnsi="Times New Roman"/>
                <w:sz w:val="24"/>
              </w:rPr>
              <w:t xml:space="preserve">Part Three, Title II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or that is a residential loan guaranteed by an eligible protection provider as re</w:t>
            </w:r>
            <w:r w:rsidR="008D0D6A"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7E8AA50" w14:textId="6FD313C5"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0932C52B" w14:textId="5AA85F38"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D3F8794" w14:textId="1D5D4BD7"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 xml:space="preserve">where the first forbearance measure has been </w:t>
            </w:r>
            <w:r w:rsidRPr="002A677E">
              <w:rPr>
                <w:rFonts w:ascii="Times New Roman" w:hAnsi="Times New Roman"/>
                <w:sz w:val="24"/>
              </w:rPr>
              <w:lastRenderedPageBreak/>
              <w:t>granted between the first and the last day of the fifth year after the classification of the exposure as non-performing.</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74ECA5C1" w14:textId="2406DE92"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 secured</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sixth year after the classification of the exposure as non-performing.</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sidRPr="002A677E">
              <w:rPr>
                <w:rFonts w:ascii="Times New Roman" w:hAnsi="Times New Roman"/>
                <w:b/>
                <w:sz w:val="24"/>
              </w:rPr>
              <w:t>Part of NPEs secured by other funded or unfunded credit protection</w:t>
            </w:r>
          </w:p>
          <w:p w14:paraId="1EE8A172" w14:textId="0D0FC369" w:rsidR="00DD00B4" w:rsidRPr="002A677E" w:rsidRDefault="00DD00B4" w:rsidP="00DD00B4">
            <w:pPr>
              <w:jc w:val="left"/>
              <w:rPr>
                <w:rFonts w:ascii="Times New Roman" w:hAnsi="Times New Roman"/>
                <w:sz w:val="24"/>
              </w:rPr>
            </w:pPr>
            <w:r w:rsidRPr="002A677E">
              <w:rPr>
                <w:rFonts w:ascii="Times New Roman" w:hAnsi="Times New Roman"/>
                <w:sz w:val="24"/>
              </w:rPr>
              <w:t>Article 47c(1), and Article 47c(3)</w:t>
            </w:r>
            <w:r w:rsidR="00B83DDE">
              <w:rPr>
                <w:rFonts w:ascii="Times New Roman" w:hAnsi="Times New Roman"/>
                <w:sz w:val="24"/>
              </w:rPr>
              <w:t>, p</w:t>
            </w:r>
            <w:r w:rsidR="003175FE" w:rsidRPr="002A677E">
              <w:rPr>
                <w:rFonts w:ascii="Times New Roman" w:hAnsi="Times New Roman"/>
                <w:sz w:val="24"/>
              </w:rPr>
              <w:t xml:space="preserve">oints (a), (b), (c), (e) and (g), </w:t>
            </w:r>
            <w:r w:rsidRPr="002A677E">
              <w:rPr>
                <w:rFonts w:ascii="Times New Roman" w:hAnsi="Times New Roman"/>
                <w:sz w:val="24"/>
              </w:rPr>
              <w:t>Article 47c(6)</w:t>
            </w:r>
            <w:r w:rsidR="008D0D6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D8662BC" w14:textId="375705A6" w:rsidR="00DD00B4" w:rsidRPr="002A677E" w:rsidRDefault="00303974" w:rsidP="003175FE">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w:t>
            </w:r>
            <w:r w:rsidR="008D0D6A" w:rsidRPr="002A677E">
              <w:rPr>
                <w:rFonts w:ascii="Times New Roman" w:hAnsi="Times New Roman"/>
                <w:sz w:val="24"/>
              </w:rPr>
              <w:t xml:space="preserve">s of forborne NPEs 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8D0D6A" w:rsidRPr="002A677E">
              <w:rPr>
                <w:rFonts w:ascii="Times New Roman" w:hAnsi="Times New Roman"/>
                <w:sz w:val="24"/>
              </w:rPr>
              <w:t>o Part Three</w:t>
            </w:r>
            <w:r w:rsidR="003175FE" w:rsidRPr="002A677E">
              <w:rPr>
                <w:rFonts w:ascii="Times New Roman" w:hAnsi="Times New Roman"/>
                <w:sz w:val="24"/>
              </w:rPr>
              <w:t>,</w:t>
            </w:r>
            <w:r w:rsidR="008D0D6A" w:rsidRPr="002A677E">
              <w:rPr>
                <w:rFonts w:ascii="Times New Roman" w:hAnsi="Times New Roman"/>
                <w:sz w:val="24"/>
              </w:rPr>
              <w:t xml:space="preserve"> </w:t>
            </w:r>
            <w:r w:rsidR="003175FE"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0775FEE8" w14:textId="3BED630E" w:rsidR="00DD00B4" w:rsidRPr="002A677E" w:rsidRDefault="00DD00B4" w:rsidP="008D0D6A">
            <w:pPr>
              <w:rPr>
                <w:rFonts w:ascii="Times New Roman" w:hAnsi="Times New Roman"/>
                <w:b/>
                <w:sz w:val="24"/>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166EB0FC" w14:textId="44DB2751"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BE36D18" w14:textId="31C1F790" w:rsidR="00DD00B4" w:rsidRPr="002A677E" w:rsidRDefault="00DD00B4" w:rsidP="008D0D6A">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66B47D67" w14:textId="05FBB0C8"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 that fa</w:t>
            </w:r>
            <w:r w:rsidR="008D0D6A" w:rsidRPr="002A677E">
              <w:rPr>
                <w:rFonts w:ascii="Times New Roman" w:hAnsi="Times New Roman"/>
                <w:sz w:val="24"/>
              </w:rPr>
              <w:t xml:space="preserve">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sidR="008D696E">
              <w:rPr>
                <w:rFonts w:ascii="Times New Roman" w:hAnsi="Times New Roman"/>
                <w:sz w:val="24"/>
              </w:rPr>
              <w:t>’</w:t>
            </w:r>
          </w:p>
        </w:tc>
      </w:tr>
    </w:tbl>
    <w:p w14:paraId="59BBB927" w14:textId="77777777" w:rsidR="00DD00B4" w:rsidRDefault="00DD00B4" w:rsidP="006452A4">
      <w:pPr>
        <w:spacing w:after="0"/>
        <w:rPr>
          <w:rStyle w:val="InstructionsTabelleText"/>
          <w:rFonts w:ascii="Times New Roman" w:hAnsi="Times New Roman"/>
          <w:sz w:val="24"/>
        </w:rPr>
      </w:pPr>
    </w:p>
    <w:p w14:paraId="607D2E45" w14:textId="2ECC5240" w:rsidR="00AB3069" w:rsidRPr="00281B20" w:rsidRDefault="003E6AEB" w:rsidP="000059B8">
      <w:pPr>
        <w:pStyle w:val="Instructionsberschrift2"/>
        <w:numPr>
          <w:ilvl w:val="0"/>
          <w:numId w:val="0"/>
        </w:numPr>
        <w:ind w:left="357" w:hanging="357"/>
      </w:pPr>
      <w:bookmarkStart w:id="793" w:name="_Toc151714534"/>
      <w:r>
        <w:rPr>
          <w:rFonts w:ascii="Times New Roman" w:hAnsi="Times New Roman" w:cs="Times New Roman"/>
          <w:sz w:val="24"/>
        </w:rPr>
        <w:lastRenderedPageBreak/>
        <w:t xml:space="preserve">9. </w:t>
      </w:r>
      <w:r w:rsidR="008A2BE3">
        <w:rPr>
          <w:rFonts w:ascii="Times New Roman" w:hAnsi="Times New Roman" w:cs="Times New Roman"/>
          <w:sz w:val="24"/>
        </w:rPr>
        <w:t>Trading book and market risk thresholds, t</w:t>
      </w:r>
      <w:r w:rsidR="00AB3069" w:rsidRPr="000059B8">
        <w:rPr>
          <w:rFonts w:ascii="Times New Roman" w:hAnsi="Times New Roman" w:cs="Times New Roman"/>
          <w:sz w:val="24"/>
        </w:rPr>
        <w:t>he boundary between trading book and non-trading book and reclassifications</w:t>
      </w:r>
      <w:bookmarkEnd w:id="793"/>
    </w:p>
    <w:p w14:paraId="1FF5D1DF" w14:textId="0F2EDAF4" w:rsidR="00A4497F" w:rsidRDefault="003E6AEB" w:rsidP="00A4497F">
      <w:pPr>
        <w:pStyle w:val="Instructionsberschrift2"/>
        <w:numPr>
          <w:ilvl w:val="0"/>
          <w:numId w:val="0"/>
        </w:numPr>
        <w:ind w:left="357" w:hanging="357"/>
        <w:rPr>
          <w:rFonts w:ascii="Times New Roman" w:hAnsi="Times New Roman" w:cs="Times New Roman"/>
          <w:sz w:val="24"/>
        </w:rPr>
      </w:pPr>
      <w:bookmarkStart w:id="794" w:name="_Toc7084156"/>
      <w:bookmarkStart w:id="795" w:name="_Toc37168636"/>
      <w:bookmarkStart w:id="796" w:name="_Toc151714535"/>
      <w:r>
        <w:rPr>
          <w:rFonts w:ascii="Times New Roman" w:hAnsi="Times New Roman" w:cs="Times New Roman"/>
          <w:sz w:val="24"/>
        </w:rPr>
        <w:t>9.</w:t>
      </w:r>
      <w:r w:rsidRPr="000059B8">
        <w:rPr>
          <w:rFonts w:ascii="Times New Roman" w:hAnsi="Times New Roman" w:cs="Times New Roman"/>
          <w:sz w:val="24"/>
        </w:rPr>
        <w:t>1</w:t>
      </w:r>
      <w:r w:rsidR="00A4497F" w:rsidRPr="000059B8">
        <w:rPr>
          <w:rFonts w:ascii="Times New Roman" w:hAnsi="Times New Roman" w:cs="Times New Roman"/>
          <w:sz w:val="24"/>
        </w:rPr>
        <w:tab/>
      </w:r>
      <w:bookmarkEnd w:id="794"/>
      <w:r w:rsidR="00A4497F" w:rsidRPr="000059B8">
        <w:rPr>
          <w:rFonts w:ascii="Times New Roman" w:hAnsi="Times New Roman" w:cs="Times New Roman"/>
          <w:sz w:val="24"/>
        </w:rPr>
        <w:t>C 90.00 – Trading book and market risk thresholds</w:t>
      </w:r>
      <w:bookmarkEnd w:id="795"/>
      <w:bookmarkEnd w:id="796"/>
    </w:p>
    <w:tbl>
      <w:tblPr>
        <w:tblStyle w:val="TableGrid"/>
        <w:tblW w:w="0" w:type="auto"/>
        <w:tblLook w:val="04A0" w:firstRow="1" w:lastRow="0" w:firstColumn="1" w:lastColumn="0" w:noHBand="0" w:noVBand="1"/>
      </w:tblPr>
      <w:tblGrid>
        <w:gridCol w:w="9062"/>
      </w:tblGrid>
      <w:tr w:rsidR="00D35656" w14:paraId="5544DBAF" w14:textId="77777777" w:rsidTr="00D35656">
        <w:tc>
          <w:tcPr>
            <w:tcW w:w="9062" w:type="dxa"/>
          </w:tcPr>
          <w:p w14:paraId="789C5F86" w14:textId="77777777" w:rsidR="00D35656" w:rsidRPr="0051092B" w:rsidRDefault="00D35656" w:rsidP="00D35656">
            <w:pPr>
              <w:pStyle w:val="body"/>
              <w:rPr>
                <w:b/>
                <w:bCs/>
                <w:lang w:val="en-GB"/>
              </w:rPr>
            </w:pPr>
            <w:r w:rsidRPr="0051092B">
              <w:rPr>
                <w:b/>
                <w:bCs/>
                <w:lang w:val="en-GB"/>
              </w:rPr>
              <w:t>Explanatory text for consultation purposes</w:t>
            </w:r>
          </w:p>
          <w:p w14:paraId="433EA4CB" w14:textId="288A7CEE" w:rsidR="00D35656" w:rsidRDefault="00D35656" w:rsidP="0046567A">
            <w:pPr>
              <w:pStyle w:val="body"/>
            </w:pPr>
            <w:r>
              <w:rPr>
                <w:lang w:val="en-GB"/>
              </w:rPr>
              <w:t xml:space="preserve">This reporting requirement is currently already in place </w:t>
            </w:r>
            <w:r w:rsidR="0046567A">
              <w:rPr>
                <w:lang w:val="en-GB"/>
              </w:rPr>
              <w:t xml:space="preserve">and remains unchanged </w:t>
            </w:r>
            <w:r>
              <w:rPr>
                <w:lang w:val="en-GB"/>
              </w:rPr>
              <w:t xml:space="preserve">(see Regulation (EU) 2021/453 and </w:t>
            </w:r>
            <w:r w:rsidR="00372E88">
              <w:rPr>
                <w:lang w:val="en-GB"/>
              </w:rPr>
              <w:t xml:space="preserve">the upcoming final report on the amendments proposed in </w:t>
            </w:r>
            <w:r>
              <w:rPr>
                <w:lang w:val="en-GB"/>
              </w:rPr>
              <w:t>EBA/</w:t>
            </w:r>
            <w:r w:rsidR="00372E88">
              <w:rPr>
                <w:lang w:val="en-GB"/>
              </w:rPr>
              <w:t>CP</w:t>
            </w:r>
            <w:r w:rsidR="0046567A">
              <w:rPr>
                <w:lang w:val="en-GB"/>
              </w:rPr>
              <w:t>/2023/</w:t>
            </w:r>
            <w:r w:rsidR="00372E88">
              <w:rPr>
                <w:lang w:val="en-GB"/>
              </w:rPr>
              <w:t>03</w:t>
            </w:r>
            <w:r w:rsidR="0046567A">
              <w:rPr>
                <w:lang w:val="en-GB"/>
              </w:rPr>
              <w:t xml:space="preserve">). It </w:t>
            </w:r>
            <w:r w:rsidR="00372E88">
              <w:rPr>
                <w:lang w:val="en-GB"/>
              </w:rPr>
              <w:t>will be</w:t>
            </w:r>
            <w:r w:rsidR="0046567A">
              <w:rPr>
                <w:lang w:val="en-GB"/>
              </w:rPr>
              <w:t xml:space="preserve"> included here to merge the reporting requirements originally included in Regulation (EU) 2021/453 with those in this Regulation.</w:t>
            </w:r>
          </w:p>
        </w:tc>
      </w:tr>
    </w:tbl>
    <w:p w14:paraId="3D64E99A" w14:textId="1F465D5E" w:rsidR="00AB3069" w:rsidRPr="004572C7" w:rsidRDefault="003E6AEB" w:rsidP="000059B8">
      <w:pPr>
        <w:pStyle w:val="Instructionsberschrift2"/>
        <w:numPr>
          <w:ilvl w:val="0"/>
          <w:numId w:val="0"/>
        </w:numPr>
        <w:ind w:left="357" w:hanging="357"/>
      </w:pPr>
      <w:bookmarkStart w:id="797" w:name="_Toc151714536"/>
      <w:r w:rsidRPr="000059B8">
        <w:rPr>
          <w:rFonts w:ascii="Times New Roman" w:hAnsi="Times New Roman" w:cs="Times New Roman"/>
          <w:sz w:val="24"/>
        </w:rPr>
        <w:t>9.</w:t>
      </w:r>
      <w:r w:rsidR="00D35656">
        <w:rPr>
          <w:rFonts w:ascii="Times New Roman" w:hAnsi="Times New Roman" w:cs="Times New Roman"/>
          <w:sz w:val="24"/>
        </w:rPr>
        <w:t>2</w:t>
      </w:r>
      <w:r w:rsidRPr="000059B8">
        <w:rPr>
          <w:rFonts w:ascii="Times New Roman" w:hAnsi="Times New Roman" w:cs="Times New Roman"/>
          <w:sz w:val="24"/>
        </w:rPr>
        <w:t xml:space="preserve"> </w:t>
      </w:r>
      <w:r w:rsidR="00AB3069" w:rsidRPr="000059B8">
        <w:rPr>
          <w:rFonts w:ascii="Times New Roman" w:hAnsi="Times New Roman" w:cs="Times New Roman"/>
          <w:sz w:val="24"/>
        </w:rPr>
        <w:t>The boundary between trading book and non-trading book</w:t>
      </w:r>
      <w:r w:rsidR="00021B54" w:rsidRPr="000059B8">
        <w:rPr>
          <w:rFonts w:ascii="Times New Roman" w:hAnsi="Times New Roman" w:cs="Times New Roman"/>
          <w:sz w:val="24"/>
        </w:rPr>
        <w:t xml:space="preserve"> (BOU)</w:t>
      </w:r>
      <w:bookmarkEnd w:id="797"/>
    </w:p>
    <w:p w14:paraId="2D9236ED" w14:textId="27F33E1C" w:rsidR="009B2CA6" w:rsidRPr="000059B8" w:rsidRDefault="00A5627D" w:rsidP="009B2CA6">
      <w:pPr>
        <w:pStyle w:val="Instructionsberschrift2"/>
        <w:numPr>
          <w:ilvl w:val="0"/>
          <w:numId w:val="0"/>
        </w:numPr>
        <w:ind w:left="357" w:hanging="357"/>
        <w:rPr>
          <w:rFonts w:ascii="Times New Roman" w:hAnsi="Times New Roman" w:cs="Times New Roman"/>
          <w:sz w:val="24"/>
          <w:lang w:val="en-GB"/>
        </w:rPr>
      </w:pPr>
      <w:bookmarkStart w:id="798" w:name="_Toc151714537"/>
      <w:r w:rsidRPr="000059B8">
        <w:rPr>
          <w:rFonts w:ascii="Times New Roman" w:hAnsi="Times New Roman" w:cs="Times New Roman"/>
          <w:sz w:val="24"/>
          <w:lang w:val="en-GB"/>
        </w:rPr>
        <w:t>9.</w:t>
      </w:r>
      <w:r w:rsidR="00D35656" w:rsidRPr="000059B8">
        <w:rPr>
          <w:rFonts w:ascii="Times New Roman" w:hAnsi="Times New Roman" w:cs="Times New Roman"/>
          <w:sz w:val="24"/>
          <w:lang w:val="en-GB"/>
        </w:rPr>
        <w:t>2</w:t>
      </w:r>
      <w:r w:rsidRPr="000059B8">
        <w:rPr>
          <w:rFonts w:ascii="Times New Roman" w:hAnsi="Times New Roman" w:cs="Times New Roman"/>
          <w:sz w:val="24"/>
          <w:lang w:val="en-GB"/>
        </w:rPr>
        <w:t>.1</w:t>
      </w:r>
      <w:r w:rsidR="009B2CA6" w:rsidRPr="000059B8">
        <w:rPr>
          <w:rFonts w:ascii="Times New Roman" w:hAnsi="Times New Roman" w:cs="Times New Roman"/>
          <w:sz w:val="24"/>
          <w:lang w:val="en-GB"/>
        </w:rPr>
        <w:tab/>
        <w:t>General remarks</w:t>
      </w:r>
      <w:bookmarkEnd w:id="798"/>
    </w:p>
    <w:p w14:paraId="5D51F5A4" w14:textId="6C616322" w:rsidR="009B2CA6" w:rsidRPr="0051092B" w:rsidRDefault="00A712E1" w:rsidP="008C51B5">
      <w:pPr>
        <w:pStyle w:val="InstructionsText2"/>
        <w:numPr>
          <w:ilvl w:val="0"/>
          <w:numId w:val="0"/>
        </w:numPr>
      </w:pPr>
      <w:r>
        <w:fldChar w:fldCharType="begin"/>
      </w:r>
      <w:r>
        <w:instrText xml:space="preserve"> seq paragraphs </w:instrText>
      </w:r>
      <w:r>
        <w:fldChar w:fldCharType="separate"/>
      </w:r>
      <w:r>
        <w:rPr>
          <w:noProof/>
        </w:rPr>
        <w:t>208</w:t>
      </w:r>
      <w:r>
        <w:fldChar w:fldCharType="end"/>
      </w:r>
      <w:r w:rsidR="0046567A">
        <w:t xml:space="preserve">. </w:t>
      </w:r>
      <w:r w:rsidR="009B2CA6" w:rsidRPr="0051092B">
        <w:t xml:space="preserve">This template shall be used to provide information on the composition of the trading book (BOU1) and non-trading book (BOU2) in the light of the presumptions for including instruments into the books stipulated in Article 104 of Regulation (EU) No 575/2013. </w:t>
      </w:r>
    </w:p>
    <w:p w14:paraId="6EE2D450" w14:textId="77777777" w:rsidR="00015197" w:rsidRDefault="00A5627D" w:rsidP="009B2CA6">
      <w:pPr>
        <w:pStyle w:val="Instructionsberschrift2"/>
        <w:numPr>
          <w:ilvl w:val="0"/>
          <w:numId w:val="0"/>
        </w:numPr>
        <w:ind w:left="357" w:hanging="357"/>
        <w:rPr>
          <w:rFonts w:ascii="Times New Roman" w:hAnsi="Times New Roman" w:cs="Times New Roman"/>
          <w:sz w:val="24"/>
          <w:lang w:val="en-GB"/>
        </w:rPr>
      </w:pPr>
      <w:bookmarkStart w:id="799" w:name="_Toc151714538"/>
      <w:r>
        <w:rPr>
          <w:rFonts w:ascii="Times New Roman" w:hAnsi="Times New Roman" w:cs="Times New Roman"/>
          <w:sz w:val="24"/>
          <w:lang w:val="en-GB"/>
        </w:rPr>
        <w:t>9.</w:t>
      </w:r>
      <w:r w:rsidR="00D35656">
        <w:rPr>
          <w:rFonts w:ascii="Times New Roman" w:hAnsi="Times New Roman" w:cs="Times New Roman"/>
          <w:sz w:val="24"/>
          <w:lang w:val="en-GB"/>
        </w:rPr>
        <w:t>2</w:t>
      </w:r>
      <w:r w:rsidR="009B2CA6" w:rsidRPr="0051092B">
        <w:rPr>
          <w:rFonts w:ascii="Times New Roman" w:hAnsi="Times New Roman" w:cs="Times New Roman"/>
          <w:sz w:val="24"/>
          <w:lang w:val="en-GB"/>
        </w:rPr>
        <w:t>.2</w:t>
      </w:r>
      <w:r w:rsidR="009B2CA6" w:rsidRPr="0051092B">
        <w:rPr>
          <w:rFonts w:ascii="Times New Roman" w:hAnsi="Times New Roman" w:cs="Times New Roman"/>
          <w:lang w:val="en-GB"/>
        </w:rPr>
        <w:tab/>
      </w:r>
      <w:r w:rsidR="009B2CA6" w:rsidRPr="0051092B">
        <w:rPr>
          <w:rFonts w:ascii="Times New Roman" w:hAnsi="Times New Roman" w:cs="Times New Roman"/>
          <w:sz w:val="24"/>
          <w:lang w:val="en-GB"/>
        </w:rPr>
        <w:t>C 90.05 – Boundary: Trading book (BOU1)</w:t>
      </w:r>
      <w:bookmarkEnd w:id="799"/>
    </w:p>
    <w:p w14:paraId="642D4D18" w14:textId="1B329C57" w:rsidR="00015197" w:rsidRDefault="00015197" w:rsidP="009B2CA6">
      <w:pPr>
        <w:pStyle w:val="Instructionsberschrift2"/>
        <w:numPr>
          <w:ilvl w:val="0"/>
          <w:numId w:val="0"/>
        </w:numPr>
        <w:ind w:left="357" w:hanging="357"/>
        <w:rPr>
          <w:rFonts w:ascii="Times New Roman" w:hAnsi="Times New Roman" w:cs="Times New Roman"/>
          <w:sz w:val="24"/>
          <w:lang w:val="en-GB"/>
        </w:rPr>
      </w:pPr>
      <w:bookmarkStart w:id="800" w:name="_Toc151714539"/>
      <w:r>
        <w:rPr>
          <w:rFonts w:ascii="Times New Roman" w:hAnsi="Times New Roman" w:cs="Times New Roman"/>
          <w:sz w:val="24"/>
          <w:lang w:val="en-GB"/>
        </w:rPr>
        <w:t>9.2.2.1 General remarks</w:t>
      </w:r>
      <w:bookmarkEnd w:id="800"/>
    </w:p>
    <w:p w14:paraId="2AF51597" w14:textId="6F2504C3" w:rsidR="00015197" w:rsidRDefault="00A712E1" w:rsidP="00660F94">
      <w:pPr>
        <w:pStyle w:val="InstructionsText2"/>
        <w:numPr>
          <w:ilvl w:val="0"/>
          <w:numId w:val="0"/>
        </w:numPr>
        <w:ind w:left="993"/>
        <w:rPr>
          <w:noProof/>
        </w:rPr>
      </w:pPr>
      <w:r>
        <w:rPr>
          <w:noProof/>
        </w:rPr>
        <w:fldChar w:fldCharType="begin"/>
      </w:r>
      <w:r>
        <w:rPr>
          <w:noProof/>
        </w:rPr>
        <w:instrText xml:space="preserve"> seq paragraphs </w:instrText>
      </w:r>
      <w:r>
        <w:rPr>
          <w:noProof/>
        </w:rPr>
        <w:fldChar w:fldCharType="separate"/>
      </w:r>
      <w:r>
        <w:rPr>
          <w:noProof/>
        </w:rPr>
        <w:t>209</w:t>
      </w:r>
      <w:r>
        <w:rPr>
          <w:noProof/>
        </w:rPr>
        <w:fldChar w:fldCharType="end"/>
      </w:r>
      <w:r w:rsidR="00004C34">
        <w:rPr>
          <w:noProof/>
        </w:rPr>
        <w:t xml:space="preserve">. </w:t>
      </w:r>
      <w:r w:rsidR="00004C34" w:rsidRPr="00004C34">
        <w:rPr>
          <w:noProof/>
        </w:rPr>
        <w:t>Institutions shall report all positions assigned to the trading book</w:t>
      </w:r>
      <w:r w:rsidR="00004C34">
        <w:rPr>
          <w:noProof/>
        </w:rPr>
        <w:t xml:space="preserve"> as referred to in Article </w:t>
      </w:r>
      <w:r w:rsidR="00A05C8B">
        <w:rPr>
          <w:noProof/>
        </w:rPr>
        <w:t>4(1), point (85), of Regulation (EU) No 575/2013</w:t>
      </w:r>
      <w:r w:rsidR="00004C34" w:rsidRPr="00004C34">
        <w:rPr>
          <w:noProof/>
        </w:rPr>
        <w:t xml:space="preserve"> in this template, </w:t>
      </w:r>
      <w:r w:rsidR="00D54B79">
        <w:rPr>
          <w:noProof/>
        </w:rPr>
        <w:t>with the exception</w:t>
      </w:r>
      <w:r w:rsidR="00004C34" w:rsidRPr="00004C34">
        <w:rPr>
          <w:noProof/>
        </w:rPr>
        <w:t xml:space="preserve"> of </w:t>
      </w:r>
      <w:r w:rsidR="00D54B79">
        <w:rPr>
          <w:noProof/>
        </w:rPr>
        <w:t>instruments and positions excluded</w:t>
      </w:r>
      <w:r w:rsidR="00004C34" w:rsidRPr="00004C34">
        <w:rPr>
          <w:noProof/>
        </w:rPr>
        <w:t xml:space="preserve"> from the calculation of the threshold referred to in Article 325a of Regulation (EU) No 575/2013.</w:t>
      </w:r>
    </w:p>
    <w:p w14:paraId="2C4982B9" w14:textId="526F501C" w:rsidR="009B2CA6" w:rsidRPr="0051092B" w:rsidRDefault="00015197" w:rsidP="009B2CA6">
      <w:pPr>
        <w:pStyle w:val="Instructionsberschrift2"/>
        <w:numPr>
          <w:ilvl w:val="0"/>
          <w:numId w:val="0"/>
        </w:numPr>
        <w:ind w:left="357" w:hanging="357"/>
        <w:rPr>
          <w:rFonts w:ascii="Times New Roman" w:hAnsi="Times New Roman" w:cs="Times New Roman"/>
          <w:sz w:val="24"/>
          <w:lang w:val="en-GB"/>
        </w:rPr>
      </w:pPr>
      <w:bookmarkStart w:id="801" w:name="_Toc151714540"/>
      <w:r>
        <w:rPr>
          <w:rFonts w:ascii="Times New Roman" w:hAnsi="Times New Roman" w:cs="Times New Roman"/>
          <w:sz w:val="24"/>
          <w:lang w:val="en-GB"/>
        </w:rPr>
        <w:t>9.2.2.2</w:t>
      </w:r>
      <w:r w:rsidR="009B2CA6">
        <w:rPr>
          <w:rFonts w:ascii="Times New Roman" w:hAnsi="Times New Roman" w:cs="Times New Roman"/>
          <w:sz w:val="24"/>
          <w:lang w:val="en-GB"/>
        </w:rPr>
        <w:t xml:space="preserve"> </w:t>
      </w:r>
      <w:r w:rsidR="009B2CA6" w:rsidRPr="0051092B">
        <w:rPr>
          <w:rFonts w:ascii="Times New Roman" w:hAnsi="Times New Roman" w:cs="Times New Roman"/>
          <w:sz w:val="24"/>
          <w:lang w:val="en-GB"/>
        </w:rPr>
        <w:t>Instructions concerning specific positions</w:t>
      </w:r>
      <w:bookmarkEnd w:id="801"/>
    </w:p>
    <w:tbl>
      <w:tblPr>
        <w:tblStyle w:val="TableGrid"/>
        <w:tblW w:w="0" w:type="auto"/>
        <w:tblLook w:val="04A0" w:firstRow="1" w:lastRow="0" w:firstColumn="1" w:lastColumn="0" w:noHBand="0" w:noVBand="1"/>
      </w:tblPr>
      <w:tblGrid>
        <w:gridCol w:w="1203"/>
        <w:gridCol w:w="7813"/>
      </w:tblGrid>
      <w:tr w:rsidR="009B2CA6" w:rsidRPr="0051092B" w14:paraId="15D9E2A5" w14:textId="77777777">
        <w:tc>
          <w:tcPr>
            <w:tcW w:w="1203" w:type="dxa"/>
            <w:shd w:val="clear" w:color="auto" w:fill="BFBFBF" w:themeFill="background1" w:themeFillShade="BF"/>
          </w:tcPr>
          <w:p w14:paraId="1B28CD80"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Column</w:t>
            </w:r>
          </w:p>
        </w:tc>
        <w:tc>
          <w:tcPr>
            <w:tcW w:w="7813" w:type="dxa"/>
            <w:shd w:val="clear" w:color="auto" w:fill="BFBFBF" w:themeFill="background1" w:themeFillShade="BF"/>
          </w:tcPr>
          <w:p w14:paraId="07605642"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Legal references and instructions</w:t>
            </w:r>
          </w:p>
        </w:tc>
      </w:tr>
      <w:tr w:rsidR="009B2CA6" w:rsidRPr="0051092B" w14:paraId="55E2B293" w14:textId="77777777">
        <w:trPr>
          <w:trHeight w:val="70"/>
        </w:trPr>
        <w:tc>
          <w:tcPr>
            <w:tcW w:w="1203" w:type="dxa"/>
          </w:tcPr>
          <w:p w14:paraId="62D87E0D"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0010 - 0200</w:t>
            </w:r>
          </w:p>
        </w:tc>
        <w:tc>
          <w:tcPr>
            <w:tcW w:w="7813" w:type="dxa"/>
            <w:vAlign w:val="bottom"/>
          </w:tcPr>
          <w:p w14:paraId="266895B6"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Trading book: Value to the effect of Article 325a of Regulation (EU) no 575/2013</w:t>
            </w:r>
          </w:p>
          <w:p w14:paraId="15442A8E" w14:textId="291C9069" w:rsidR="009B2CA6"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Articles 4(1), point (86), 104, 325a</w:t>
            </w:r>
            <w:r w:rsidR="000B480F">
              <w:rPr>
                <w:rFonts w:ascii="Times New Roman" w:hAnsi="Times New Roman" w:cs="Times New Roman"/>
                <w:lang w:val="en-GB"/>
              </w:rPr>
              <w:t>(2), point (a)</w:t>
            </w:r>
            <w:r w:rsidRPr="0051092B">
              <w:rPr>
                <w:rFonts w:ascii="Times New Roman" w:hAnsi="Times New Roman" w:cs="Times New Roman"/>
                <w:lang w:val="en-GB"/>
              </w:rPr>
              <w:t xml:space="preserve"> of Regulation (EU) No 575/2013</w:t>
            </w:r>
          </w:p>
          <w:tbl>
            <w:tblPr>
              <w:tblStyle w:val="TableGrid"/>
              <w:tblW w:w="0" w:type="auto"/>
              <w:tblLook w:val="04A0" w:firstRow="1" w:lastRow="0" w:firstColumn="1" w:lastColumn="0" w:noHBand="0" w:noVBand="1"/>
            </w:tblPr>
            <w:tblGrid>
              <w:gridCol w:w="7587"/>
            </w:tblGrid>
            <w:tr w:rsidR="009B2CA6" w14:paraId="3F0F3BE9" w14:textId="77777777">
              <w:tc>
                <w:tcPr>
                  <w:tcW w:w="7587" w:type="dxa"/>
                </w:tcPr>
                <w:p w14:paraId="73214F57" w14:textId="77777777" w:rsidR="009B2CA6" w:rsidRPr="0051092B" w:rsidRDefault="009B2CA6">
                  <w:pPr>
                    <w:pStyle w:val="body"/>
                    <w:rPr>
                      <w:b/>
                      <w:bCs/>
                      <w:lang w:val="en-GB"/>
                    </w:rPr>
                  </w:pPr>
                  <w:r w:rsidRPr="0051092B">
                    <w:rPr>
                      <w:b/>
                      <w:bCs/>
                      <w:lang w:val="en-GB"/>
                    </w:rPr>
                    <w:t>Explanatory text for consultation purposes</w:t>
                  </w:r>
                </w:p>
                <w:p w14:paraId="5FEDC0ED" w14:textId="742C445F" w:rsidR="009B2CA6" w:rsidRDefault="009B2CA6">
                  <w:pPr>
                    <w:pStyle w:val="body"/>
                    <w:rPr>
                      <w:rFonts w:ascii="Times New Roman" w:hAnsi="Times New Roman" w:cs="Times New Roman"/>
                      <w:lang w:val="en-GB"/>
                    </w:rPr>
                  </w:pPr>
                  <w:r w:rsidRPr="0051092B">
                    <w:rPr>
                      <w:lang w:val="en-GB"/>
                    </w:rPr>
                    <w:t>The measurement basis here, as well as in template BOU2, is designed to ensure that the figures reported in these two templates can be mapped, to the extent possible and with small exceptions (see corresponding comment in template BOU2), to the values reported in template C 90.0</w:t>
                  </w:r>
                  <w:r w:rsidR="003818BE">
                    <w:rPr>
                      <w:lang w:val="en-GB"/>
                    </w:rPr>
                    <w:t>0</w:t>
                  </w:r>
                  <w:r w:rsidRPr="0051092B">
                    <w:rPr>
                      <w:lang w:val="en-GB"/>
                    </w:rPr>
                    <w:t xml:space="preserve"> (trading book thresholds in quantitative terms)</w:t>
                  </w:r>
                  <w:r>
                    <w:rPr>
                      <w:lang w:val="en-GB"/>
                    </w:rPr>
                    <w:t xml:space="preserve"> and, where applicable, the credit risk templates (C 07, C 08 etc.).</w:t>
                  </w:r>
                </w:p>
              </w:tc>
            </w:tr>
          </w:tbl>
          <w:p w14:paraId="467A1E21" w14:textId="77777777" w:rsidR="009B2CA6" w:rsidRPr="0051092B" w:rsidRDefault="009B2CA6">
            <w:pPr>
              <w:pStyle w:val="BodyText"/>
              <w:spacing w:before="120" w:after="120"/>
              <w:rPr>
                <w:rFonts w:ascii="Times New Roman" w:hAnsi="Times New Roman" w:cs="Times New Roman"/>
                <w:lang w:val="en-GB"/>
              </w:rPr>
            </w:pPr>
          </w:p>
        </w:tc>
      </w:tr>
      <w:tr w:rsidR="009B2CA6" w:rsidRPr="0051092B" w14:paraId="3ABF1256" w14:textId="77777777">
        <w:trPr>
          <w:trHeight w:val="70"/>
        </w:trPr>
        <w:tc>
          <w:tcPr>
            <w:tcW w:w="1203" w:type="dxa"/>
          </w:tcPr>
          <w:p w14:paraId="74E9A264"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lastRenderedPageBreak/>
              <w:t>0010 - 0020</w:t>
            </w:r>
          </w:p>
        </w:tc>
        <w:tc>
          <w:tcPr>
            <w:tcW w:w="7813" w:type="dxa"/>
            <w:vAlign w:val="bottom"/>
          </w:tcPr>
          <w:p w14:paraId="4207D33C"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b/>
                <w:u w:val="single"/>
                <w:lang w:val="en-GB"/>
              </w:rPr>
              <w:t>Long positions / Short positions</w:t>
            </w:r>
          </w:p>
          <w:p w14:paraId="413F76D8" w14:textId="548354D2"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325a(2), second subparagraph, in conjunction with Article 94(3), second subparagraph, of Regulation (EU) No 575/2013</w:t>
            </w:r>
          </w:p>
        </w:tc>
      </w:tr>
      <w:tr w:rsidR="009B2CA6" w:rsidRPr="0051092B" w14:paraId="7262B7A2" w14:textId="77777777">
        <w:tc>
          <w:tcPr>
            <w:tcW w:w="1203" w:type="dxa"/>
          </w:tcPr>
          <w:p w14:paraId="4F2F4D3A"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0030 - 0200</w:t>
            </w:r>
          </w:p>
        </w:tc>
        <w:tc>
          <w:tcPr>
            <w:tcW w:w="7813" w:type="dxa"/>
            <w:vAlign w:val="bottom"/>
          </w:tcPr>
          <w:p w14:paraId="64B277B2"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Sum of long and short positions</w:t>
            </w:r>
          </w:p>
          <w:p w14:paraId="2DA6C866"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325a(2), point (f), of Regulation (EU) No 575/2013</w:t>
            </w:r>
          </w:p>
        </w:tc>
      </w:tr>
      <w:tr w:rsidR="009B2CA6" w:rsidRPr="0051092B" w14:paraId="508C4AB7" w14:textId="77777777">
        <w:tc>
          <w:tcPr>
            <w:tcW w:w="1203" w:type="dxa"/>
          </w:tcPr>
          <w:p w14:paraId="502BC619"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0030</w:t>
            </w:r>
          </w:p>
        </w:tc>
        <w:tc>
          <w:tcPr>
            <w:tcW w:w="7813" w:type="dxa"/>
            <w:vAlign w:val="bottom"/>
          </w:tcPr>
          <w:p w14:paraId="3A5B9DDA"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Sum of long and short positions – of which: in foreign currency</w:t>
            </w:r>
          </w:p>
          <w:p w14:paraId="67C375D5"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Instruments shall be reported in this row, if they are denominated in a currency other than the reporting currency used to calculate the own funds requirements for market risk, if they have an underlying denominated.in a such a foreign currency or have a foreign exchange position as underlying.</w:t>
            </w:r>
          </w:p>
        </w:tc>
      </w:tr>
      <w:tr w:rsidR="009B2CA6" w:rsidRPr="0051092B" w14:paraId="03CCA48F" w14:textId="77777777">
        <w:tc>
          <w:tcPr>
            <w:tcW w:w="1203" w:type="dxa"/>
          </w:tcPr>
          <w:p w14:paraId="311B1C42"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0040 – 0140</w:t>
            </w:r>
          </w:p>
        </w:tc>
        <w:tc>
          <w:tcPr>
            <w:tcW w:w="7813" w:type="dxa"/>
            <w:vAlign w:val="bottom"/>
          </w:tcPr>
          <w:p w14:paraId="7817D847"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Sum of long and short positions – Mandatorily in the trading book</w:t>
            </w:r>
          </w:p>
          <w:p w14:paraId="45D126DC"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Where an instrument meets more than one condition for having to be included in the trading book, institutions shall report it in the column they deem most suitable among columns 0050 to 0130. Instruments classified as having a trading purpose under the accounting framework shall only be reported in column 0140, if they cannot be assigned to any of the columns 0050 to 0130.</w:t>
            </w:r>
          </w:p>
        </w:tc>
      </w:tr>
      <w:tr w:rsidR="009B2CA6" w:rsidRPr="0051092B" w14:paraId="6AC9BF62" w14:textId="77777777">
        <w:tc>
          <w:tcPr>
            <w:tcW w:w="1203" w:type="dxa"/>
          </w:tcPr>
          <w:p w14:paraId="5CD1C53C"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0040</w:t>
            </w:r>
          </w:p>
        </w:tc>
        <w:tc>
          <w:tcPr>
            <w:tcW w:w="7813" w:type="dxa"/>
            <w:vAlign w:val="bottom"/>
          </w:tcPr>
          <w:p w14:paraId="76886CFB"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Mandatorily in the trading book</w:t>
            </w:r>
          </w:p>
        </w:tc>
      </w:tr>
      <w:tr w:rsidR="009B2CA6" w:rsidRPr="0051092B" w14:paraId="1DB81A60" w14:textId="77777777">
        <w:tc>
          <w:tcPr>
            <w:tcW w:w="1203" w:type="dxa"/>
          </w:tcPr>
          <w:p w14:paraId="58C00983"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0050</w:t>
            </w:r>
          </w:p>
        </w:tc>
        <w:tc>
          <w:tcPr>
            <w:tcW w:w="7813" w:type="dxa"/>
          </w:tcPr>
          <w:p w14:paraId="5A39CA9E"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Instruments in the ACTP</w:t>
            </w:r>
          </w:p>
          <w:p w14:paraId="761EFC0B"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Article 104(2), first subparagraph, point (a) of Regulation (EU) No 575/2013</w:t>
            </w:r>
          </w:p>
        </w:tc>
      </w:tr>
      <w:tr w:rsidR="009B2CA6" w:rsidRPr="0051092B" w14:paraId="6F489832" w14:textId="77777777">
        <w:tc>
          <w:tcPr>
            <w:tcW w:w="1203" w:type="dxa"/>
          </w:tcPr>
          <w:p w14:paraId="3AD88966"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0060</w:t>
            </w:r>
          </w:p>
        </w:tc>
        <w:tc>
          <w:tcPr>
            <w:tcW w:w="7813" w:type="dxa"/>
          </w:tcPr>
          <w:p w14:paraId="201BF48F"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Instruments that would give rise to a net short credit or equity position in the banking book</w:t>
            </w:r>
          </w:p>
          <w:p w14:paraId="6B81D801"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Article 104(2), first subparagraph, point (b) of Regulation (EU) No 575/2013</w:t>
            </w:r>
          </w:p>
        </w:tc>
      </w:tr>
      <w:tr w:rsidR="009B2CA6" w:rsidRPr="0051092B" w14:paraId="2681A203" w14:textId="77777777">
        <w:tc>
          <w:tcPr>
            <w:tcW w:w="1203" w:type="dxa"/>
          </w:tcPr>
          <w:p w14:paraId="4F039D7D"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0070</w:t>
            </w:r>
          </w:p>
        </w:tc>
        <w:tc>
          <w:tcPr>
            <w:tcW w:w="7813" w:type="dxa"/>
          </w:tcPr>
          <w:p w14:paraId="58BDB0D5"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Instruments resulting from securities underwriting commitments</w:t>
            </w:r>
          </w:p>
          <w:p w14:paraId="0035AEDA"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Article 104(2), first subparagraph, point (c) of Regulation (EU) No 575/2013</w:t>
            </w:r>
          </w:p>
        </w:tc>
      </w:tr>
      <w:tr w:rsidR="009B2CA6" w:rsidRPr="0051092B" w14:paraId="0F150DD0" w14:textId="77777777">
        <w:tc>
          <w:tcPr>
            <w:tcW w:w="1203" w:type="dxa"/>
          </w:tcPr>
          <w:p w14:paraId="56310523"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0080</w:t>
            </w:r>
          </w:p>
        </w:tc>
        <w:tc>
          <w:tcPr>
            <w:tcW w:w="7813" w:type="dxa"/>
          </w:tcPr>
          <w:p w14:paraId="319EF2D9"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Instruments resulting from market making activities</w:t>
            </w:r>
          </w:p>
          <w:p w14:paraId="39D72E39"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Article 104(2), first subparagraph, point (e) of Regulation (EU) No 575/2013</w:t>
            </w:r>
          </w:p>
        </w:tc>
      </w:tr>
      <w:tr w:rsidR="009B2CA6" w:rsidRPr="0051092B" w14:paraId="3EEE4A44" w14:textId="77777777">
        <w:tc>
          <w:tcPr>
            <w:tcW w:w="1203" w:type="dxa"/>
          </w:tcPr>
          <w:p w14:paraId="35BF9484"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0090</w:t>
            </w:r>
          </w:p>
        </w:tc>
        <w:tc>
          <w:tcPr>
            <w:tcW w:w="7813" w:type="dxa"/>
          </w:tcPr>
          <w:p w14:paraId="11B16F63"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CIUs</w:t>
            </w:r>
          </w:p>
          <w:p w14:paraId="5F0ADDDD"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Article 104(2), first subparagraph, point (f) of Regulation (EU) No 575/2013</w:t>
            </w:r>
          </w:p>
        </w:tc>
      </w:tr>
      <w:tr w:rsidR="009B2CA6" w:rsidRPr="0051092B" w14:paraId="39B1FCD7" w14:textId="77777777">
        <w:tc>
          <w:tcPr>
            <w:tcW w:w="1203" w:type="dxa"/>
          </w:tcPr>
          <w:p w14:paraId="56A3EA85"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0100</w:t>
            </w:r>
          </w:p>
        </w:tc>
        <w:tc>
          <w:tcPr>
            <w:tcW w:w="7813" w:type="dxa"/>
          </w:tcPr>
          <w:p w14:paraId="6968C5A8"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Listed equities</w:t>
            </w:r>
          </w:p>
          <w:p w14:paraId="7373B9F6"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104(2), first subparagraph, point (g) of Regulation (EU) No 575/2013</w:t>
            </w:r>
          </w:p>
        </w:tc>
      </w:tr>
      <w:tr w:rsidR="009B2CA6" w:rsidRPr="0051092B" w14:paraId="2C868D17" w14:textId="77777777">
        <w:tc>
          <w:tcPr>
            <w:tcW w:w="1203" w:type="dxa"/>
          </w:tcPr>
          <w:p w14:paraId="7C3DA249"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0110</w:t>
            </w:r>
          </w:p>
        </w:tc>
        <w:tc>
          <w:tcPr>
            <w:tcW w:w="7813" w:type="dxa"/>
          </w:tcPr>
          <w:p w14:paraId="6387D715"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Trading-related SFTs</w:t>
            </w:r>
          </w:p>
          <w:p w14:paraId="6D53378A"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Article 104(2), first subparagraph, point (h) of Regulation (EU) No 575/2013</w:t>
            </w:r>
          </w:p>
        </w:tc>
      </w:tr>
      <w:tr w:rsidR="009B2CA6" w:rsidRPr="0051092B" w14:paraId="51E19E34" w14:textId="77777777">
        <w:tc>
          <w:tcPr>
            <w:tcW w:w="1203" w:type="dxa"/>
          </w:tcPr>
          <w:p w14:paraId="40DF6AD2"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lastRenderedPageBreak/>
              <w:t>0120</w:t>
            </w:r>
          </w:p>
        </w:tc>
        <w:tc>
          <w:tcPr>
            <w:tcW w:w="7813" w:type="dxa"/>
          </w:tcPr>
          <w:p w14:paraId="5611CE5C"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Options, or other derivatives, embedded in the own liabilities of the institution (split)</w:t>
            </w:r>
          </w:p>
          <w:p w14:paraId="0426719F"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Article 104(2), first subparagraph, point (i), and third subparagraph of Regulation (EU) No 575/2013</w:t>
            </w:r>
          </w:p>
        </w:tc>
      </w:tr>
      <w:tr w:rsidR="009B2CA6" w:rsidRPr="0051092B" w14:paraId="0BD2C394" w14:textId="77777777">
        <w:tc>
          <w:tcPr>
            <w:tcW w:w="1203" w:type="dxa"/>
          </w:tcPr>
          <w:p w14:paraId="577F08A1"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0130</w:t>
            </w:r>
          </w:p>
        </w:tc>
        <w:tc>
          <w:tcPr>
            <w:tcW w:w="7813" w:type="dxa"/>
          </w:tcPr>
          <w:p w14:paraId="3F7AFD3A"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Own liabilities of the institution with embedded options, or other derivatives (not split)</w:t>
            </w:r>
          </w:p>
          <w:p w14:paraId="6C5173C2"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Article 104(2), first subparagraph, point (i), and fourth subparagraph of Regulation (EU) No 575/2013</w:t>
            </w:r>
          </w:p>
        </w:tc>
      </w:tr>
      <w:tr w:rsidR="009B2CA6" w:rsidRPr="0051092B" w14:paraId="5BD829B0" w14:textId="77777777">
        <w:tc>
          <w:tcPr>
            <w:tcW w:w="1203" w:type="dxa"/>
          </w:tcPr>
          <w:p w14:paraId="2FA5C009"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0140</w:t>
            </w:r>
          </w:p>
        </w:tc>
        <w:tc>
          <w:tcPr>
            <w:tcW w:w="7813" w:type="dxa"/>
          </w:tcPr>
          <w:p w14:paraId="04C4E6C0"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Instruments classified as having a trading purpose under the accounting framework (not included in previous columns)</w:t>
            </w:r>
          </w:p>
          <w:p w14:paraId="10D50030" w14:textId="47C96D60"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104(2), first subparagraph, point (</w:t>
            </w:r>
            <w:r w:rsidR="00A70410">
              <w:rPr>
                <w:rFonts w:ascii="Times New Roman" w:hAnsi="Times New Roman" w:cs="Times New Roman"/>
                <w:lang w:val="en-GB"/>
              </w:rPr>
              <w:t>d</w:t>
            </w:r>
            <w:r w:rsidRPr="0051092B">
              <w:rPr>
                <w:rFonts w:ascii="Times New Roman" w:hAnsi="Times New Roman" w:cs="Times New Roman"/>
                <w:lang w:val="en-GB"/>
              </w:rPr>
              <w:t>), of Regulation (EU) No 575/2013</w:t>
            </w:r>
          </w:p>
          <w:p w14:paraId="5674D9E6"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Instruments classified as having a trading purpose under the accounting framework shall only be reported in this column if they were not reported yet in columns 0050 to 0130.</w:t>
            </w:r>
          </w:p>
        </w:tc>
      </w:tr>
      <w:tr w:rsidR="009B2CA6" w:rsidRPr="0051092B" w14:paraId="2E034E64" w14:textId="77777777">
        <w:tc>
          <w:tcPr>
            <w:tcW w:w="1203" w:type="dxa"/>
          </w:tcPr>
          <w:p w14:paraId="0EC43CAD"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 xml:space="preserve">0150 </w:t>
            </w:r>
          </w:p>
        </w:tc>
        <w:tc>
          <w:tcPr>
            <w:tcW w:w="7813" w:type="dxa"/>
          </w:tcPr>
          <w:p w14:paraId="1958765E"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Sum of long and short positions – Instruments included in the Trading Book with approval from competent authority: Instruments in hedge funds</w:t>
            </w:r>
          </w:p>
          <w:p w14:paraId="71C1AC7E" w14:textId="77777777"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Article 104(4a) of Regulation (EU) No 575/2013</w:t>
            </w:r>
          </w:p>
        </w:tc>
      </w:tr>
      <w:tr w:rsidR="009B2CA6" w:rsidRPr="0051092B" w14:paraId="58C0F140" w14:textId="77777777">
        <w:tc>
          <w:tcPr>
            <w:tcW w:w="1203" w:type="dxa"/>
          </w:tcPr>
          <w:p w14:paraId="4FE32C77"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0160 - 0170</w:t>
            </w:r>
          </w:p>
        </w:tc>
        <w:tc>
          <w:tcPr>
            <w:tcW w:w="7813" w:type="dxa"/>
          </w:tcPr>
          <w:p w14:paraId="592DBEC6"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Sum of long and short positions – Other instruments</w:t>
            </w:r>
          </w:p>
          <w:p w14:paraId="4AFCA133" w14:textId="100DA722" w:rsidR="009B2CA6" w:rsidRPr="0051092B" w:rsidRDefault="009B2CA6">
            <w:pPr>
              <w:pStyle w:val="BodyText"/>
              <w:spacing w:before="120" w:after="120"/>
              <w:rPr>
                <w:rFonts w:ascii="Times New Roman" w:hAnsi="Times New Roman" w:cs="Times New Roman"/>
                <w:b/>
                <w:u w:val="single"/>
                <w:lang w:val="en-GB" w:eastAsia="nl-BE"/>
              </w:rPr>
            </w:pPr>
            <w:r w:rsidRPr="0051092B">
              <w:rPr>
                <w:rFonts w:ascii="Times New Roman" w:hAnsi="Times New Roman" w:cs="Times New Roman"/>
                <w:lang w:val="en-GB"/>
              </w:rPr>
              <w:t>Instrument shall be reported in this column, if they are assigned to the trading book in accordance with Article 4(1), point (8</w:t>
            </w:r>
            <w:r w:rsidR="003C4D9D">
              <w:rPr>
                <w:rFonts w:ascii="Times New Roman" w:hAnsi="Times New Roman" w:cs="Times New Roman"/>
                <w:lang w:val="en-GB"/>
              </w:rPr>
              <w:t>5</w:t>
            </w:r>
            <w:r w:rsidRPr="0051092B">
              <w:rPr>
                <w:rFonts w:ascii="Times New Roman" w:hAnsi="Times New Roman" w:cs="Times New Roman"/>
                <w:lang w:val="en-GB"/>
              </w:rPr>
              <w:t>), of Regulation (EU) No 575/2013, and were not reported in any of the columns 0040 to 0150.</w:t>
            </w:r>
          </w:p>
        </w:tc>
      </w:tr>
      <w:tr w:rsidR="009B2CA6" w:rsidRPr="0051092B" w14:paraId="2F8F4937" w14:textId="77777777">
        <w:tc>
          <w:tcPr>
            <w:tcW w:w="1203" w:type="dxa"/>
          </w:tcPr>
          <w:p w14:paraId="7CF40847"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0160</w:t>
            </w:r>
          </w:p>
        </w:tc>
        <w:tc>
          <w:tcPr>
            <w:tcW w:w="7813" w:type="dxa"/>
          </w:tcPr>
          <w:p w14:paraId="38EE7871"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Other instruments</w:t>
            </w:r>
          </w:p>
        </w:tc>
      </w:tr>
      <w:tr w:rsidR="009B2CA6" w:rsidRPr="0051092B" w14:paraId="64544C3C" w14:textId="77777777">
        <w:tc>
          <w:tcPr>
            <w:tcW w:w="1203" w:type="dxa"/>
          </w:tcPr>
          <w:p w14:paraId="26F8855E"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0170</w:t>
            </w:r>
          </w:p>
        </w:tc>
        <w:tc>
          <w:tcPr>
            <w:tcW w:w="7813" w:type="dxa"/>
          </w:tcPr>
          <w:p w14:paraId="27213E71"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Other instruments – of which: Instruments in trading Book due to lack of evidence for classification in the non-trading book</w:t>
            </w:r>
          </w:p>
          <w:p w14:paraId="41653FFB"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Article 104(6), second sentence, of Regulation (EU) No 575/2013</w:t>
            </w:r>
          </w:p>
        </w:tc>
      </w:tr>
    </w:tbl>
    <w:p w14:paraId="10FD81A7" w14:textId="77777777" w:rsidR="009B2CA6" w:rsidRPr="0051092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51092B" w14:paraId="098F6BB4" w14:textId="77777777">
        <w:tc>
          <w:tcPr>
            <w:tcW w:w="1203" w:type="dxa"/>
            <w:shd w:val="clear" w:color="auto" w:fill="BFBFBF" w:themeFill="background1" w:themeFillShade="BF"/>
          </w:tcPr>
          <w:p w14:paraId="68638DB3"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Row</w:t>
            </w:r>
          </w:p>
        </w:tc>
        <w:tc>
          <w:tcPr>
            <w:tcW w:w="7813" w:type="dxa"/>
            <w:shd w:val="clear" w:color="auto" w:fill="BFBFBF" w:themeFill="background1" w:themeFillShade="BF"/>
          </w:tcPr>
          <w:p w14:paraId="4E400868"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Legal references and instructions</w:t>
            </w:r>
          </w:p>
        </w:tc>
      </w:tr>
      <w:tr w:rsidR="009C1D1D" w:rsidRPr="0051092B" w14:paraId="7134C634" w14:textId="77777777">
        <w:trPr>
          <w:trHeight w:val="70"/>
        </w:trPr>
        <w:tc>
          <w:tcPr>
            <w:tcW w:w="1203" w:type="dxa"/>
          </w:tcPr>
          <w:p w14:paraId="0369C832" w14:textId="63B27CA1" w:rsidR="009C1D1D" w:rsidRPr="000A2D7A" w:rsidRDefault="00A17954">
            <w:pPr>
              <w:pStyle w:val="BodyText"/>
              <w:spacing w:before="120" w:after="120"/>
              <w:rPr>
                <w:rFonts w:ascii="Times New Roman" w:hAnsi="Times New Roman" w:cs="Times New Roman"/>
                <w:lang w:val="en-GB"/>
              </w:rPr>
            </w:pPr>
            <w:r w:rsidRPr="000A2D7A">
              <w:rPr>
                <w:rFonts w:ascii="Times New Roman" w:hAnsi="Times New Roman" w:cs="Times New Roman"/>
                <w:lang w:val="en-GB"/>
              </w:rPr>
              <w:t>0010</w:t>
            </w:r>
          </w:p>
        </w:tc>
        <w:tc>
          <w:tcPr>
            <w:tcW w:w="7813" w:type="dxa"/>
            <w:vAlign w:val="bottom"/>
          </w:tcPr>
          <w:p w14:paraId="0C31E542" w14:textId="7FD81BBC" w:rsidR="009C1D1D" w:rsidRPr="000A2D7A" w:rsidRDefault="00A17954">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All instruments in the trading book </w:t>
            </w:r>
            <w:r w:rsidR="00546BA6" w:rsidRPr="00546BA6">
              <w:rPr>
                <w:rFonts w:ascii="Times New Roman" w:hAnsi="Times New Roman" w:cs="Times New Roman"/>
                <w:b/>
                <w:u w:val="single"/>
                <w:lang w:val="en-GB"/>
              </w:rPr>
              <w:t>taken into consideration in the threshold of Article 325a of Regulation (EU) No 575/2013</w:t>
            </w:r>
          </w:p>
        </w:tc>
      </w:tr>
      <w:tr w:rsidR="009B2CA6" w:rsidRPr="0051092B" w14:paraId="225F200D" w14:textId="77777777">
        <w:trPr>
          <w:trHeight w:val="70"/>
        </w:trPr>
        <w:tc>
          <w:tcPr>
            <w:tcW w:w="1203" w:type="dxa"/>
          </w:tcPr>
          <w:p w14:paraId="5E239DC6" w14:textId="51641EAB" w:rsidR="009B2CA6" w:rsidRPr="000A2D7A" w:rsidRDefault="00A17954">
            <w:pPr>
              <w:pStyle w:val="BodyText"/>
              <w:spacing w:before="120" w:after="120"/>
              <w:rPr>
                <w:rFonts w:ascii="Times New Roman" w:hAnsi="Times New Roman" w:cs="Times New Roman"/>
                <w:lang w:val="en-GB"/>
              </w:rPr>
            </w:pPr>
            <w:r w:rsidRPr="000A2D7A">
              <w:rPr>
                <w:rFonts w:ascii="Times New Roman" w:hAnsi="Times New Roman" w:cs="Times New Roman"/>
                <w:lang w:val="en-GB"/>
              </w:rPr>
              <w:t>0020</w:t>
            </w:r>
          </w:p>
        </w:tc>
        <w:tc>
          <w:tcPr>
            <w:tcW w:w="7813" w:type="dxa"/>
            <w:vAlign w:val="bottom"/>
          </w:tcPr>
          <w:p w14:paraId="63B321D7" w14:textId="77777777" w:rsidR="00A17954" w:rsidRDefault="009B2CA6" w:rsidP="00A17954">
            <w:pPr>
              <w:pStyle w:val="BodyText"/>
              <w:spacing w:before="120" w:after="120"/>
              <w:rPr>
                <w:rFonts w:ascii="Times New Roman" w:hAnsi="Times New Roman" w:cs="Times New Roman"/>
                <w:b/>
                <w:u w:val="single"/>
                <w:lang w:val="en-GB"/>
              </w:rPr>
            </w:pPr>
            <w:r w:rsidRPr="000A2D7A">
              <w:rPr>
                <w:rFonts w:ascii="Times New Roman" w:hAnsi="Times New Roman" w:cs="Times New Roman"/>
                <w:b/>
                <w:u w:val="single"/>
                <w:lang w:val="en-GB"/>
              </w:rPr>
              <w:t>Instruments whose main risk driver is general interest rate risk or credit spread risk</w:t>
            </w:r>
          </w:p>
          <w:tbl>
            <w:tblPr>
              <w:tblStyle w:val="TableGrid"/>
              <w:tblW w:w="0" w:type="auto"/>
              <w:tblLook w:val="04A0" w:firstRow="1" w:lastRow="0" w:firstColumn="1" w:lastColumn="0" w:noHBand="0" w:noVBand="1"/>
            </w:tblPr>
            <w:tblGrid>
              <w:gridCol w:w="7587"/>
            </w:tblGrid>
            <w:tr w:rsidR="00AE04F9" w14:paraId="695B9941" w14:textId="77777777">
              <w:tc>
                <w:tcPr>
                  <w:tcW w:w="7587" w:type="dxa"/>
                </w:tcPr>
                <w:p w14:paraId="0C6BD2F7" w14:textId="77777777" w:rsidR="00AE04F9" w:rsidRPr="0051092B" w:rsidRDefault="00AE04F9" w:rsidP="00AE04F9">
                  <w:pPr>
                    <w:pStyle w:val="body"/>
                    <w:rPr>
                      <w:b/>
                      <w:bCs/>
                      <w:lang w:val="en-GB"/>
                    </w:rPr>
                  </w:pPr>
                  <w:r w:rsidRPr="0051092B">
                    <w:rPr>
                      <w:b/>
                      <w:bCs/>
                      <w:lang w:val="en-GB"/>
                    </w:rPr>
                    <w:t>Explanatory text for consultation purposes</w:t>
                  </w:r>
                </w:p>
                <w:p w14:paraId="1F89179D" w14:textId="474632FA" w:rsidR="00AE04F9" w:rsidRDefault="00AE04F9" w:rsidP="00AE04F9">
                  <w:pPr>
                    <w:pStyle w:val="body"/>
                    <w:rPr>
                      <w:rFonts w:ascii="Times New Roman" w:hAnsi="Times New Roman" w:cs="Times New Roman"/>
                      <w:lang w:val="en-GB"/>
                    </w:rPr>
                  </w:pPr>
                  <w:r>
                    <w:rPr>
                      <w:lang w:val="en-GB"/>
                    </w:rPr>
                    <w:lastRenderedPageBreak/>
                    <w:t>The identification of long and short positions, as well as the identification of the main risk driver</w:t>
                  </w:r>
                  <w:r w:rsidR="00830FBE">
                    <w:rPr>
                      <w:lang w:val="en-GB"/>
                    </w:rPr>
                    <w:t xml:space="preserve"> which is used </w:t>
                  </w:r>
                  <w:r w:rsidR="009E7F67">
                    <w:rPr>
                      <w:lang w:val="en-GB"/>
                    </w:rPr>
                    <w:t>to allocate instruments to rows 0020 to 0060</w:t>
                  </w:r>
                  <w:r w:rsidR="00D87269">
                    <w:rPr>
                      <w:lang w:val="en-GB"/>
                    </w:rPr>
                    <w:t xml:space="preserve">, shall be based on the ‘RTS on long and short positions’ that is currently being developed in response to the </w:t>
                  </w:r>
                  <w:r w:rsidR="00295288">
                    <w:rPr>
                      <w:lang w:val="en-GB"/>
                    </w:rPr>
                    <w:t>mandates of Articles 94</w:t>
                  </w:r>
                  <w:r w:rsidR="0075205C">
                    <w:rPr>
                      <w:lang w:val="en-GB"/>
                    </w:rPr>
                    <w:t>(</w:t>
                  </w:r>
                  <w:r w:rsidR="00722031">
                    <w:rPr>
                      <w:lang w:val="en-GB"/>
                    </w:rPr>
                    <w:t>10</w:t>
                  </w:r>
                  <w:r w:rsidR="0075205C">
                    <w:rPr>
                      <w:lang w:val="en-GB"/>
                    </w:rPr>
                    <w:t>)</w:t>
                  </w:r>
                  <w:r w:rsidR="00722031">
                    <w:rPr>
                      <w:lang w:val="en-GB"/>
                    </w:rPr>
                    <w:t xml:space="preserve"> CRR3 and will impact the threshold calculations of Articles 94,</w:t>
                  </w:r>
                  <w:r w:rsidR="00F23CF0">
                    <w:rPr>
                      <w:lang w:val="en-GB"/>
                    </w:rPr>
                    <w:t xml:space="preserve"> and</w:t>
                  </w:r>
                  <w:r w:rsidR="00295288">
                    <w:rPr>
                      <w:lang w:val="en-GB"/>
                    </w:rPr>
                    <w:t xml:space="preserve"> </w:t>
                  </w:r>
                  <w:r w:rsidR="0075205C">
                    <w:rPr>
                      <w:lang w:val="en-GB"/>
                    </w:rPr>
                    <w:t>273a and 325a(2) CRR3.</w:t>
                  </w:r>
                </w:p>
              </w:tc>
            </w:tr>
          </w:tbl>
          <w:p w14:paraId="1768966A" w14:textId="77777777" w:rsidR="009B2CA6" w:rsidRPr="000A2D7A" w:rsidRDefault="009B2CA6">
            <w:pPr>
              <w:pStyle w:val="BodyText"/>
              <w:spacing w:before="120" w:after="120"/>
              <w:rPr>
                <w:rFonts w:ascii="Times New Roman" w:hAnsi="Times New Roman" w:cs="Times New Roman"/>
                <w:b/>
                <w:u w:val="single"/>
                <w:lang w:val="en-GB"/>
              </w:rPr>
            </w:pPr>
          </w:p>
        </w:tc>
      </w:tr>
      <w:tr w:rsidR="009B2CA6" w:rsidRPr="0051092B" w14:paraId="2557F02B" w14:textId="77777777">
        <w:trPr>
          <w:trHeight w:val="70"/>
        </w:trPr>
        <w:tc>
          <w:tcPr>
            <w:tcW w:w="1203" w:type="dxa"/>
          </w:tcPr>
          <w:p w14:paraId="365D4766" w14:textId="08F97026" w:rsidR="009B2CA6" w:rsidRPr="000A2D7A" w:rsidRDefault="00A17954">
            <w:pPr>
              <w:pStyle w:val="BodyText"/>
              <w:spacing w:before="120" w:after="120"/>
              <w:rPr>
                <w:rFonts w:ascii="Times New Roman" w:hAnsi="Times New Roman" w:cs="Times New Roman"/>
                <w:lang w:val="en-GB"/>
              </w:rPr>
            </w:pPr>
            <w:r w:rsidRPr="000A2D7A">
              <w:rPr>
                <w:rFonts w:ascii="Times New Roman" w:hAnsi="Times New Roman" w:cs="Times New Roman"/>
                <w:lang w:val="en-GB"/>
              </w:rPr>
              <w:lastRenderedPageBreak/>
              <w:t>0030</w:t>
            </w:r>
          </w:p>
        </w:tc>
        <w:tc>
          <w:tcPr>
            <w:tcW w:w="7813" w:type="dxa"/>
            <w:vAlign w:val="bottom"/>
          </w:tcPr>
          <w:p w14:paraId="3388E222" w14:textId="77777777" w:rsidR="009B2CA6" w:rsidRPr="000A2D7A" w:rsidRDefault="009B2CA6">
            <w:pPr>
              <w:pStyle w:val="BodyText"/>
              <w:spacing w:before="120" w:after="120"/>
              <w:rPr>
                <w:rFonts w:ascii="Times New Roman" w:hAnsi="Times New Roman" w:cs="Times New Roman"/>
                <w:b/>
                <w:u w:val="single"/>
                <w:lang w:val="en-GB"/>
              </w:rPr>
            </w:pPr>
            <w:r w:rsidRPr="000A2D7A">
              <w:rPr>
                <w:rFonts w:ascii="Times New Roman" w:hAnsi="Times New Roman" w:cs="Times New Roman"/>
                <w:b/>
                <w:u w:val="single"/>
                <w:lang w:val="en-GB"/>
              </w:rPr>
              <w:t>Instruments whose main risk driver is equity risk</w:t>
            </w:r>
          </w:p>
        </w:tc>
      </w:tr>
      <w:tr w:rsidR="009B2CA6" w:rsidRPr="0051092B" w14:paraId="615194B9" w14:textId="77777777">
        <w:trPr>
          <w:trHeight w:val="70"/>
        </w:trPr>
        <w:tc>
          <w:tcPr>
            <w:tcW w:w="1203" w:type="dxa"/>
          </w:tcPr>
          <w:p w14:paraId="39A575D7" w14:textId="6450161A" w:rsidR="009B2CA6" w:rsidRPr="000A2D7A" w:rsidRDefault="00A17954">
            <w:pPr>
              <w:pStyle w:val="BodyText"/>
              <w:spacing w:before="120" w:after="120"/>
              <w:rPr>
                <w:rFonts w:ascii="Times New Roman" w:hAnsi="Times New Roman" w:cs="Times New Roman"/>
                <w:lang w:val="en-GB"/>
              </w:rPr>
            </w:pPr>
            <w:r w:rsidRPr="000A2D7A">
              <w:rPr>
                <w:rFonts w:ascii="Times New Roman" w:hAnsi="Times New Roman" w:cs="Times New Roman"/>
                <w:lang w:val="en-GB"/>
              </w:rPr>
              <w:t>0040</w:t>
            </w:r>
          </w:p>
        </w:tc>
        <w:tc>
          <w:tcPr>
            <w:tcW w:w="7813" w:type="dxa"/>
            <w:vAlign w:val="bottom"/>
          </w:tcPr>
          <w:p w14:paraId="1BA6993E" w14:textId="77777777" w:rsidR="009B2CA6" w:rsidRPr="000A2D7A" w:rsidRDefault="009B2CA6">
            <w:pPr>
              <w:pStyle w:val="BodyText"/>
              <w:spacing w:before="120" w:after="120"/>
              <w:rPr>
                <w:rFonts w:ascii="Times New Roman" w:hAnsi="Times New Roman" w:cs="Times New Roman"/>
                <w:b/>
                <w:u w:val="single"/>
                <w:lang w:val="en-GB"/>
              </w:rPr>
            </w:pPr>
            <w:r w:rsidRPr="000A2D7A">
              <w:rPr>
                <w:rFonts w:ascii="Times New Roman" w:hAnsi="Times New Roman" w:cs="Times New Roman"/>
                <w:b/>
                <w:u w:val="single"/>
                <w:lang w:val="en-GB"/>
              </w:rPr>
              <w:t>Instruments whose main risk driver is foreign exchange risk</w:t>
            </w:r>
          </w:p>
        </w:tc>
      </w:tr>
      <w:tr w:rsidR="009B2CA6" w:rsidRPr="0051092B" w14:paraId="6C784F43" w14:textId="77777777">
        <w:trPr>
          <w:trHeight w:val="70"/>
        </w:trPr>
        <w:tc>
          <w:tcPr>
            <w:tcW w:w="1203" w:type="dxa"/>
          </w:tcPr>
          <w:p w14:paraId="11C355B3" w14:textId="6F6CDB67" w:rsidR="009B2CA6" w:rsidRPr="000A2D7A" w:rsidRDefault="00A17954">
            <w:pPr>
              <w:pStyle w:val="BodyText"/>
              <w:spacing w:before="120" w:after="120"/>
              <w:rPr>
                <w:rFonts w:ascii="Times New Roman" w:hAnsi="Times New Roman" w:cs="Times New Roman"/>
                <w:lang w:val="en-GB"/>
              </w:rPr>
            </w:pPr>
            <w:r w:rsidRPr="000A2D7A">
              <w:rPr>
                <w:rFonts w:ascii="Times New Roman" w:hAnsi="Times New Roman" w:cs="Times New Roman"/>
                <w:lang w:val="en-GB"/>
              </w:rPr>
              <w:t>0050</w:t>
            </w:r>
          </w:p>
        </w:tc>
        <w:tc>
          <w:tcPr>
            <w:tcW w:w="7813" w:type="dxa"/>
            <w:vAlign w:val="bottom"/>
          </w:tcPr>
          <w:p w14:paraId="0DBB7B5D" w14:textId="77777777" w:rsidR="009B2CA6" w:rsidRPr="000A2D7A" w:rsidRDefault="009B2CA6">
            <w:pPr>
              <w:pStyle w:val="BodyText"/>
              <w:spacing w:before="120" w:after="120"/>
              <w:rPr>
                <w:rFonts w:ascii="Times New Roman" w:hAnsi="Times New Roman" w:cs="Times New Roman"/>
                <w:b/>
                <w:u w:val="single"/>
                <w:lang w:val="en-GB"/>
              </w:rPr>
            </w:pPr>
            <w:r w:rsidRPr="000A2D7A">
              <w:rPr>
                <w:rFonts w:ascii="Times New Roman" w:hAnsi="Times New Roman" w:cs="Times New Roman"/>
                <w:b/>
                <w:u w:val="single"/>
                <w:lang w:val="en-GB"/>
              </w:rPr>
              <w:t>Instruments whose main risk driver is commodities risk</w:t>
            </w:r>
          </w:p>
        </w:tc>
      </w:tr>
      <w:tr w:rsidR="009B2CA6" w:rsidRPr="0051092B" w14:paraId="621D668A" w14:textId="77777777">
        <w:trPr>
          <w:trHeight w:val="70"/>
        </w:trPr>
        <w:tc>
          <w:tcPr>
            <w:tcW w:w="1203" w:type="dxa"/>
          </w:tcPr>
          <w:p w14:paraId="5E85AB2F" w14:textId="3E29F734" w:rsidR="009B2CA6" w:rsidRPr="000A2D7A" w:rsidRDefault="00A17954">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813" w:type="dxa"/>
            <w:vAlign w:val="bottom"/>
          </w:tcPr>
          <w:p w14:paraId="05743526" w14:textId="77777777" w:rsidR="00A17954" w:rsidRDefault="009B2CA6" w:rsidP="00A17954">
            <w:pPr>
              <w:pStyle w:val="BodyText"/>
              <w:spacing w:before="120" w:after="120"/>
              <w:rPr>
                <w:rFonts w:ascii="Times New Roman" w:hAnsi="Times New Roman" w:cs="Times New Roman"/>
                <w:b/>
                <w:u w:val="single"/>
                <w:lang w:val="en-GB"/>
              </w:rPr>
            </w:pPr>
            <w:r w:rsidRPr="000A2D7A">
              <w:rPr>
                <w:rFonts w:ascii="Times New Roman" w:hAnsi="Times New Roman" w:cs="Times New Roman"/>
                <w:b/>
                <w:u w:val="single"/>
                <w:lang w:val="en-GB"/>
              </w:rPr>
              <w:t>Instruments whose main risk driver is residual risk</w:t>
            </w:r>
          </w:p>
          <w:tbl>
            <w:tblPr>
              <w:tblStyle w:val="TableGrid"/>
              <w:tblW w:w="0" w:type="auto"/>
              <w:tblLook w:val="04A0" w:firstRow="1" w:lastRow="0" w:firstColumn="1" w:lastColumn="0" w:noHBand="0" w:noVBand="1"/>
            </w:tblPr>
            <w:tblGrid>
              <w:gridCol w:w="7587"/>
            </w:tblGrid>
            <w:tr w:rsidR="00D911BE" w14:paraId="728BAB11" w14:textId="77777777">
              <w:tc>
                <w:tcPr>
                  <w:tcW w:w="7587" w:type="dxa"/>
                </w:tcPr>
                <w:p w14:paraId="3E4D075E" w14:textId="77777777" w:rsidR="00D911BE" w:rsidRPr="0051092B" w:rsidRDefault="00D911BE" w:rsidP="00D911BE">
                  <w:pPr>
                    <w:pStyle w:val="body"/>
                    <w:rPr>
                      <w:b/>
                      <w:bCs/>
                      <w:lang w:val="en-GB"/>
                    </w:rPr>
                  </w:pPr>
                  <w:r w:rsidRPr="0051092B">
                    <w:rPr>
                      <w:b/>
                      <w:bCs/>
                      <w:lang w:val="en-GB"/>
                    </w:rPr>
                    <w:t>Explanatory text for consultation purposes</w:t>
                  </w:r>
                </w:p>
                <w:p w14:paraId="2C2069E8" w14:textId="03F5CAC2" w:rsidR="00D911BE" w:rsidRPr="00660F94" w:rsidRDefault="00D911BE" w:rsidP="00D911BE">
                  <w:pPr>
                    <w:pStyle w:val="body"/>
                    <w:rPr>
                      <w:lang w:val="en-GB"/>
                    </w:rPr>
                  </w:pPr>
                  <w:r>
                    <w:rPr>
                      <w:lang w:val="en-GB"/>
                    </w:rPr>
                    <w:t xml:space="preserve">This row would mainly capture instruments in scope fo the RRAO - more specifically, </w:t>
                  </w:r>
                  <w:r w:rsidR="00160353">
                    <w:rPr>
                      <w:lang w:val="en-GB"/>
                    </w:rPr>
                    <w:t xml:space="preserve">it is expected that institutions would report here </w:t>
                  </w:r>
                  <w:r>
                    <w:rPr>
                      <w:lang w:val="en-GB"/>
                    </w:rPr>
                    <w:t xml:space="preserve">mostly or only instruments with an exotic underlying, </w:t>
                  </w:r>
                  <w:r w:rsidR="005A7426">
                    <w:rPr>
                      <w:lang w:val="en-GB"/>
                    </w:rPr>
                    <w:t xml:space="preserve">as instruments bearing other residual risks may </w:t>
                  </w:r>
                  <w:r w:rsidR="00160353">
                    <w:rPr>
                      <w:lang w:val="en-GB"/>
                    </w:rPr>
                    <w:t>already be allocated to one of the rows 0020 to 0050.</w:t>
                  </w:r>
                </w:p>
              </w:tc>
            </w:tr>
          </w:tbl>
          <w:p w14:paraId="49050F01" w14:textId="77777777" w:rsidR="009B2CA6" w:rsidRPr="000A2D7A" w:rsidRDefault="009B2CA6">
            <w:pPr>
              <w:pStyle w:val="BodyText"/>
              <w:spacing w:before="120" w:after="120"/>
              <w:rPr>
                <w:rFonts w:ascii="Times New Roman" w:hAnsi="Times New Roman" w:cs="Times New Roman"/>
                <w:b/>
                <w:u w:val="single"/>
                <w:lang w:val="en-GB"/>
              </w:rPr>
            </w:pPr>
          </w:p>
        </w:tc>
      </w:tr>
      <w:tr w:rsidR="009B2CA6" w:rsidRPr="0051092B" w14:paraId="461D04B3" w14:textId="77777777">
        <w:trPr>
          <w:trHeight w:val="70"/>
        </w:trPr>
        <w:tc>
          <w:tcPr>
            <w:tcW w:w="1203" w:type="dxa"/>
          </w:tcPr>
          <w:p w14:paraId="1CF3996C" w14:textId="2D660D01" w:rsidR="009B2CA6" w:rsidRPr="0051092B" w:rsidRDefault="00546BA6">
            <w:pPr>
              <w:pStyle w:val="BodyText"/>
              <w:spacing w:before="120" w:after="120"/>
              <w:rPr>
                <w:rFonts w:ascii="Times New Roman" w:hAnsi="Times New Roman" w:cs="Times New Roman"/>
                <w:lang w:val="en-GB"/>
              </w:rPr>
            </w:pPr>
            <w:r>
              <w:rPr>
                <w:rFonts w:ascii="Times New Roman" w:hAnsi="Times New Roman" w:cs="Times New Roman"/>
                <w:lang w:val="en-GB"/>
              </w:rPr>
              <w:t>0070</w:t>
            </w:r>
          </w:p>
        </w:tc>
        <w:tc>
          <w:tcPr>
            <w:tcW w:w="7813" w:type="dxa"/>
            <w:vAlign w:val="bottom"/>
          </w:tcPr>
          <w:p w14:paraId="48517D2E" w14:textId="77777777" w:rsidR="009B2CA6" w:rsidRPr="0051092B"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b/>
                <w:u w:val="single"/>
                <w:lang w:val="en-GB"/>
              </w:rPr>
              <w:t>Memorandum item: Instruments classified as having a trading purpose under the accounting framework</w:t>
            </w:r>
          </w:p>
          <w:p w14:paraId="793C2958" w14:textId="5119EEFE" w:rsidR="009B2CA6"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104(2), first subparagraph, point (</w:t>
            </w:r>
            <w:r w:rsidR="00CE4182">
              <w:rPr>
                <w:rFonts w:ascii="Times New Roman" w:hAnsi="Times New Roman" w:cs="Times New Roman"/>
                <w:lang w:val="en-GB"/>
              </w:rPr>
              <w:t>d</w:t>
            </w:r>
            <w:r w:rsidRPr="0051092B">
              <w:rPr>
                <w:rFonts w:ascii="Times New Roman" w:hAnsi="Times New Roman" w:cs="Times New Roman"/>
                <w:lang w:val="en-GB"/>
              </w:rPr>
              <w:t>), of Regulation (EU) No 575/2013</w:t>
            </w:r>
          </w:p>
          <w:tbl>
            <w:tblPr>
              <w:tblStyle w:val="TableGrid"/>
              <w:tblW w:w="0" w:type="auto"/>
              <w:tblLook w:val="04A0" w:firstRow="1" w:lastRow="0" w:firstColumn="1" w:lastColumn="0" w:noHBand="0" w:noVBand="1"/>
            </w:tblPr>
            <w:tblGrid>
              <w:gridCol w:w="7587"/>
            </w:tblGrid>
            <w:tr w:rsidR="009B2CA6" w14:paraId="37A46DF6" w14:textId="77777777">
              <w:tc>
                <w:tcPr>
                  <w:tcW w:w="7587" w:type="dxa"/>
                </w:tcPr>
                <w:p w14:paraId="140B1ACB" w14:textId="77777777" w:rsidR="009B2CA6" w:rsidRPr="0051092B" w:rsidRDefault="009B2CA6">
                  <w:pPr>
                    <w:pStyle w:val="body"/>
                    <w:jc w:val="left"/>
                    <w:rPr>
                      <w:b/>
                      <w:bCs/>
                      <w:lang w:val="en-GB"/>
                    </w:rPr>
                  </w:pPr>
                  <w:r w:rsidRPr="0051092B">
                    <w:rPr>
                      <w:b/>
                      <w:bCs/>
                      <w:lang w:val="en-GB"/>
                    </w:rPr>
                    <w:t>Explanatory text for consultation purposes</w:t>
                  </w:r>
                </w:p>
                <w:p w14:paraId="090FA11C" w14:textId="77777777" w:rsidR="009B2CA6" w:rsidRDefault="009B2CA6">
                  <w:pPr>
                    <w:pStyle w:val="BodyText"/>
                    <w:spacing w:before="120" w:after="120"/>
                    <w:rPr>
                      <w:rFonts w:ascii="Times New Roman" w:hAnsi="Times New Roman" w:cs="Times New Roman"/>
                      <w:lang w:val="en-GB"/>
                    </w:rPr>
                  </w:pPr>
                  <w:r w:rsidRPr="0051092B">
                    <w:rPr>
                      <w:lang w:val="en-GB"/>
                    </w:rPr>
                    <w:t>Considering that the column structure gives priority to the breakdown between mandatory, presumed-but-disprovable and voluntary assignments to the trading book, and prioritises instrument</w:t>
                  </w:r>
                  <w:r>
                    <w:rPr>
                      <w:lang w:val="en-GB"/>
                    </w:rPr>
                    <w:t xml:space="preserve"> type</w:t>
                  </w:r>
                  <w:r w:rsidRPr="0051092B">
                    <w:rPr>
                      <w:lang w:val="en-GB"/>
                    </w:rPr>
                    <w:t xml:space="preserve">-specific reasons over the accounting-driven </w:t>
                  </w:r>
                  <w:r>
                    <w:rPr>
                      <w:lang w:val="en-GB"/>
                    </w:rPr>
                    <w:t>reason or the assignment</w:t>
                  </w:r>
                  <w:r w:rsidRPr="0051092B">
                    <w:rPr>
                      <w:lang w:val="en-GB"/>
                    </w:rPr>
                    <w:t xml:space="preserve">, this row aims to enable an assessment </w:t>
                  </w:r>
                  <w:r>
                    <w:rPr>
                      <w:lang w:val="en-GB"/>
                    </w:rPr>
                    <w:t>of how much the accounting and prudential definition are aligned.</w:t>
                  </w:r>
                </w:p>
              </w:tc>
            </w:tr>
          </w:tbl>
          <w:p w14:paraId="3A1B5873" w14:textId="77777777" w:rsidR="009B2CA6" w:rsidRPr="0051092B" w:rsidRDefault="009B2CA6">
            <w:pPr>
              <w:pStyle w:val="body"/>
              <w:jc w:val="left"/>
              <w:rPr>
                <w:rFonts w:ascii="Times New Roman" w:hAnsi="Times New Roman" w:cs="Times New Roman"/>
                <w:lang w:val="en-GB"/>
              </w:rPr>
            </w:pPr>
          </w:p>
        </w:tc>
      </w:tr>
    </w:tbl>
    <w:p w14:paraId="624A2775" w14:textId="0A2141B3" w:rsidR="009B2CA6" w:rsidRPr="0051092B" w:rsidRDefault="00A5627D" w:rsidP="009B2CA6">
      <w:pPr>
        <w:pStyle w:val="Instructionsberschrift2"/>
        <w:numPr>
          <w:ilvl w:val="0"/>
          <w:numId w:val="0"/>
        </w:numPr>
        <w:ind w:left="357" w:hanging="357"/>
        <w:rPr>
          <w:rFonts w:ascii="Times New Roman" w:hAnsi="Times New Roman" w:cs="Times New Roman"/>
          <w:sz w:val="24"/>
          <w:lang w:val="en-GB"/>
        </w:rPr>
      </w:pPr>
      <w:bookmarkStart w:id="802" w:name="_Toc151714541"/>
      <w:r>
        <w:rPr>
          <w:rFonts w:ascii="Times New Roman" w:hAnsi="Times New Roman" w:cs="Times New Roman"/>
          <w:sz w:val="24"/>
          <w:lang w:val="en-GB"/>
        </w:rPr>
        <w:t>9</w:t>
      </w:r>
      <w:r w:rsidR="009B2CA6" w:rsidRPr="0051092B">
        <w:rPr>
          <w:rFonts w:ascii="Times New Roman" w:hAnsi="Times New Roman" w:cs="Times New Roman"/>
          <w:sz w:val="24"/>
          <w:lang w:val="en-GB"/>
        </w:rPr>
        <w:t>.</w:t>
      </w:r>
      <w:r w:rsidR="00D35656">
        <w:rPr>
          <w:rFonts w:ascii="Times New Roman" w:hAnsi="Times New Roman" w:cs="Times New Roman"/>
          <w:sz w:val="24"/>
          <w:lang w:val="en-GB"/>
        </w:rPr>
        <w:t>2</w:t>
      </w:r>
      <w:r w:rsidR="009B2CA6" w:rsidRPr="0051092B">
        <w:rPr>
          <w:rFonts w:ascii="Times New Roman" w:hAnsi="Times New Roman" w:cs="Times New Roman"/>
          <w:sz w:val="24"/>
          <w:lang w:val="en-GB"/>
        </w:rPr>
        <w:t>.</w:t>
      </w:r>
      <w:r w:rsidR="009B2CA6">
        <w:rPr>
          <w:rFonts w:ascii="Times New Roman" w:hAnsi="Times New Roman" w:cs="Times New Roman"/>
          <w:sz w:val="24"/>
          <w:lang w:val="en-GB"/>
        </w:rPr>
        <w:t>3</w:t>
      </w:r>
      <w:r w:rsidR="009B2CA6" w:rsidRPr="000059B8">
        <w:rPr>
          <w:rFonts w:ascii="Times New Roman" w:hAnsi="Times New Roman" w:cs="Times New Roman"/>
          <w:sz w:val="24"/>
          <w:lang w:val="en-GB"/>
        </w:rPr>
        <w:tab/>
      </w:r>
      <w:r w:rsidR="009B2CA6" w:rsidRPr="0051092B">
        <w:rPr>
          <w:rFonts w:ascii="Times New Roman" w:hAnsi="Times New Roman" w:cs="Times New Roman"/>
          <w:sz w:val="24"/>
          <w:lang w:val="en-GB"/>
        </w:rPr>
        <w:t>C 90.0</w:t>
      </w:r>
      <w:r w:rsidR="009B2CA6">
        <w:rPr>
          <w:rFonts w:ascii="Times New Roman" w:hAnsi="Times New Roman" w:cs="Times New Roman"/>
          <w:sz w:val="24"/>
          <w:lang w:val="en-GB"/>
        </w:rPr>
        <w:t>6</w:t>
      </w:r>
      <w:r w:rsidR="009B2CA6" w:rsidRPr="0051092B">
        <w:rPr>
          <w:rFonts w:ascii="Times New Roman" w:hAnsi="Times New Roman" w:cs="Times New Roman"/>
          <w:sz w:val="24"/>
          <w:lang w:val="en-GB"/>
        </w:rPr>
        <w:t xml:space="preserve"> – Boundary: </w:t>
      </w:r>
      <w:r w:rsidR="009B2CA6">
        <w:rPr>
          <w:rFonts w:ascii="Times New Roman" w:hAnsi="Times New Roman" w:cs="Times New Roman"/>
          <w:sz w:val="24"/>
          <w:lang w:val="en-GB"/>
        </w:rPr>
        <w:t>Non-t</w:t>
      </w:r>
      <w:r w:rsidR="009B2CA6" w:rsidRPr="0051092B">
        <w:rPr>
          <w:rFonts w:ascii="Times New Roman" w:hAnsi="Times New Roman" w:cs="Times New Roman"/>
          <w:sz w:val="24"/>
          <w:lang w:val="en-GB"/>
        </w:rPr>
        <w:t>rading book (BOU</w:t>
      </w:r>
      <w:r w:rsidR="009B2CA6">
        <w:rPr>
          <w:rFonts w:ascii="Times New Roman" w:hAnsi="Times New Roman" w:cs="Times New Roman"/>
          <w:sz w:val="24"/>
          <w:lang w:val="en-GB"/>
        </w:rPr>
        <w:t>2</w:t>
      </w:r>
      <w:r w:rsidR="009B2CA6" w:rsidRPr="0051092B">
        <w:rPr>
          <w:rFonts w:ascii="Times New Roman" w:hAnsi="Times New Roman" w:cs="Times New Roman"/>
          <w:sz w:val="24"/>
          <w:lang w:val="en-GB"/>
        </w:rPr>
        <w:t>)</w:t>
      </w:r>
      <w:bookmarkEnd w:id="802"/>
      <w:r w:rsidR="009B2CA6">
        <w:rPr>
          <w:rFonts w:ascii="Times New Roman" w:hAnsi="Times New Roman" w:cs="Times New Roman"/>
          <w:sz w:val="24"/>
          <w:lang w:val="en-GB"/>
        </w:rPr>
        <w:t xml:space="preserve"> </w:t>
      </w:r>
    </w:p>
    <w:p w14:paraId="0275AA41" w14:textId="5BE63C13" w:rsidR="00536A16" w:rsidRDefault="00536A16" w:rsidP="009B2CA6">
      <w:pPr>
        <w:pStyle w:val="Instructionsberschrift2"/>
        <w:numPr>
          <w:ilvl w:val="0"/>
          <w:numId w:val="0"/>
        </w:numPr>
        <w:ind w:left="357" w:hanging="357"/>
        <w:rPr>
          <w:rFonts w:ascii="Times New Roman" w:hAnsi="Times New Roman" w:cs="Times New Roman"/>
          <w:sz w:val="24"/>
          <w:lang w:val="en-GB"/>
        </w:rPr>
      </w:pPr>
      <w:bookmarkStart w:id="803" w:name="_Toc151714542"/>
      <w:r>
        <w:rPr>
          <w:rFonts w:ascii="Times New Roman" w:hAnsi="Times New Roman" w:cs="Times New Roman"/>
          <w:sz w:val="24"/>
          <w:lang w:val="en-GB"/>
        </w:rPr>
        <w:t>9.2.3.1 General remarks</w:t>
      </w:r>
      <w:bookmarkEnd w:id="803"/>
    </w:p>
    <w:p w14:paraId="732A4E03" w14:textId="4FC2E90E" w:rsidR="00536A16" w:rsidRDefault="00A712E1" w:rsidP="00660F94">
      <w:pPr>
        <w:pStyle w:val="InstructionsText2"/>
        <w:numPr>
          <w:ilvl w:val="0"/>
          <w:numId w:val="0"/>
        </w:numPr>
        <w:ind w:left="993"/>
        <w:rPr>
          <w:noProof/>
        </w:rPr>
      </w:pPr>
      <w:r>
        <w:rPr>
          <w:noProof/>
        </w:rPr>
        <w:fldChar w:fldCharType="begin"/>
      </w:r>
      <w:r>
        <w:rPr>
          <w:noProof/>
        </w:rPr>
        <w:instrText xml:space="preserve"> seq paragraphs </w:instrText>
      </w:r>
      <w:r>
        <w:rPr>
          <w:noProof/>
        </w:rPr>
        <w:fldChar w:fldCharType="separate"/>
      </w:r>
      <w:r>
        <w:rPr>
          <w:noProof/>
        </w:rPr>
        <w:t>210</w:t>
      </w:r>
      <w:r>
        <w:rPr>
          <w:noProof/>
        </w:rPr>
        <w:fldChar w:fldCharType="end"/>
      </w:r>
      <w:r w:rsidR="008C2208">
        <w:rPr>
          <w:noProof/>
        </w:rPr>
        <w:t xml:space="preserve">. Institutions shall report all positions assigned to the non-trading book in this template, </w:t>
      </w:r>
      <w:r w:rsidR="00015197">
        <w:rPr>
          <w:noProof/>
        </w:rPr>
        <w:t>regardless of their inclusions or exclusion from the calculation of the threshold referred to in Article 325a of Regulation (EU) No 575/2013.</w:t>
      </w:r>
    </w:p>
    <w:p w14:paraId="78931127" w14:textId="38E2192A" w:rsidR="00536A16" w:rsidRPr="0051092B" w:rsidRDefault="00536A16" w:rsidP="009B2CA6">
      <w:pPr>
        <w:pStyle w:val="Instructionsberschrift2"/>
        <w:numPr>
          <w:ilvl w:val="0"/>
          <w:numId w:val="0"/>
        </w:numPr>
        <w:ind w:left="357" w:hanging="357"/>
        <w:rPr>
          <w:rFonts w:ascii="Times New Roman" w:hAnsi="Times New Roman" w:cs="Times New Roman"/>
          <w:sz w:val="24"/>
          <w:lang w:val="en-GB"/>
        </w:rPr>
      </w:pPr>
      <w:bookmarkStart w:id="804" w:name="_Toc151714543"/>
      <w:r>
        <w:rPr>
          <w:rFonts w:ascii="Times New Roman" w:hAnsi="Times New Roman" w:cs="Times New Roman"/>
          <w:sz w:val="24"/>
          <w:lang w:val="en-GB"/>
        </w:rPr>
        <w:t xml:space="preserve">9.2.3.2 – </w:t>
      </w:r>
      <w:r w:rsidRPr="0051092B">
        <w:rPr>
          <w:rFonts w:ascii="Times New Roman" w:hAnsi="Times New Roman" w:cs="Times New Roman"/>
          <w:sz w:val="24"/>
          <w:lang w:val="en-GB"/>
        </w:rPr>
        <w:t>Instructions concerning specific positions</w:t>
      </w:r>
      <w:bookmarkEnd w:id="804"/>
    </w:p>
    <w:tbl>
      <w:tblPr>
        <w:tblStyle w:val="TableGrid"/>
        <w:tblW w:w="0" w:type="auto"/>
        <w:tblLook w:val="04A0" w:firstRow="1" w:lastRow="0" w:firstColumn="1" w:lastColumn="0" w:noHBand="0" w:noVBand="1"/>
      </w:tblPr>
      <w:tblGrid>
        <w:gridCol w:w="1203"/>
        <w:gridCol w:w="7813"/>
      </w:tblGrid>
      <w:tr w:rsidR="009B2CA6" w:rsidRPr="0051092B" w14:paraId="4C82E1C7" w14:textId="77777777">
        <w:tc>
          <w:tcPr>
            <w:tcW w:w="1203" w:type="dxa"/>
            <w:shd w:val="clear" w:color="auto" w:fill="BFBFBF" w:themeFill="background1" w:themeFillShade="BF"/>
          </w:tcPr>
          <w:p w14:paraId="51D8AAF0"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Column</w:t>
            </w:r>
          </w:p>
        </w:tc>
        <w:tc>
          <w:tcPr>
            <w:tcW w:w="7813" w:type="dxa"/>
            <w:shd w:val="clear" w:color="auto" w:fill="BFBFBF" w:themeFill="background1" w:themeFillShade="BF"/>
          </w:tcPr>
          <w:p w14:paraId="0022A790"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Legal references and instructions</w:t>
            </w:r>
          </w:p>
        </w:tc>
      </w:tr>
      <w:tr w:rsidR="009B2CA6" w:rsidRPr="0051092B" w14:paraId="495C3DDB" w14:textId="77777777">
        <w:trPr>
          <w:trHeight w:val="70"/>
        </w:trPr>
        <w:tc>
          <w:tcPr>
            <w:tcW w:w="1203" w:type="dxa"/>
          </w:tcPr>
          <w:p w14:paraId="541C7E6A"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813" w:type="dxa"/>
            <w:vAlign w:val="bottom"/>
          </w:tcPr>
          <w:p w14:paraId="642A78AE"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Original exposure pre conversion factors</w:t>
            </w:r>
          </w:p>
          <w:p w14:paraId="4C6492B0"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 xml:space="preserve">See instructions for c0010 of template C 07.00, c0020 of template C 08.01, c0020 of template C 10.01 and c0050 of C 13.01, as applicable </w:t>
            </w:r>
          </w:p>
        </w:tc>
      </w:tr>
      <w:tr w:rsidR="009B2CA6" w:rsidRPr="0051092B" w14:paraId="1CAFFED5" w14:textId="77777777">
        <w:trPr>
          <w:trHeight w:val="70"/>
        </w:trPr>
        <w:tc>
          <w:tcPr>
            <w:tcW w:w="1203" w:type="dxa"/>
          </w:tcPr>
          <w:p w14:paraId="72BDE52E"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0020</w:t>
            </w:r>
          </w:p>
        </w:tc>
        <w:tc>
          <w:tcPr>
            <w:tcW w:w="7813" w:type="dxa"/>
            <w:vAlign w:val="bottom"/>
          </w:tcPr>
          <w:p w14:paraId="7A0E01C1"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Carrying amount</w:t>
            </w:r>
          </w:p>
          <w:p w14:paraId="0666469F" w14:textId="77777777" w:rsidR="009B2CA6" w:rsidRDefault="009B2CA6">
            <w:pPr>
              <w:pStyle w:val="BodyText"/>
              <w:spacing w:before="120" w:after="120"/>
              <w:rPr>
                <w:rFonts w:ascii="Times New Roman" w:hAnsi="Times New Roman" w:cs="Times New Roman"/>
                <w:b/>
                <w:u w:val="single"/>
                <w:lang w:val="en-GB"/>
              </w:rPr>
            </w:pPr>
            <w:r w:rsidRPr="00853033">
              <w:rPr>
                <w:rFonts w:ascii="Times New Roman" w:hAnsi="Times New Roman" w:cs="Times New Roman"/>
                <w:lang w:val="en-GB"/>
              </w:rPr>
              <w:t xml:space="preserve">Annex V, Part I, section 5, </w:t>
            </w:r>
            <w:r>
              <w:rPr>
                <w:rFonts w:ascii="Times New Roman" w:hAnsi="Times New Roman" w:cs="Times New Roman"/>
                <w:lang w:val="en-GB"/>
              </w:rPr>
              <w:t>paragraph</w:t>
            </w:r>
            <w:r w:rsidRPr="00853033">
              <w:rPr>
                <w:rFonts w:ascii="Times New Roman" w:hAnsi="Times New Roman" w:cs="Times New Roman"/>
                <w:lang w:val="en-GB"/>
              </w:rPr>
              <w:t xml:space="preserve"> 27</w:t>
            </w:r>
          </w:p>
        </w:tc>
      </w:tr>
      <w:tr w:rsidR="009B2CA6" w:rsidRPr="0051092B" w14:paraId="066B804C" w14:textId="77777777">
        <w:trPr>
          <w:trHeight w:val="70"/>
        </w:trPr>
        <w:tc>
          <w:tcPr>
            <w:tcW w:w="1203" w:type="dxa"/>
          </w:tcPr>
          <w:p w14:paraId="26CFE648"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0030 – 0040</w:t>
            </w:r>
          </w:p>
        </w:tc>
        <w:tc>
          <w:tcPr>
            <w:tcW w:w="7813" w:type="dxa"/>
            <w:vAlign w:val="bottom"/>
          </w:tcPr>
          <w:p w14:paraId="10C214C7" w14:textId="77777777" w:rsidR="009B2CA6" w:rsidRPr="0051092B" w:rsidRDefault="009B2CA6">
            <w:pPr>
              <w:pStyle w:val="BodyText"/>
              <w:spacing w:before="120" w:after="120"/>
              <w:rPr>
                <w:rFonts w:ascii="Times New Roman" w:hAnsi="Times New Roman" w:cs="Times New Roman"/>
                <w:b/>
                <w:u w:val="single"/>
                <w:lang w:val="en-GB" w:eastAsia="nl-BE"/>
              </w:rPr>
            </w:pPr>
            <w:r w:rsidRPr="005C56C5">
              <w:rPr>
                <w:rFonts w:ascii="Times New Roman" w:hAnsi="Times New Roman" w:cs="Times New Roman"/>
                <w:b/>
                <w:u w:val="single"/>
                <w:lang w:val="en-GB"/>
              </w:rPr>
              <w:t>Instruments and positions subject to commodities risk</w:t>
            </w:r>
            <w:r>
              <w:rPr>
                <w:rFonts w:ascii="Times New Roman" w:hAnsi="Times New Roman" w:cs="Times New Roman"/>
                <w:b/>
                <w:u w:val="single"/>
                <w:lang w:val="en-GB"/>
              </w:rPr>
              <w:t xml:space="preserve">: Value to the effect of Article 325a of Regulation (EU) No 575/2013 – </w:t>
            </w:r>
            <w:r w:rsidRPr="0051092B">
              <w:rPr>
                <w:rFonts w:ascii="Times New Roman" w:hAnsi="Times New Roman" w:cs="Times New Roman"/>
                <w:b/>
                <w:u w:val="single"/>
                <w:lang w:val="en-GB"/>
              </w:rPr>
              <w:t>Long</w:t>
            </w:r>
            <w:r>
              <w:rPr>
                <w:rFonts w:ascii="Times New Roman" w:hAnsi="Times New Roman" w:cs="Times New Roman"/>
                <w:b/>
                <w:u w:val="single"/>
                <w:lang w:val="en-GB"/>
              </w:rPr>
              <w:t xml:space="preserve"> </w:t>
            </w:r>
            <w:r w:rsidRPr="0051092B">
              <w:rPr>
                <w:rFonts w:ascii="Times New Roman" w:hAnsi="Times New Roman" w:cs="Times New Roman"/>
                <w:b/>
                <w:u w:val="single"/>
                <w:lang w:val="en-GB"/>
              </w:rPr>
              <w:t>positions / Short positions</w:t>
            </w:r>
          </w:p>
          <w:p w14:paraId="00A3C7C0" w14:textId="77777777" w:rsidR="009B2CA6"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325a(2), second subparagraph, in conjunction with Article 94(3), second subparagraph, of Regulation (EU) No 575/2013</w:t>
            </w:r>
          </w:p>
          <w:tbl>
            <w:tblPr>
              <w:tblStyle w:val="TableGrid"/>
              <w:tblpPr w:leftFromText="180" w:rightFromText="180" w:vertAnchor="text" w:horzAnchor="margin" w:tblpY="54"/>
              <w:tblOverlap w:val="never"/>
              <w:tblW w:w="0" w:type="auto"/>
              <w:tblLook w:val="04A0" w:firstRow="1" w:lastRow="0" w:firstColumn="1" w:lastColumn="0" w:noHBand="0" w:noVBand="1"/>
            </w:tblPr>
            <w:tblGrid>
              <w:gridCol w:w="7587"/>
            </w:tblGrid>
            <w:tr w:rsidR="009B2CA6" w14:paraId="029ED0FF" w14:textId="77777777">
              <w:tc>
                <w:tcPr>
                  <w:tcW w:w="7587" w:type="dxa"/>
                </w:tcPr>
                <w:p w14:paraId="2632BFBB" w14:textId="77777777" w:rsidR="009B2CA6" w:rsidRPr="0051092B" w:rsidRDefault="009B2CA6">
                  <w:pPr>
                    <w:pStyle w:val="body"/>
                    <w:rPr>
                      <w:b/>
                      <w:bCs/>
                      <w:lang w:val="en-GB"/>
                    </w:rPr>
                  </w:pPr>
                  <w:r w:rsidRPr="0051092B">
                    <w:rPr>
                      <w:b/>
                      <w:bCs/>
                      <w:lang w:val="en-GB"/>
                    </w:rPr>
                    <w:t>Explanatory text for consultation purposes</w:t>
                  </w:r>
                </w:p>
                <w:p w14:paraId="03F23E82" w14:textId="3EFF82CD" w:rsidR="009B2CA6" w:rsidRDefault="009B2CA6">
                  <w:pPr>
                    <w:pStyle w:val="body"/>
                    <w:rPr>
                      <w:lang w:val="en-GB"/>
                    </w:rPr>
                  </w:pPr>
                  <w:r>
                    <w:rPr>
                      <w:lang w:val="en-GB"/>
                    </w:rPr>
                    <w:t>As explained above, t</w:t>
                  </w:r>
                  <w:r w:rsidRPr="0051092B">
                    <w:rPr>
                      <w:lang w:val="en-GB"/>
                    </w:rPr>
                    <w:t xml:space="preserve">he measurement basis </w:t>
                  </w:r>
                  <w:r>
                    <w:rPr>
                      <w:lang w:val="en-GB"/>
                    </w:rPr>
                    <w:t>is chosen t</w:t>
                  </w:r>
                  <w:r w:rsidRPr="0051092B">
                    <w:rPr>
                      <w:lang w:val="en-GB"/>
                    </w:rPr>
                    <w:t xml:space="preserve">o ensure that the figures reported in these </w:t>
                  </w:r>
                  <w:r>
                    <w:rPr>
                      <w:lang w:val="en-GB"/>
                    </w:rPr>
                    <w:t>this template</w:t>
                  </w:r>
                  <w:r w:rsidRPr="0051092B">
                    <w:rPr>
                      <w:lang w:val="en-GB"/>
                    </w:rPr>
                    <w:t xml:space="preserve"> can be mapped, to the extent possible</w:t>
                  </w:r>
                  <w:r>
                    <w:rPr>
                      <w:lang w:val="en-GB"/>
                    </w:rPr>
                    <w:t>,</w:t>
                  </w:r>
                  <w:r w:rsidRPr="0051092B">
                    <w:rPr>
                      <w:lang w:val="en-GB"/>
                    </w:rPr>
                    <w:t xml:space="preserve"> and with small exceptions, to the values reported in template C 90.0</w:t>
                  </w:r>
                  <w:r w:rsidR="003818BE">
                    <w:rPr>
                      <w:lang w:val="en-GB"/>
                    </w:rPr>
                    <w:t>0</w:t>
                  </w:r>
                  <w:r w:rsidRPr="0051092B">
                    <w:rPr>
                      <w:lang w:val="en-GB"/>
                    </w:rPr>
                    <w:t xml:space="preserve"> (trading book thresholds in quantitative terms)</w:t>
                  </w:r>
                  <w:r>
                    <w:rPr>
                      <w:lang w:val="en-GB"/>
                    </w:rPr>
                    <w:t xml:space="preserve"> and other templates.</w:t>
                  </w:r>
                </w:p>
                <w:p w14:paraId="7F54AA79" w14:textId="77777777" w:rsidR="009B2CA6" w:rsidRDefault="009B2CA6">
                  <w:pPr>
                    <w:pStyle w:val="body"/>
                    <w:rPr>
                      <w:lang w:val="en-GB"/>
                    </w:rPr>
                  </w:pPr>
                  <w:r>
                    <w:rPr>
                      <w:lang w:val="en-GB"/>
                    </w:rPr>
                    <w:t>More specifically,</w:t>
                  </w:r>
                </w:p>
                <w:p w14:paraId="6E1CD0B7" w14:textId="77777777" w:rsidR="009B2CA6" w:rsidRPr="00D0341C" w:rsidRDefault="009B2CA6" w:rsidP="009B2CA6">
                  <w:pPr>
                    <w:pStyle w:val="body"/>
                    <w:numPr>
                      <w:ilvl w:val="0"/>
                      <w:numId w:val="70"/>
                    </w:numPr>
                    <w:rPr>
                      <w:rFonts w:ascii="Times New Roman" w:hAnsi="Times New Roman" w:cs="Times New Roman"/>
                      <w:lang w:val="en-GB"/>
                    </w:rPr>
                  </w:pPr>
                  <w:r>
                    <w:rPr>
                      <w:lang w:val="en-GB"/>
                    </w:rPr>
                    <w:t>The template should capture all exposures subject to credit risk, including exposures subject to counterparty credit risk and own funds requirements for securitisations with the original exposure amount, so that the values can be compared to the total of the ‘original exposure’-values reported in templates C 07.00, C 08.01, C 10.01 (if applicable) and C 13.01;</w:t>
                  </w:r>
                </w:p>
                <w:p w14:paraId="627FDC2A" w14:textId="334C8FD4" w:rsidR="009B2CA6" w:rsidRPr="008A23E0" w:rsidRDefault="009B2CA6" w:rsidP="009B2CA6">
                  <w:pPr>
                    <w:pStyle w:val="body"/>
                    <w:numPr>
                      <w:ilvl w:val="0"/>
                      <w:numId w:val="70"/>
                    </w:numPr>
                    <w:rPr>
                      <w:rFonts w:ascii="Times New Roman" w:hAnsi="Times New Roman" w:cs="Times New Roman"/>
                      <w:lang w:val="en-GB"/>
                    </w:rPr>
                  </w:pPr>
                  <w:r>
                    <w:rPr>
                      <w:lang w:val="en-GB"/>
                    </w:rPr>
                    <w:t>All commodities exposures, whether they are financial instruments referencing commodities or physical stocks, and whether they constitute assets, liabilities or off-balance sheet items, with the value relevant for the calculation of the threshold of Article 325a CRR, so that the value can be compared to the values reported in C 90.0</w:t>
                  </w:r>
                  <w:r w:rsidR="003818BE">
                    <w:rPr>
                      <w:lang w:val="en-GB"/>
                    </w:rPr>
                    <w:t>0</w:t>
                  </w:r>
                  <w:r>
                    <w:rPr>
                      <w:lang w:val="en-GB"/>
                    </w:rPr>
                    <w:t>, c0060,</w:t>
                  </w:r>
                </w:p>
                <w:p w14:paraId="5E2E0F72" w14:textId="77777777" w:rsidR="009B2CA6" w:rsidRPr="008A23E0" w:rsidRDefault="009B2CA6" w:rsidP="009B2CA6">
                  <w:pPr>
                    <w:pStyle w:val="body"/>
                    <w:numPr>
                      <w:ilvl w:val="0"/>
                      <w:numId w:val="70"/>
                    </w:numPr>
                    <w:rPr>
                      <w:rFonts w:ascii="Times New Roman" w:hAnsi="Times New Roman" w:cs="Times New Roman"/>
                      <w:lang w:val="en-GB"/>
                    </w:rPr>
                  </w:pPr>
                  <w:r>
                    <w:rPr>
                      <w:lang w:val="en-GB"/>
                    </w:rPr>
                    <w:t>And short positions and liabilities that are neither subject to commodities nor credit risk with their carrying amount, for simplicity.</w:t>
                  </w:r>
                </w:p>
                <w:p w14:paraId="2813809A" w14:textId="77777777" w:rsidR="009B2CA6" w:rsidRDefault="009B2CA6">
                  <w:pPr>
                    <w:pStyle w:val="body"/>
                    <w:rPr>
                      <w:lang w:val="en-GB"/>
                    </w:rPr>
                  </w:pPr>
                  <w:r w:rsidRPr="007A31AE">
                    <w:rPr>
                      <w:lang w:val="en-GB"/>
                    </w:rPr>
                    <w:t xml:space="preserve">Positions subject to FX risk are also captured in the template, but it is not envisaged to compare them to values reported, for example, in C 90.00, as </w:t>
                  </w:r>
                  <w:r>
                    <w:rPr>
                      <w:lang w:val="en-GB"/>
                    </w:rPr>
                    <w:t xml:space="preserve">not all of the positions would be considered for the threshold calculation (e.g. structural FX is excluded) and as the positions included in the threshold calculation </w:t>
                  </w:r>
                  <w:r w:rsidRPr="007A31AE">
                    <w:rPr>
                      <w:lang w:val="en-GB"/>
                    </w:rPr>
                    <w:t>are considered on a net basis.</w:t>
                  </w:r>
                </w:p>
                <w:p w14:paraId="0F3954E9" w14:textId="77777777" w:rsidR="009B2CA6" w:rsidRDefault="009B2CA6">
                  <w:pPr>
                    <w:pStyle w:val="body"/>
                    <w:rPr>
                      <w:lang w:val="en-GB"/>
                    </w:rPr>
                  </w:pPr>
                  <w:r>
                    <w:rPr>
                      <w:lang w:val="en-GB"/>
                    </w:rPr>
                    <w:t xml:space="preserve">It is possible that two or more values have to be reported in this template for one and the same instrument; a commodities derivative, for example, would have to be </w:t>
                  </w:r>
                  <w:r>
                    <w:rPr>
                      <w:lang w:val="en-GB"/>
                    </w:rPr>
                    <w:lastRenderedPageBreak/>
                    <w:t>reflected by reporting the original exposure amount corresponding to its CCR component and the long/short position in the commodity it references.</w:t>
                  </w:r>
                </w:p>
                <w:p w14:paraId="257B34A1" w14:textId="77777777" w:rsidR="009B2CA6" w:rsidRDefault="009B2CA6">
                  <w:pPr>
                    <w:pStyle w:val="body"/>
                    <w:rPr>
                      <w:rFonts w:ascii="Times New Roman" w:hAnsi="Times New Roman" w:cs="Times New Roman"/>
                      <w:lang w:val="en-GB"/>
                    </w:rPr>
                  </w:pPr>
                  <w:r>
                    <w:rPr>
                      <w:lang w:val="en-GB"/>
                    </w:rPr>
                    <w:t>Other than for column 0050, the design of the template aims to separate the different measurement basis (in principle, the measurement basis depends on the row).</w:t>
                  </w:r>
                </w:p>
              </w:tc>
            </w:tr>
          </w:tbl>
          <w:p w14:paraId="21C46536" w14:textId="77777777" w:rsidR="009B2CA6" w:rsidRPr="0051092B" w:rsidRDefault="009B2CA6">
            <w:pPr>
              <w:pStyle w:val="BodyText"/>
              <w:spacing w:before="120" w:after="120"/>
              <w:rPr>
                <w:rFonts w:ascii="Times New Roman" w:hAnsi="Times New Roman" w:cs="Times New Roman"/>
                <w:lang w:val="en-GB"/>
              </w:rPr>
            </w:pPr>
          </w:p>
        </w:tc>
      </w:tr>
      <w:tr w:rsidR="009B2CA6" w:rsidRPr="0051092B" w14:paraId="277927C0" w14:textId="77777777">
        <w:tc>
          <w:tcPr>
            <w:tcW w:w="1203" w:type="dxa"/>
          </w:tcPr>
          <w:p w14:paraId="65258626" w14:textId="77777777" w:rsidR="009B2CA6" w:rsidRPr="0051092B"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lastRenderedPageBreak/>
              <w:t>0030 - 0200</w:t>
            </w:r>
          </w:p>
        </w:tc>
        <w:tc>
          <w:tcPr>
            <w:tcW w:w="7813" w:type="dxa"/>
            <w:vAlign w:val="bottom"/>
          </w:tcPr>
          <w:p w14:paraId="6B9855E4" w14:textId="77777777" w:rsidR="009B2CA6" w:rsidRPr="0051092B" w:rsidRDefault="009B2CA6">
            <w:pPr>
              <w:pStyle w:val="BodyText"/>
              <w:spacing w:before="120" w:after="120"/>
              <w:rPr>
                <w:rFonts w:ascii="Times New Roman" w:hAnsi="Times New Roman" w:cs="Times New Roman"/>
                <w:b/>
                <w:u w:val="single"/>
                <w:lang w:val="en-GB"/>
              </w:rPr>
            </w:pPr>
            <w:r w:rsidRPr="00A96229">
              <w:rPr>
                <w:rFonts w:ascii="Times New Roman" w:hAnsi="Times New Roman" w:cs="Times New Roman"/>
                <w:b/>
                <w:u w:val="single"/>
                <w:lang w:val="en-GB"/>
              </w:rPr>
              <w:t xml:space="preserve">Memorandum item: </w:t>
            </w:r>
            <w:r>
              <w:rPr>
                <w:rFonts w:ascii="Times New Roman" w:hAnsi="Times New Roman" w:cs="Times New Roman"/>
                <w:b/>
                <w:u w:val="single"/>
                <w:lang w:val="en-GB"/>
              </w:rPr>
              <w:t>Financial i</w:t>
            </w:r>
            <w:r w:rsidRPr="00A96229">
              <w:rPr>
                <w:rFonts w:ascii="Times New Roman" w:hAnsi="Times New Roman" w:cs="Times New Roman"/>
                <w:b/>
                <w:u w:val="single"/>
                <w:lang w:val="en-GB"/>
              </w:rPr>
              <w:t>nstruments, commodities and exposures in foreign currency</w:t>
            </w:r>
          </w:p>
          <w:p w14:paraId="4E23EFDB" w14:textId="77777777" w:rsidR="009B2CA6"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Article 325a(2), point (f), of Regulation (EU) No 575/2013</w:t>
            </w:r>
          </w:p>
          <w:p w14:paraId="53B59147"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 xml:space="preserve">Financial instruments, commodities and other exposures reported in columns 0010 to 0040 shall be reported in this column, </w:t>
            </w:r>
            <w:r w:rsidRPr="004E19D9">
              <w:rPr>
                <w:rFonts w:ascii="Times New Roman" w:hAnsi="Times New Roman" w:cs="Times New Roman"/>
                <w:lang w:val="en-GB"/>
              </w:rPr>
              <w:t>if they are denominated in a currency other than the reporting currency used to calculate the own funds requirements for market risk, if they have an underlying denominated.in a such a foreign currency or have a foreign exchange position as underlying.</w:t>
            </w:r>
          </w:p>
          <w:p w14:paraId="77934022" w14:textId="77777777" w:rsidR="009B2CA6" w:rsidRPr="00B5277A"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 xml:space="preserve">The </w:t>
            </w:r>
            <w:r w:rsidRPr="00B5277A">
              <w:rPr>
                <w:rFonts w:ascii="Times New Roman" w:hAnsi="Times New Roman" w:cs="Times New Roman"/>
                <w:lang w:val="en-GB"/>
              </w:rPr>
              <w:t>value reported in this column shall be the following:</w:t>
            </w:r>
          </w:p>
          <w:p w14:paraId="67105568" w14:textId="77777777" w:rsidR="009B2CA6" w:rsidRPr="00B5277A" w:rsidRDefault="009B2CA6" w:rsidP="009B2CA6">
            <w:pPr>
              <w:pStyle w:val="BodyText"/>
              <w:numPr>
                <w:ilvl w:val="0"/>
                <w:numId w:val="69"/>
              </w:numPr>
              <w:spacing w:before="120" w:after="120" w:line="240" w:lineRule="auto"/>
              <w:rPr>
                <w:rFonts w:ascii="Times New Roman" w:hAnsi="Times New Roman" w:cs="Times New Roman"/>
                <w:lang w:val="en-GB"/>
              </w:rPr>
            </w:pPr>
            <w:r w:rsidRPr="00B5277A">
              <w:rPr>
                <w:rFonts w:ascii="Times New Roman" w:hAnsi="Times New Roman" w:cs="Times New Roman"/>
                <w:lang w:val="en-GB"/>
              </w:rPr>
              <w:t>the original exposure pre conversion factors, as defined for the purposes of c0010 of template C 07.00, c0020 of template C 08.01, c0020 of template C 10.01 or c0050 of C 13.01, as applicable, for instruments and exposures subject to own funds requirements for credit risk, including exposures subject to counterparty credit risk and securitisations,</w:t>
            </w:r>
          </w:p>
          <w:p w14:paraId="78A956C3" w14:textId="77777777" w:rsidR="009B2CA6" w:rsidRPr="00B5277A" w:rsidRDefault="009B2CA6" w:rsidP="009B2CA6">
            <w:pPr>
              <w:pStyle w:val="BodyText"/>
              <w:numPr>
                <w:ilvl w:val="0"/>
                <w:numId w:val="69"/>
              </w:numPr>
              <w:spacing w:before="120" w:after="120" w:line="240" w:lineRule="auto"/>
              <w:rPr>
                <w:rFonts w:ascii="Times New Roman" w:hAnsi="Times New Roman" w:cs="Times New Roman"/>
                <w:lang w:val="en-GB"/>
              </w:rPr>
            </w:pPr>
            <w:r w:rsidRPr="00B5277A">
              <w:rPr>
                <w:rFonts w:ascii="Times New Roman" w:hAnsi="Times New Roman" w:cs="Times New Roman"/>
                <w:lang w:val="en-GB"/>
              </w:rPr>
              <w:t>the value to the effect of Article 325a of Regulation (EU) for instruments and positions subject to own funds requirements for commodities risk;</w:t>
            </w:r>
          </w:p>
          <w:p w14:paraId="13726AD5" w14:textId="77777777" w:rsidR="009B2CA6" w:rsidRPr="00B5277A" w:rsidRDefault="009B2CA6" w:rsidP="009B2CA6">
            <w:pPr>
              <w:pStyle w:val="BodyText"/>
              <w:numPr>
                <w:ilvl w:val="0"/>
                <w:numId w:val="69"/>
              </w:numPr>
              <w:spacing w:before="120" w:after="120" w:line="240" w:lineRule="auto"/>
              <w:rPr>
                <w:rFonts w:ascii="Times New Roman" w:hAnsi="Times New Roman" w:cs="Times New Roman"/>
                <w:lang w:val="en-GB"/>
              </w:rPr>
            </w:pPr>
            <w:r w:rsidRPr="00B5277A">
              <w:rPr>
                <w:rFonts w:ascii="Times New Roman" w:hAnsi="Times New Roman" w:cs="Times New Roman"/>
                <w:lang w:val="en-GB"/>
              </w:rPr>
              <w:t>the carrying amount for short positions and liabilities.</w:t>
            </w:r>
          </w:p>
        </w:tc>
      </w:tr>
      <w:tr w:rsidR="009B2CA6" w:rsidRPr="0051092B" w14:paraId="6FDD0E75" w14:textId="77777777">
        <w:tc>
          <w:tcPr>
            <w:tcW w:w="1203" w:type="dxa"/>
          </w:tcPr>
          <w:p w14:paraId="6DF6B754"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0060 - 0110</w:t>
            </w:r>
          </w:p>
        </w:tc>
        <w:tc>
          <w:tcPr>
            <w:tcW w:w="7813" w:type="dxa"/>
          </w:tcPr>
          <w:p w14:paraId="2CE415C4"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w:t>
            </w:r>
          </w:p>
          <w:p w14:paraId="4523CA9B" w14:textId="77777777" w:rsidR="009B2CA6" w:rsidRDefault="009B2CA6">
            <w:pPr>
              <w:pStyle w:val="BodyText"/>
              <w:spacing w:before="120" w:after="120"/>
              <w:rPr>
                <w:rFonts w:ascii="Times New Roman" w:hAnsi="Times New Roman" w:cs="Times New Roman"/>
                <w:lang w:val="en-GB"/>
              </w:rPr>
            </w:pPr>
            <w:r w:rsidRPr="00795509">
              <w:rPr>
                <w:rFonts w:ascii="Times New Roman" w:hAnsi="Times New Roman" w:cs="Times New Roman"/>
                <w:lang w:val="en-GB"/>
              </w:rPr>
              <w:t>See instructions on rows regarding th</w:t>
            </w:r>
            <w:r>
              <w:rPr>
                <w:rFonts w:ascii="Times New Roman" w:hAnsi="Times New Roman" w:cs="Times New Roman"/>
                <w:lang w:val="en-GB"/>
              </w:rPr>
              <w:t>e specification of instruments to be reported in each row.</w:t>
            </w:r>
          </w:p>
          <w:p w14:paraId="09208450" w14:textId="77777777" w:rsidR="009B2CA6" w:rsidRDefault="009B2CA6">
            <w:pPr>
              <w:pStyle w:val="BodyText"/>
              <w:spacing w:before="120" w:after="120"/>
              <w:rPr>
                <w:rFonts w:ascii="Times New Roman" w:hAnsi="Times New Roman" w:cs="Times New Roman"/>
                <w:lang w:val="en-GB"/>
              </w:rPr>
            </w:pPr>
            <w:r w:rsidRPr="00795509">
              <w:rPr>
                <w:rFonts w:ascii="Times New Roman" w:hAnsi="Times New Roman" w:cs="Times New Roman"/>
                <w:lang w:val="en-GB"/>
              </w:rPr>
              <w:t>The following values shall be reported in these columns</w:t>
            </w:r>
            <w:r>
              <w:rPr>
                <w:rFonts w:ascii="Times New Roman" w:hAnsi="Times New Roman" w:cs="Times New Roman"/>
                <w:lang w:val="en-GB"/>
              </w:rPr>
              <w:t>:</w:t>
            </w:r>
          </w:p>
          <w:p w14:paraId="3F80A909" w14:textId="77777777" w:rsidR="009B2CA6" w:rsidRDefault="009B2CA6" w:rsidP="009B2CA6">
            <w:pPr>
              <w:pStyle w:val="BodyText"/>
              <w:numPr>
                <w:ilvl w:val="0"/>
                <w:numId w:val="69"/>
              </w:numPr>
              <w:spacing w:before="120" w:after="120" w:line="240" w:lineRule="auto"/>
              <w:rPr>
                <w:rFonts w:ascii="Times New Roman" w:hAnsi="Times New Roman" w:cs="Times New Roman"/>
                <w:lang w:val="en-GB"/>
              </w:rPr>
            </w:pPr>
            <w:r>
              <w:rPr>
                <w:rFonts w:ascii="Times New Roman" w:hAnsi="Times New Roman" w:cs="Times New Roman"/>
                <w:lang w:val="en-GB"/>
              </w:rPr>
              <w:t xml:space="preserve">in rows 0010 to 0020, 0040 and 0060, </w:t>
            </w:r>
            <w:r w:rsidRPr="00B5277A">
              <w:rPr>
                <w:rFonts w:ascii="Times New Roman" w:hAnsi="Times New Roman" w:cs="Times New Roman"/>
                <w:lang w:val="en-GB"/>
              </w:rPr>
              <w:t>the original exposure pre conversion factors, as defined for the purposes of c0010 of template C 07.00, c0020 of template C 08.01, c0020 of template C 10.01 or c0050 of C 13.01, as applicable, for instruments and exposures subject to own funds requirements for credit risk, including exposures subject to counterparty credit risk and securitisations,</w:t>
            </w:r>
          </w:p>
          <w:p w14:paraId="45E18C0C" w14:textId="77777777" w:rsidR="009B2CA6" w:rsidRDefault="009B2CA6" w:rsidP="009B2CA6">
            <w:pPr>
              <w:pStyle w:val="BodyText"/>
              <w:numPr>
                <w:ilvl w:val="0"/>
                <w:numId w:val="69"/>
              </w:numPr>
              <w:spacing w:before="120" w:after="120" w:line="240" w:lineRule="auto"/>
              <w:rPr>
                <w:rFonts w:ascii="Times New Roman" w:hAnsi="Times New Roman" w:cs="Times New Roman"/>
                <w:lang w:val="en-GB"/>
              </w:rPr>
            </w:pPr>
            <w:r>
              <w:rPr>
                <w:rFonts w:ascii="Times New Roman" w:hAnsi="Times New Roman" w:cs="Times New Roman"/>
                <w:lang w:val="en-GB"/>
              </w:rPr>
              <w:t xml:space="preserve">in row 0030, the carrying amount as defined in Annex V, </w:t>
            </w:r>
            <w:r w:rsidRPr="00DB3B5B">
              <w:rPr>
                <w:rFonts w:ascii="Times New Roman" w:hAnsi="Times New Roman" w:cs="Times New Roman"/>
                <w:lang w:val="en-GB"/>
              </w:rPr>
              <w:t>Part I, section 5, paragraph 27</w:t>
            </w:r>
            <w:r>
              <w:rPr>
                <w:rFonts w:ascii="Times New Roman" w:hAnsi="Times New Roman" w:cs="Times New Roman"/>
                <w:lang w:val="en-GB"/>
              </w:rPr>
              <w:t>, for short positions and liabilities, and</w:t>
            </w:r>
          </w:p>
          <w:p w14:paraId="78C670A9" w14:textId="77777777" w:rsidR="009B2CA6" w:rsidRPr="00C56B45" w:rsidRDefault="009B2CA6" w:rsidP="009B2CA6">
            <w:pPr>
              <w:pStyle w:val="BodyText"/>
              <w:numPr>
                <w:ilvl w:val="0"/>
                <w:numId w:val="69"/>
              </w:numPr>
              <w:spacing w:before="120" w:after="120" w:line="240" w:lineRule="auto"/>
              <w:rPr>
                <w:rFonts w:ascii="Times New Roman" w:hAnsi="Times New Roman" w:cs="Times New Roman"/>
                <w:lang w:val="en-GB"/>
              </w:rPr>
            </w:pPr>
            <w:r>
              <w:rPr>
                <w:rFonts w:ascii="Times New Roman" w:hAnsi="Times New Roman" w:cs="Times New Roman"/>
                <w:lang w:val="en-GB"/>
              </w:rPr>
              <w:t xml:space="preserve">in row 0050, the value to the effect of </w:t>
            </w:r>
            <w:r w:rsidRPr="00DB3B5B">
              <w:rPr>
                <w:rFonts w:ascii="Times New Roman" w:hAnsi="Times New Roman" w:cs="Times New Roman"/>
                <w:lang w:val="en-GB"/>
              </w:rPr>
              <w:t>- Article 325a of Regulation (EU)</w:t>
            </w:r>
            <w:r>
              <w:rPr>
                <w:rFonts w:ascii="Times New Roman" w:hAnsi="Times New Roman" w:cs="Times New Roman"/>
                <w:lang w:val="en-GB"/>
              </w:rPr>
              <w:t>,</w:t>
            </w:r>
            <w:r w:rsidRPr="00DB3B5B">
              <w:rPr>
                <w:rFonts w:ascii="Times New Roman" w:hAnsi="Times New Roman" w:cs="Times New Roman"/>
                <w:lang w:val="en-GB"/>
              </w:rPr>
              <w:t xml:space="preserve"> for</w:t>
            </w:r>
            <w:r>
              <w:rPr>
                <w:rFonts w:ascii="Times New Roman" w:hAnsi="Times New Roman" w:cs="Times New Roman"/>
                <w:lang w:val="en-GB"/>
              </w:rPr>
              <w:t xml:space="preserve"> physical stocks of commodities.</w:t>
            </w:r>
          </w:p>
        </w:tc>
      </w:tr>
      <w:tr w:rsidR="009B2CA6" w:rsidRPr="0051092B" w14:paraId="5F38B739" w14:textId="77777777">
        <w:tc>
          <w:tcPr>
            <w:tcW w:w="1203" w:type="dxa"/>
          </w:tcPr>
          <w:p w14:paraId="0E80A381"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813" w:type="dxa"/>
            <w:vAlign w:val="bottom"/>
          </w:tcPr>
          <w:p w14:paraId="780D4F39"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w:t>
            </w:r>
          </w:p>
          <w:p w14:paraId="31A522DD" w14:textId="77777777" w:rsidR="009B2CA6"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lastRenderedPageBreak/>
              <w:t xml:space="preserve">Article </w:t>
            </w:r>
            <w:r>
              <w:rPr>
                <w:rFonts w:ascii="Times New Roman" w:hAnsi="Times New Roman" w:cs="Times New Roman"/>
                <w:lang w:val="en-GB"/>
              </w:rPr>
              <w:t>104(3) of Regulation (EU) No 575/2013</w:t>
            </w:r>
          </w:p>
          <w:tbl>
            <w:tblPr>
              <w:tblStyle w:val="TableGrid"/>
              <w:tblW w:w="0" w:type="auto"/>
              <w:tblLook w:val="04A0" w:firstRow="1" w:lastRow="0" w:firstColumn="1" w:lastColumn="0" w:noHBand="0" w:noVBand="1"/>
            </w:tblPr>
            <w:tblGrid>
              <w:gridCol w:w="7587"/>
            </w:tblGrid>
            <w:tr w:rsidR="009B2CA6" w14:paraId="0FC033BD" w14:textId="77777777">
              <w:tc>
                <w:tcPr>
                  <w:tcW w:w="7587" w:type="dxa"/>
                </w:tcPr>
                <w:p w14:paraId="27373428" w14:textId="77777777" w:rsidR="009B2CA6" w:rsidRPr="0051092B" w:rsidRDefault="009B2CA6">
                  <w:pPr>
                    <w:pStyle w:val="body"/>
                    <w:rPr>
                      <w:b/>
                      <w:bCs/>
                      <w:lang w:val="en-GB"/>
                    </w:rPr>
                  </w:pPr>
                  <w:r w:rsidRPr="0051092B">
                    <w:rPr>
                      <w:b/>
                      <w:bCs/>
                      <w:lang w:val="en-GB"/>
                    </w:rPr>
                    <w:t>Explanatory text for consultation purposes</w:t>
                  </w:r>
                </w:p>
                <w:p w14:paraId="0BD89B08" w14:textId="77777777" w:rsidR="009B2CA6" w:rsidRDefault="009B2CA6">
                  <w:pPr>
                    <w:pStyle w:val="body"/>
                    <w:rPr>
                      <w:rFonts w:ascii="Times New Roman" w:hAnsi="Times New Roman" w:cs="Times New Roman"/>
                      <w:lang w:val="en-GB"/>
                    </w:rPr>
                  </w:pPr>
                  <w:r>
                    <w:rPr>
                      <w:lang w:val="en-GB"/>
                    </w:rPr>
                    <w:t>In contrast to the trading book template, the banking book template request a breakdown of by reason for allocation only for a subset of reasons stipulated in the CRR, as a means to contain the cost of compliance with the reporting and in consideration of the fact that the reasons overlap even more than in the case of the trading book. The ‘of which’-positions in the three subsections (mandatory / with approval / other) have mainly been chosen to reflect cases where institutions are expected to request derogations more frequently, cases where the allocation is not expected to be straightforward, or rather unusual allocations to the banking book. Do you consider that any of the reasons not yet listed explicitly belongs into the same category?</w:t>
                  </w:r>
                </w:p>
              </w:tc>
            </w:tr>
          </w:tbl>
          <w:p w14:paraId="5B8D851E" w14:textId="77777777" w:rsidR="009B2CA6" w:rsidRPr="0080470F" w:rsidRDefault="009B2CA6">
            <w:pPr>
              <w:pStyle w:val="BodyText"/>
              <w:spacing w:before="120" w:after="120"/>
              <w:rPr>
                <w:rFonts w:ascii="Times New Roman" w:hAnsi="Times New Roman" w:cs="Times New Roman"/>
                <w:lang w:val="en-GB"/>
              </w:rPr>
            </w:pPr>
          </w:p>
        </w:tc>
      </w:tr>
      <w:tr w:rsidR="009B2CA6" w:rsidRPr="0051092B" w14:paraId="21195B6C" w14:textId="77777777">
        <w:tc>
          <w:tcPr>
            <w:tcW w:w="1203" w:type="dxa"/>
          </w:tcPr>
          <w:p w14:paraId="1DD9F20E"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0070</w:t>
            </w:r>
          </w:p>
        </w:tc>
        <w:tc>
          <w:tcPr>
            <w:tcW w:w="7813" w:type="dxa"/>
            <w:vAlign w:val="bottom"/>
          </w:tcPr>
          <w:p w14:paraId="4D27CF96"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 – of which: Unlisted equities</w:t>
            </w:r>
          </w:p>
          <w:p w14:paraId="0B5398CB" w14:textId="77777777" w:rsidR="009B2CA6" w:rsidRPr="00E74F5D" w:rsidRDefault="009B2CA6">
            <w:pPr>
              <w:pStyle w:val="BodyText"/>
              <w:spacing w:before="120" w:after="120"/>
              <w:rPr>
                <w:rFonts w:ascii="Times New Roman" w:hAnsi="Times New Roman" w:cs="Times New Roman"/>
                <w:lang w:val="en-GB"/>
              </w:rPr>
            </w:pPr>
            <w:r w:rsidRPr="0051092B">
              <w:rPr>
                <w:rFonts w:ascii="Times New Roman" w:hAnsi="Times New Roman" w:cs="Times New Roman"/>
                <w:lang w:val="en-GB"/>
              </w:rPr>
              <w:t xml:space="preserve">Article </w:t>
            </w:r>
            <w:r>
              <w:rPr>
                <w:rFonts w:ascii="Times New Roman" w:hAnsi="Times New Roman" w:cs="Times New Roman"/>
                <w:lang w:val="en-GB"/>
              </w:rPr>
              <w:t>104(3), point (c), of Regulation (EU) No 575/2013</w:t>
            </w:r>
          </w:p>
        </w:tc>
      </w:tr>
      <w:tr w:rsidR="009B2CA6" w:rsidRPr="0051092B" w14:paraId="26EB8FE6" w14:textId="77777777">
        <w:tc>
          <w:tcPr>
            <w:tcW w:w="1203" w:type="dxa"/>
          </w:tcPr>
          <w:p w14:paraId="64D4F022"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0080</w:t>
            </w:r>
          </w:p>
        </w:tc>
        <w:tc>
          <w:tcPr>
            <w:tcW w:w="7813" w:type="dxa"/>
          </w:tcPr>
          <w:p w14:paraId="580D4781"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 – of which: CIUs</w:t>
            </w:r>
          </w:p>
          <w:p w14:paraId="107D0312"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104(3), point (e), of Regulation (EU) No 575/2013</w:t>
            </w:r>
          </w:p>
        </w:tc>
      </w:tr>
      <w:tr w:rsidR="009B2CA6" w:rsidRPr="0051092B" w14:paraId="2EB5FBF4" w14:textId="77777777">
        <w:tc>
          <w:tcPr>
            <w:tcW w:w="1203" w:type="dxa"/>
          </w:tcPr>
          <w:p w14:paraId="35FC3389"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0090</w:t>
            </w:r>
          </w:p>
        </w:tc>
        <w:tc>
          <w:tcPr>
            <w:tcW w:w="7813" w:type="dxa"/>
          </w:tcPr>
          <w:p w14:paraId="2751E577"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 – of which: own liabilities</w:t>
            </w:r>
          </w:p>
          <w:p w14:paraId="0BDCBFC7"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104(3), point (h), of Regulation (EU) No 575/2013</w:t>
            </w:r>
          </w:p>
        </w:tc>
      </w:tr>
      <w:tr w:rsidR="009B2CA6" w:rsidRPr="0051092B" w14:paraId="0775F8FF" w14:textId="77777777">
        <w:tc>
          <w:tcPr>
            <w:tcW w:w="1203" w:type="dxa"/>
          </w:tcPr>
          <w:p w14:paraId="168F7E22"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0100</w:t>
            </w:r>
          </w:p>
        </w:tc>
        <w:tc>
          <w:tcPr>
            <w:tcW w:w="7813" w:type="dxa"/>
          </w:tcPr>
          <w:p w14:paraId="19E6A490"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Mandatorily in the non-trading book – of which: own liabilities with an embedded option or derivative, </w:t>
            </w:r>
            <w:r w:rsidRPr="00A25397">
              <w:rPr>
                <w:rFonts w:ascii="Times New Roman" w:hAnsi="Times New Roman" w:cs="Times New Roman"/>
                <w:b/>
                <w:u w:val="single"/>
                <w:lang w:val="en-GB"/>
              </w:rPr>
              <w:t>where the option</w:t>
            </w:r>
            <w:r>
              <w:rPr>
                <w:rFonts w:ascii="Times New Roman" w:hAnsi="Times New Roman" w:cs="Times New Roman"/>
                <w:b/>
                <w:u w:val="single"/>
                <w:lang w:val="en-GB"/>
              </w:rPr>
              <w:t xml:space="preserve"> or </w:t>
            </w:r>
            <w:r w:rsidRPr="00A25397">
              <w:rPr>
                <w:rFonts w:ascii="Times New Roman" w:hAnsi="Times New Roman" w:cs="Times New Roman"/>
                <w:b/>
                <w:u w:val="single"/>
                <w:lang w:val="en-GB"/>
              </w:rPr>
              <w:t>derivative was split from the instrument and moved to the trading book</w:t>
            </w:r>
          </w:p>
          <w:p w14:paraId="4043E35B"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104(2), third subparagraph, and (3), point (h), of Regulation (EU) No 575/2013</w:t>
            </w:r>
          </w:p>
        </w:tc>
      </w:tr>
      <w:tr w:rsidR="009B2CA6" w:rsidRPr="0051092B" w14:paraId="6F3B2C8F" w14:textId="77777777">
        <w:tc>
          <w:tcPr>
            <w:tcW w:w="1203" w:type="dxa"/>
          </w:tcPr>
          <w:p w14:paraId="53DE076E"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0110</w:t>
            </w:r>
          </w:p>
        </w:tc>
        <w:tc>
          <w:tcPr>
            <w:tcW w:w="7813" w:type="dxa"/>
          </w:tcPr>
          <w:p w14:paraId="07CFFB07"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Mandatorily in the non-trading book – of which: Instruments in hedge funds</w:t>
            </w:r>
          </w:p>
          <w:p w14:paraId="50DDFCE1"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104(3), point (i), of Regulation (EU) No 575/2013</w:t>
            </w:r>
          </w:p>
        </w:tc>
      </w:tr>
      <w:tr w:rsidR="009B2CA6" w:rsidRPr="0051092B" w14:paraId="1F331642" w14:textId="77777777">
        <w:tc>
          <w:tcPr>
            <w:tcW w:w="1203" w:type="dxa"/>
          </w:tcPr>
          <w:p w14:paraId="4C296E92"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0120 – 0140</w:t>
            </w:r>
          </w:p>
        </w:tc>
        <w:tc>
          <w:tcPr>
            <w:tcW w:w="7813" w:type="dxa"/>
          </w:tcPr>
          <w:p w14:paraId="6C83C45B" w14:textId="77777777" w:rsidR="009B2CA6" w:rsidRPr="0051092B" w:rsidRDefault="009B2CA6">
            <w:pPr>
              <w:pStyle w:val="BodyText"/>
              <w:spacing w:before="120" w:after="120"/>
              <w:rPr>
                <w:rFonts w:ascii="Times New Roman" w:hAnsi="Times New Roman" w:cs="Times New Roman"/>
                <w:b/>
                <w:u w:val="single"/>
                <w:lang w:val="en-GB"/>
              </w:rPr>
            </w:pP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p>
          <w:p w14:paraId="1610D7CA"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lang w:val="en-GB"/>
              </w:rPr>
              <w:t>See instructions on column 0060 to 0110 regarding the measurement basis and scope of positions to be considered for every row</w:t>
            </w:r>
          </w:p>
        </w:tc>
      </w:tr>
      <w:tr w:rsidR="009B2CA6" w:rsidRPr="0051092B" w14:paraId="039FF51E" w14:textId="77777777">
        <w:tc>
          <w:tcPr>
            <w:tcW w:w="1203" w:type="dxa"/>
          </w:tcPr>
          <w:p w14:paraId="05E9AC76"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0120</w:t>
            </w:r>
          </w:p>
        </w:tc>
        <w:tc>
          <w:tcPr>
            <w:tcW w:w="7813" w:type="dxa"/>
          </w:tcPr>
          <w:p w14:paraId="7089CD1B" w14:textId="77777777" w:rsidR="009B2CA6" w:rsidRPr="0051092B" w:rsidRDefault="009B2CA6">
            <w:pPr>
              <w:pStyle w:val="BodyText"/>
              <w:spacing w:before="120" w:after="120"/>
              <w:rPr>
                <w:rFonts w:ascii="Times New Roman" w:hAnsi="Times New Roman" w:cs="Times New Roman"/>
                <w:b/>
                <w:u w:val="single"/>
                <w:lang w:val="en-GB"/>
              </w:rPr>
            </w:pP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p>
          <w:p w14:paraId="718E8562"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104(4) of Regulation (EU) No 575/2013</w:t>
            </w:r>
          </w:p>
        </w:tc>
      </w:tr>
      <w:tr w:rsidR="009B2CA6" w:rsidRPr="0051092B" w14:paraId="4050EB84" w14:textId="77777777">
        <w:tc>
          <w:tcPr>
            <w:tcW w:w="1203" w:type="dxa"/>
          </w:tcPr>
          <w:p w14:paraId="2A8B44C2"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0130</w:t>
            </w:r>
          </w:p>
        </w:tc>
        <w:tc>
          <w:tcPr>
            <w:tcW w:w="7813" w:type="dxa"/>
          </w:tcPr>
          <w:p w14:paraId="3BD99D8B" w14:textId="77777777" w:rsidR="009B2CA6" w:rsidRPr="0051092B" w:rsidRDefault="009B2CA6">
            <w:pPr>
              <w:pStyle w:val="BodyText"/>
              <w:spacing w:before="120" w:after="120"/>
              <w:rPr>
                <w:rFonts w:ascii="Times New Roman" w:hAnsi="Times New Roman" w:cs="Times New Roman"/>
                <w:b/>
                <w:u w:val="single"/>
                <w:lang w:val="en-GB"/>
              </w:rPr>
            </w:pP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r>
              <w:rPr>
                <w:rFonts w:ascii="Times New Roman" w:hAnsi="Times New Roman" w:cs="Times New Roman"/>
                <w:b/>
                <w:u w:val="single"/>
                <w:lang w:val="en-GB"/>
              </w:rPr>
              <w:t xml:space="preserve"> – of which: CIUs</w:t>
            </w:r>
          </w:p>
          <w:p w14:paraId="267DB9E2"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104(4) in conjunction with (2), point (f), of Regulation (EU) No 575/2013</w:t>
            </w:r>
          </w:p>
        </w:tc>
      </w:tr>
      <w:tr w:rsidR="009B2CA6" w:rsidRPr="0051092B" w14:paraId="62707A2E" w14:textId="77777777">
        <w:tc>
          <w:tcPr>
            <w:tcW w:w="1203" w:type="dxa"/>
          </w:tcPr>
          <w:p w14:paraId="7B680DAD"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0140</w:t>
            </w:r>
          </w:p>
        </w:tc>
        <w:tc>
          <w:tcPr>
            <w:tcW w:w="7813" w:type="dxa"/>
          </w:tcPr>
          <w:p w14:paraId="61E1A72C" w14:textId="77777777" w:rsidR="009B2CA6" w:rsidRPr="0051092B" w:rsidRDefault="009B2CA6">
            <w:pPr>
              <w:pStyle w:val="BodyText"/>
              <w:spacing w:before="120" w:after="120"/>
              <w:rPr>
                <w:rFonts w:ascii="Times New Roman" w:hAnsi="Times New Roman" w:cs="Times New Roman"/>
                <w:b/>
                <w:u w:val="single"/>
                <w:lang w:val="en-GB"/>
              </w:rPr>
            </w:pP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r>
              <w:rPr>
                <w:rFonts w:ascii="Times New Roman" w:hAnsi="Times New Roman" w:cs="Times New Roman"/>
                <w:b/>
                <w:u w:val="single"/>
                <w:lang w:val="en-GB"/>
              </w:rPr>
              <w:t xml:space="preserve"> – of which: listed equities</w:t>
            </w:r>
          </w:p>
          <w:p w14:paraId="28D7309B"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104(4) in conjunction with (2), point (g), of Regulation (EU) No 575/2013</w:t>
            </w:r>
          </w:p>
        </w:tc>
      </w:tr>
      <w:tr w:rsidR="009B2CA6" w:rsidRPr="0051092B" w14:paraId="798B97A4" w14:textId="77777777">
        <w:tc>
          <w:tcPr>
            <w:tcW w:w="1203" w:type="dxa"/>
          </w:tcPr>
          <w:p w14:paraId="100C28AE"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0150 - 0170</w:t>
            </w:r>
          </w:p>
        </w:tc>
        <w:tc>
          <w:tcPr>
            <w:tcW w:w="7813" w:type="dxa"/>
          </w:tcPr>
          <w:p w14:paraId="3D815941"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Other instruments </w:t>
            </w:r>
          </w:p>
          <w:p w14:paraId="2649D560"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lang w:val="en-GB"/>
              </w:rPr>
              <w:t>See instructions on column 0060 to 0110 regarding the measurement basis and scope of positions to be considered for every row</w:t>
            </w:r>
          </w:p>
        </w:tc>
      </w:tr>
      <w:tr w:rsidR="009B2CA6" w:rsidRPr="0051092B" w14:paraId="4FD0C7B2" w14:textId="77777777">
        <w:tc>
          <w:tcPr>
            <w:tcW w:w="1203" w:type="dxa"/>
          </w:tcPr>
          <w:p w14:paraId="7B4571A0"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0150</w:t>
            </w:r>
          </w:p>
        </w:tc>
        <w:tc>
          <w:tcPr>
            <w:tcW w:w="7813" w:type="dxa"/>
          </w:tcPr>
          <w:p w14:paraId="3224FB7D"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instruments</w:t>
            </w:r>
          </w:p>
        </w:tc>
      </w:tr>
      <w:tr w:rsidR="009B2CA6" w:rsidRPr="0051092B" w14:paraId="57097A2D" w14:textId="77777777">
        <w:tc>
          <w:tcPr>
            <w:tcW w:w="1203" w:type="dxa"/>
          </w:tcPr>
          <w:p w14:paraId="1789D6FA"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0160</w:t>
            </w:r>
          </w:p>
        </w:tc>
        <w:tc>
          <w:tcPr>
            <w:tcW w:w="7813" w:type="dxa"/>
          </w:tcPr>
          <w:p w14:paraId="1E08EA19"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instruments – of which: Loans and advances</w:t>
            </w:r>
          </w:p>
        </w:tc>
      </w:tr>
      <w:tr w:rsidR="009B2CA6" w:rsidRPr="0051092B" w14:paraId="2F71191F" w14:textId="77777777">
        <w:tc>
          <w:tcPr>
            <w:tcW w:w="1203" w:type="dxa"/>
          </w:tcPr>
          <w:p w14:paraId="21A0F9EC"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0170</w:t>
            </w:r>
          </w:p>
        </w:tc>
        <w:tc>
          <w:tcPr>
            <w:tcW w:w="7813" w:type="dxa"/>
          </w:tcPr>
          <w:p w14:paraId="37A0A9F4"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Other instruments – of which: </w:t>
            </w:r>
            <w:r w:rsidRPr="00325BBF">
              <w:rPr>
                <w:rFonts w:ascii="Times New Roman" w:hAnsi="Times New Roman" w:cs="Times New Roman"/>
                <w:b/>
                <w:u w:val="single"/>
                <w:lang w:val="en-GB"/>
              </w:rPr>
              <w:t>Instruments assigned to the banking book due to lack of evidence for classification in Trading Book</w:t>
            </w:r>
          </w:p>
          <w:p w14:paraId="29A4B99A" w14:textId="77777777" w:rsidR="009B2CA6" w:rsidRDefault="009B2CA6">
            <w:pPr>
              <w:pStyle w:val="BodyText"/>
              <w:spacing w:before="120" w:after="120"/>
              <w:rPr>
                <w:rFonts w:ascii="Times New Roman" w:hAnsi="Times New Roman" w:cs="Times New Roman"/>
                <w:b/>
                <w:u w:val="single"/>
                <w:lang w:val="en-GB"/>
              </w:rPr>
            </w:pPr>
            <w:r w:rsidRPr="0051092B">
              <w:rPr>
                <w:rFonts w:ascii="Times New Roman" w:hAnsi="Times New Roman" w:cs="Times New Roman"/>
                <w:lang w:val="en-GB"/>
              </w:rPr>
              <w:t xml:space="preserve">Article </w:t>
            </w:r>
            <w:r>
              <w:rPr>
                <w:rFonts w:ascii="Times New Roman" w:hAnsi="Times New Roman" w:cs="Times New Roman"/>
                <w:lang w:val="en-GB"/>
              </w:rPr>
              <w:t>104(5), second sentence, of Regulation (EU) No 575/2013</w:t>
            </w:r>
          </w:p>
        </w:tc>
      </w:tr>
    </w:tbl>
    <w:p w14:paraId="20DD7B60" w14:textId="77777777" w:rsidR="009B2CA6" w:rsidRDefault="009B2CA6" w:rsidP="009B2CA6">
      <w:pPr>
        <w:pStyle w:val="body"/>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51092B" w14:paraId="1F440D46" w14:textId="77777777">
        <w:tc>
          <w:tcPr>
            <w:tcW w:w="1203" w:type="dxa"/>
            <w:shd w:val="clear" w:color="auto" w:fill="BFBFBF" w:themeFill="background1" w:themeFillShade="BF"/>
          </w:tcPr>
          <w:p w14:paraId="6BD2E5CB" w14:textId="77777777" w:rsidR="009B2CA6" w:rsidRPr="0051092B" w:rsidRDefault="009B2CA6">
            <w:pPr>
              <w:pStyle w:val="BodyText"/>
              <w:spacing w:before="120" w:after="120"/>
              <w:rPr>
                <w:rFonts w:ascii="Times New Roman" w:hAnsi="Times New Roman" w:cs="Times New Roman"/>
                <w:b/>
                <w:lang w:val="en-GB"/>
              </w:rPr>
            </w:pPr>
            <w:r>
              <w:rPr>
                <w:rFonts w:ascii="Times New Roman" w:hAnsi="Times New Roman" w:cs="Times New Roman"/>
                <w:b/>
                <w:lang w:val="en-GB"/>
              </w:rPr>
              <w:t>Row</w:t>
            </w:r>
          </w:p>
        </w:tc>
        <w:tc>
          <w:tcPr>
            <w:tcW w:w="7813" w:type="dxa"/>
            <w:shd w:val="clear" w:color="auto" w:fill="BFBFBF" w:themeFill="background1" w:themeFillShade="BF"/>
          </w:tcPr>
          <w:p w14:paraId="14C6875F" w14:textId="77777777" w:rsidR="009B2CA6" w:rsidRPr="0051092B" w:rsidRDefault="009B2CA6">
            <w:pPr>
              <w:pStyle w:val="BodyText"/>
              <w:spacing w:before="120" w:after="120"/>
              <w:rPr>
                <w:rFonts w:ascii="Times New Roman" w:hAnsi="Times New Roman" w:cs="Times New Roman"/>
                <w:b/>
                <w:lang w:val="en-GB"/>
              </w:rPr>
            </w:pPr>
            <w:r w:rsidRPr="0051092B">
              <w:rPr>
                <w:rFonts w:ascii="Times New Roman" w:hAnsi="Times New Roman" w:cs="Times New Roman"/>
                <w:b/>
                <w:lang w:val="en-GB"/>
              </w:rPr>
              <w:t>Legal references and instructions</w:t>
            </w:r>
          </w:p>
        </w:tc>
      </w:tr>
      <w:tr w:rsidR="009B2CA6" w:rsidRPr="0051092B" w14:paraId="120AE27A" w14:textId="77777777">
        <w:trPr>
          <w:trHeight w:val="70"/>
        </w:trPr>
        <w:tc>
          <w:tcPr>
            <w:tcW w:w="1203" w:type="dxa"/>
          </w:tcPr>
          <w:p w14:paraId="10BDEE08"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0010</w:t>
            </w:r>
          </w:p>
        </w:tc>
        <w:tc>
          <w:tcPr>
            <w:tcW w:w="7813" w:type="dxa"/>
            <w:vAlign w:val="bottom"/>
          </w:tcPr>
          <w:p w14:paraId="616153D7"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Financial instruments: Assets and on-balance sheet items subject to CCR</w:t>
            </w:r>
          </w:p>
          <w:p w14:paraId="6DDA3C04"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All assets that are financial instruments, and exposures subject to own funds requirements for counterparty credit risk, assigned to the non-banking book, including commodities derivatives, shall be reported in this row.</w:t>
            </w:r>
          </w:p>
          <w:p w14:paraId="683D4848"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 xml:space="preserve">As regards columns 0060 to 0170, institutions shall only report exposures subject to own funds requirements for credit risk, including exposures subject to counterparty credit risk and securitisations. </w:t>
            </w:r>
          </w:p>
        </w:tc>
      </w:tr>
      <w:tr w:rsidR="009B2CA6" w:rsidRPr="0051092B" w14:paraId="5F14D594" w14:textId="77777777">
        <w:trPr>
          <w:trHeight w:val="70"/>
        </w:trPr>
        <w:tc>
          <w:tcPr>
            <w:tcW w:w="1203" w:type="dxa"/>
          </w:tcPr>
          <w:p w14:paraId="469F2083"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0020</w:t>
            </w:r>
          </w:p>
        </w:tc>
        <w:tc>
          <w:tcPr>
            <w:tcW w:w="7813" w:type="dxa"/>
            <w:vAlign w:val="bottom"/>
          </w:tcPr>
          <w:p w14:paraId="61AF1249"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 xml:space="preserve">Financial instruments: </w:t>
            </w:r>
            <w:r w:rsidRPr="00C608CF">
              <w:rPr>
                <w:rFonts w:ascii="Times New Roman" w:hAnsi="Times New Roman" w:cs="Times New Roman"/>
                <w:b/>
                <w:u w:val="single"/>
                <w:lang w:val="en-GB"/>
              </w:rPr>
              <w:t>Assets and on-balance sheet items subject to CCR</w:t>
            </w:r>
            <w:r>
              <w:rPr>
                <w:rFonts w:ascii="Times New Roman" w:hAnsi="Times New Roman" w:cs="Times New Roman"/>
                <w:b/>
                <w:u w:val="single"/>
                <w:lang w:val="en-GB"/>
              </w:rPr>
              <w:t xml:space="preserve"> – of which: </w:t>
            </w:r>
            <w:r w:rsidRPr="004B62AB">
              <w:rPr>
                <w:rFonts w:ascii="Times New Roman" w:hAnsi="Times New Roman" w:cs="Times New Roman"/>
                <w:b/>
                <w:u w:val="single"/>
                <w:lang w:val="en-GB"/>
              </w:rPr>
              <w:t>classified unambiguously as having a trading purpose under the accounting framework</w:t>
            </w:r>
          </w:p>
          <w:p w14:paraId="145D6C6A"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lang w:val="en-GB"/>
              </w:rPr>
              <w:t>Article 104(4) in conjunction with (2), point (d), of Regulation (EU) No 575/2013</w:t>
            </w:r>
          </w:p>
        </w:tc>
      </w:tr>
      <w:tr w:rsidR="009B2CA6" w:rsidRPr="0051092B" w14:paraId="6EA9016D" w14:textId="77777777">
        <w:trPr>
          <w:trHeight w:val="70"/>
        </w:trPr>
        <w:tc>
          <w:tcPr>
            <w:tcW w:w="1203" w:type="dxa"/>
          </w:tcPr>
          <w:p w14:paraId="3D527C03"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0030</w:t>
            </w:r>
          </w:p>
        </w:tc>
        <w:tc>
          <w:tcPr>
            <w:tcW w:w="7813" w:type="dxa"/>
            <w:vAlign w:val="bottom"/>
          </w:tcPr>
          <w:p w14:paraId="206C527D" w14:textId="77777777" w:rsidR="009B2CA6" w:rsidRPr="0051092B" w:rsidRDefault="009B2CA6">
            <w:pPr>
              <w:pStyle w:val="BodyText"/>
              <w:spacing w:before="120" w:after="120"/>
              <w:rPr>
                <w:rFonts w:ascii="Times New Roman" w:hAnsi="Times New Roman" w:cs="Times New Roman"/>
                <w:b/>
                <w:u w:val="single"/>
                <w:lang w:val="en-GB" w:eastAsia="nl-BE"/>
              </w:rPr>
            </w:pPr>
            <w:r w:rsidRPr="00A2104E">
              <w:rPr>
                <w:rFonts w:ascii="Times New Roman" w:hAnsi="Times New Roman" w:cs="Times New Roman"/>
                <w:b/>
                <w:u w:val="single"/>
                <w:lang w:val="en-GB"/>
              </w:rPr>
              <w:t xml:space="preserve">Financial instruments: </w:t>
            </w:r>
            <w:r>
              <w:rPr>
                <w:rFonts w:ascii="Times New Roman" w:hAnsi="Times New Roman" w:cs="Times New Roman"/>
                <w:b/>
                <w:u w:val="single"/>
                <w:lang w:val="en-GB"/>
              </w:rPr>
              <w:t>Short positions and liabilities</w:t>
            </w:r>
          </w:p>
          <w:p w14:paraId="76A53F40"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As regards on-balance sheet items, short positions and l</w:t>
            </w:r>
            <w:r w:rsidRPr="00C54239">
              <w:rPr>
                <w:rFonts w:ascii="Times New Roman" w:hAnsi="Times New Roman" w:cs="Times New Roman"/>
                <w:lang w:val="en-GB"/>
              </w:rPr>
              <w:t>iabilities arising from financial instruments</w:t>
            </w:r>
            <w:r>
              <w:rPr>
                <w:rFonts w:ascii="Times New Roman" w:hAnsi="Times New Roman" w:cs="Times New Roman"/>
                <w:lang w:val="en-GB"/>
              </w:rPr>
              <w:t>, that are</w:t>
            </w:r>
            <w:r w:rsidRPr="00C54239">
              <w:rPr>
                <w:rFonts w:ascii="Times New Roman" w:hAnsi="Times New Roman" w:cs="Times New Roman"/>
                <w:lang w:val="en-GB"/>
              </w:rPr>
              <w:t xml:space="preserve"> </w:t>
            </w:r>
            <w:r>
              <w:rPr>
                <w:rFonts w:ascii="Times New Roman" w:hAnsi="Times New Roman" w:cs="Times New Roman"/>
                <w:lang w:val="en-GB"/>
              </w:rPr>
              <w:t xml:space="preserve">assigned to the non-trading book, </w:t>
            </w:r>
            <w:r w:rsidRPr="00C54239">
              <w:rPr>
                <w:rFonts w:ascii="Times New Roman" w:hAnsi="Times New Roman" w:cs="Times New Roman"/>
                <w:lang w:val="en-GB"/>
              </w:rPr>
              <w:t xml:space="preserve">shall be reported in this row, </w:t>
            </w:r>
            <w:r>
              <w:rPr>
                <w:rFonts w:ascii="Times New Roman" w:hAnsi="Times New Roman" w:cs="Times New Roman"/>
                <w:lang w:val="en-GB"/>
              </w:rPr>
              <w:t>if they meet at least one of the following conditions:</w:t>
            </w:r>
          </w:p>
          <w:p w14:paraId="3C788325" w14:textId="77777777" w:rsidR="009B2CA6" w:rsidRDefault="009B2CA6" w:rsidP="009B2CA6">
            <w:pPr>
              <w:pStyle w:val="BodyText"/>
              <w:numPr>
                <w:ilvl w:val="0"/>
                <w:numId w:val="68"/>
              </w:numPr>
              <w:spacing w:before="120" w:after="120" w:line="240" w:lineRule="auto"/>
              <w:rPr>
                <w:rFonts w:ascii="Times New Roman" w:hAnsi="Times New Roman" w:cs="Times New Roman"/>
                <w:lang w:val="en-GB"/>
              </w:rPr>
            </w:pPr>
            <w:r>
              <w:rPr>
                <w:rFonts w:ascii="Times New Roman" w:hAnsi="Times New Roman" w:cs="Times New Roman"/>
                <w:lang w:val="en-GB"/>
              </w:rPr>
              <w:lastRenderedPageBreak/>
              <w:t xml:space="preserve">they are subject to own funds requirements </w:t>
            </w:r>
            <w:r w:rsidRPr="00C90282">
              <w:rPr>
                <w:rFonts w:ascii="Times New Roman" w:hAnsi="Times New Roman" w:cs="Times New Roman"/>
                <w:lang w:val="en-GB"/>
              </w:rPr>
              <w:t>for commodities risk</w:t>
            </w:r>
            <w:r>
              <w:rPr>
                <w:rFonts w:ascii="Times New Roman" w:hAnsi="Times New Roman" w:cs="Times New Roman"/>
                <w:lang w:val="en-GB"/>
              </w:rPr>
              <w:t>;</w:t>
            </w:r>
          </w:p>
          <w:p w14:paraId="764BF6E2" w14:textId="2D6EF335" w:rsidR="009B2CA6" w:rsidRPr="00C90282" w:rsidRDefault="009B2CA6" w:rsidP="009B2CA6">
            <w:pPr>
              <w:pStyle w:val="BodyText"/>
              <w:numPr>
                <w:ilvl w:val="0"/>
                <w:numId w:val="68"/>
              </w:numPr>
              <w:spacing w:before="120" w:after="120" w:line="240" w:lineRule="auto"/>
              <w:rPr>
                <w:rFonts w:ascii="Times New Roman" w:hAnsi="Times New Roman" w:cs="Times New Roman"/>
                <w:lang w:val="en-GB"/>
              </w:rPr>
            </w:pPr>
            <w:r>
              <w:rPr>
                <w:rFonts w:ascii="Times New Roman" w:hAnsi="Times New Roman" w:cs="Times New Roman"/>
                <w:lang w:val="en-GB"/>
              </w:rPr>
              <w:t xml:space="preserve">they would be subject to own funds requirements for at least one of the following risks, if they were assigned to the trading book: </w:t>
            </w:r>
            <w:r w:rsidR="00490AF9">
              <w:rPr>
                <w:rFonts w:ascii="Times New Roman" w:hAnsi="Times New Roman" w:cs="Times New Roman"/>
                <w:lang w:val="en-GB"/>
              </w:rPr>
              <w:t xml:space="preserve">position risk, </w:t>
            </w:r>
            <w:r>
              <w:rPr>
                <w:rFonts w:ascii="Times New Roman" w:hAnsi="Times New Roman" w:cs="Times New Roman"/>
                <w:lang w:val="en-GB"/>
              </w:rPr>
              <w:t>general interest rate risk, credit spread risk, equity risk or default risk.</w:t>
            </w:r>
          </w:p>
          <w:p w14:paraId="5B4B3123"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lang w:val="en-GB"/>
              </w:rPr>
              <w:t>As regards columns 0060 to 0170, institutions shall only report the liabilities and short positions meeting the second condition specified above.</w:t>
            </w:r>
          </w:p>
        </w:tc>
      </w:tr>
      <w:tr w:rsidR="009B2CA6" w:rsidRPr="0051092B" w14:paraId="28029B12" w14:textId="77777777">
        <w:trPr>
          <w:trHeight w:val="70"/>
        </w:trPr>
        <w:tc>
          <w:tcPr>
            <w:tcW w:w="1203" w:type="dxa"/>
          </w:tcPr>
          <w:p w14:paraId="64A89A26"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lastRenderedPageBreak/>
              <w:t>0040</w:t>
            </w:r>
          </w:p>
        </w:tc>
        <w:tc>
          <w:tcPr>
            <w:tcW w:w="7813" w:type="dxa"/>
            <w:vAlign w:val="bottom"/>
          </w:tcPr>
          <w:p w14:paraId="332E7ED8" w14:textId="77777777" w:rsidR="009B2CA6" w:rsidRPr="0051092B" w:rsidRDefault="009B2CA6">
            <w:pPr>
              <w:pStyle w:val="BodyText"/>
              <w:spacing w:before="120" w:after="120"/>
              <w:rPr>
                <w:rFonts w:ascii="Times New Roman" w:hAnsi="Times New Roman" w:cs="Times New Roman"/>
                <w:b/>
                <w:u w:val="single"/>
                <w:lang w:val="en-GB" w:eastAsia="nl-BE"/>
              </w:rPr>
            </w:pPr>
            <w:r w:rsidRPr="00A2104E">
              <w:rPr>
                <w:rFonts w:ascii="Times New Roman" w:hAnsi="Times New Roman" w:cs="Times New Roman"/>
                <w:b/>
                <w:u w:val="single"/>
                <w:lang w:val="en-GB"/>
              </w:rPr>
              <w:t>Financial instruments: Off-balance sheet items</w:t>
            </w:r>
          </w:p>
          <w:p w14:paraId="19C4F28C"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Off-balance sheet items that are assigned to the non-banking book that are subject to own funds requirements for credit risk, including off-balance sheet items subject to counterparty credit risk and securitisations, and those that are subject to own funds requirements for commodities risk, shall be reported in this row.</w:t>
            </w:r>
          </w:p>
          <w:p w14:paraId="3399A2AD"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 xml:space="preserve">As regards columns 0060 to 0170, institutions shall only report off-balance sheet items constituting exposures subject to own funds requirements for credit risk, including exposures subject to counterparty credit risk and securitisations. </w:t>
            </w:r>
          </w:p>
        </w:tc>
      </w:tr>
      <w:tr w:rsidR="009B2CA6" w:rsidRPr="0051092B" w14:paraId="560135B6" w14:textId="77777777">
        <w:tc>
          <w:tcPr>
            <w:tcW w:w="1203" w:type="dxa"/>
          </w:tcPr>
          <w:p w14:paraId="0703BB50" w14:textId="77777777" w:rsidR="009B2CA6" w:rsidRPr="0051092B"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0050</w:t>
            </w:r>
          </w:p>
        </w:tc>
        <w:tc>
          <w:tcPr>
            <w:tcW w:w="7813" w:type="dxa"/>
            <w:vAlign w:val="bottom"/>
          </w:tcPr>
          <w:p w14:paraId="3535A143"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Commodities</w:t>
            </w:r>
          </w:p>
          <w:p w14:paraId="5DF05A5E"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Institutions shall report physical stocks of commodities in this row</w:t>
            </w:r>
            <w:r w:rsidR="00BC4A1D">
              <w:rPr>
                <w:rFonts w:ascii="Times New Roman" w:hAnsi="Times New Roman" w:cs="Times New Roman"/>
                <w:lang w:val="en-GB"/>
              </w:rPr>
              <w:t>, excluding physical stocks of gold</w:t>
            </w:r>
            <w:r>
              <w:rPr>
                <w:rFonts w:ascii="Times New Roman" w:hAnsi="Times New Roman" w:cs="Times New Roman"/>
                <w:lang w:val="en-GB"/>
              </w:rPr>
              <w:t>.</w:t>
            </w:r>
          </w:p>
          <w:tbl>
            <w:tblPr>
              <w:tblStyle w:val="TableGrid"/>
              <w:tblW w:w="0" w:type="auto"/>
              <w:tblLook w:val="04A0" w:firstRow="1" w:lastRow="0" w:firstColumn="1" w:lastColumn="0" w:noHBand="0" w:noVBand="1"/>
            </w:tblPr>
            <w:tblGrid>
              <w:gridCol w:w="7587"/>
            </w:tblGrid>
            <w:tr w:rsidR="00BC4A1D" w14:paraId="0775496E" w14:textId="77777777" w:rsidTr="00BC4A1D">
              <w:tc>
                <w:tcPr>
                  <w:tcW w:w="7587" w:type="dxa"/>
                </w:tcPr>
                <w:p w14:paraId="0B1F55D5" w14:textId="77777777" w:rsidR="00BC4A1D" w:rsidRPr="0051092B" w:rsidRDefault="00BC4A1D" w:rsidP="00BC4A1D">
                  <w:pPr>
                    <w:pStyle w:val="body"/>
                    <w:rPr>
                      <w:b/>
                      <w:bCs/>
                      <w:lang w:val="en-GB"/>
                    </w:rPr>
                  </w:pPr>
                  <w:r w:rsidRPr="0051092B">
                    <w:rPr>
                      <w:b/>
                      <w:bCs/>
                      <w:lang w:val="en-GB"/>
                    </w:rPr>
                    <w:t>Explanatory text for consultation purposes</w:t>
                  </w:r>
                </w:p>
                <w:p w14:paraId="132B840B" w14:textId="348A2317" w:rsidR="00BC4A1D" w:rsidRDefault="00BC4A1D" w:rsidP="00BC4A1D">
                  <w:pPr>
                    <w:pStyle w:val="BodyText"/>
                    <w:spacing w:before="120" w:after="120"/>
                    <w:rPr>
                      <w:rFonts w:ascii="Times New Roman" w:hAnsi="Times New Roman" w:cs="Times New Roman"/>
                      <w:lang w:val="en-GB"/>
                    </w:rPr>
                  </w:pPr>
                  <w:r>
                    <w:rPr>
                      <w:rFonts w:hint="eastAsia"/>
                      <w:lang w:val="en-GB"/>
                    </w:rPr>
                    <w:t>C</w:t>
                  </w:r>
                  <w:r>
                    <w:rPr>
                      <w:lang w:val="en-GB"/>
                    </w:rPr>
                    <w:t>onsidering that gold in the banking book is part of the net open FX position for the purposes of determining the threshold, it should not be reported here.</w:t>
                  </w:r>
                </w:p>
              </w:tc>
            </w:tr>
          </w:tbl>
          <w:p w14:paraId="65785FD4" w14:textId="5882CDC7" w:rsidR="009B2CA6" w:rsidRPr="0051092B" w:rsidRDefault="009B2CA6">
            <w:pPr>
              <w:pStyle w:val="BodyText"/>
              <w:spacing w:before="120" w:after="120"/>
              <w:rPr>
                <w:rFonts w:ascii="Times New Roman" w:hAnsi="Times New Roman" w:cs="Times New Roman"/>
                <w:lang w:val="en-GB"/>
              </w:rPr>
            </w:pPr>
          </w:p>
        </w:tc>
      </w:tr>
      <w:tr w:rsidR="009B2CA6" w:rsidRPr="0051092B" w14:paraId="593F0046" w14:textId="77777777">
        <w:tc>
          <w:tcPr>
            <w:tcW w:w="1203" w:type="dxa"/>
          </w:tcPr>
          <w:p w14:paraId="07765DF6" w14:textId="77777777" w:rsidR="009B2CA6" w:rsidRDefault="009B2CA6">
            <w:pPr>
              <w:pStyle w:val="BodyText"/>
              <w:spacing w:before="120" w:after="120"/>
              <w:rPr>
                <w:rFonts w:ascii="Times New Roman" w:hAnsi="Times New Roman" w:cs="Times New Roman"/>
                <w:lang w:val="en-GB"/>
              </w:rPr>
            </w:pPr>
            <w:r>
              <w:rPr>
                <w:rFonts w:ascii="Times New Roman" w:hAnsi="Times New Roman" w:cs="Times New Roman"/>
                <w:lang w:val="en-GB"/>
              </w:rPr>
              <w:t>0060</w:t>
            </w:r>
          </w:p>
        </w:tc>
        <w:tc>
          <w:tcPr>
            <w:tcW w:w="7813" w:type="dxa"/>
            <w:vAlign w:val="bottom"/>
          </w:tcPr>
          <w:p w14:paraId="62FF6DD9" w14:textId="77777777" w:rsidR="009B2CA6" w:rsidRPr="0051092B" w:rsidRDefault="009B2CA6">
            <w:pPr>
              <w:pStyle w:val="BodyText"/>
              <w:spacing w:before="120" w:after="120"/>
              <w:rPr>
                <w:rFonts w:ascii="Times New Roman" w:hAnsi="Times New Roman" w:cs="Times New Roman"/>
                <w:b/>
                <w:u w:val="single"/>
                <w:lang w:val="en-GB"/>
              </w:rPr>
            </w:pPr>
            <w:r>
              <w:rPr>
                <w:rFonts w:ascii="Times New Roman" w:hAnsi="Times New Roman" w:cs="Times New Roman"/>
                <w:b/>
                <w:u w:val="single"/>
                <w:lang w:val="en-GB"/>
              </w:rPr>
              <w:t>Other instruments and exposures in the non-trading book</w:t>
            </w:r>
          </w:p>
          <w:p w14:paraId="7C26029B" w14:textId="77777777" w:rsidR="009B2CA6" w:rsidRDefault="009B2CA6">
            <w:pPr>
              <w:pStyle w:val="BodyText"/>
              <w:spacing w:before="120" w:after="120"/>
              <w:rPr>
                <w:rFonts w:ascii="Times New Roman" w:hAnsi="Times New Roman" w:cs="Times New Roman"/>
                <w:b/>
                <w:u w:val="single"/>
                <w:lang w:val="en-GB"/>
              </w:rPr>
            </w:pPr>
            <w:r>
              <w:rPr>
                <w:rFonts w:ascii="Times New Roman" w:hAnsi="Times New Roman" w:cs="Times New Roman"/>
                <w:lang w:val="en-GB"/>
              </w:rPr>
              <w:t>Exposures that are subject to own funds requirements for credit risk, including exposures subject to counterparty credit risk and securitisations, other than financial instruments included in the balance sheet, off-balance sheet items and commodities shall be reported in this row.</w:t>
            </w:r>
          </w:p>
        </w:tc>
      </w:tr>
    </w:tbl>
    <w:p w14:paraId="59860518" w14:textId="76824159" w:rsidR="00AB3069" w:rsidRPr="00124F78" w:rsidRDefault="00201582" w:rsidP="000059B8">
      <w:pPr>
        <w:pStyle w:val="Instructionsberschrift2"/>
        <w:numPr>
          <w:ilvl w:val="0"/>
          <w:numId w:val="0"/>
        </w:numPr>
        <w:ind w:left="357" w:hanging="357"/>
      </w:pPr>
      <w:bookmarkStart w:id="805" w:name="_Toc151714544"/>
      <w:r w:rsidRPr="000059B8">
        <w:rPr>
          <w:rFonts w:ascii="Times New Roman" w:hAnsi="Times New Roman" w:cs="Times New Roman"/>
          <w:sz w:val="24"/>
          <w:lang w:val="en-GB"/>
        </w:rPr>
        <w:t>9.</w:t>
      </w:r>
      <w:r w:rsidR="00D35656" w:rsidRPr="000059B8">
        <w:rPr>
          <w:rFonts w:ascii="Times New Roman" w:hAnsi="Times New Roman" w:cs="Times New Roman"/>
          <w:sz w:val="24"/>
          <w:lang w:val="en-GB"/>
        </w:rPr>
        <w:t>3</w:t>
      </w:r>
      <w:r w:rsidRPr="000059B8">
        <w:rPr>
          <w:rFonts w:ascii="Times New Roman" w:hAnsi="Times New Roman" w:cs="Times New Roman"/>
          <w:sz w:val="24"/>
          <w:lang w:val="en-GB"/>
        </w:rPr>
        <w:t xml:space="preserve"> </w:t>
      </w:r>
      <w:r w:rsidR="00AB3069" w:rsidRPr="000059B8">
        <w:rPr>
          <w:rFonts w:ascii="Times New Roman" w:hAnsi="Times New Roman" w:cs="Times New Roman"/>
          <w:sz w:val="24"/>
          <w:lang w:val="en-GB"/>
        </w:rPr>
        <w:t>C 24.01</w:t>
      </w:r>
      <w:r w:rsidR="00B569D1">
        <w:rPr>
          <w:rFonts w:ascii="Times New Roman" w:hAnsi="Times New Roman" w:cs="Times New Roman"/>
          <w:sz w:val="24"/>
          <w:lang w:val="en-GB"/>
        </w:rPr>
        <w:t xml:space="preserve"> -</w:t>
      </w:r>
      <w:r w:rsidR="00AB3069" w:rsidRPr="000059B8">
        <w:rPr>
          <w:rFonts w:ascii="Times New Roman" w:hAnsi="Times New Roman" w:cs="Times New Roman"/>
          <w:sz w:val="24"/>
          <w:lang w:val="en-GB"/>
        </w:rPr>
        <w:t xml:space="preserve"> </w:t>
      </w:r>
      <w:r w:rsidR="00EF29A5" w:rsidRPr="000059B8">
        <w:rPr>
          <w:rFonts w:ascii="Times New Roman" w:hAnsi="Times New Roman" w:cs="Times New Roman"/>
          <w:sz w:val="24"/>
          <w:lang w:val="en-GB"/>
        </w:rPr>
        <w:t xml:space="preserve">Trading book boundary - </w:t>
      </w:r>
      <w:r w:rsidR="00AB3069" w:rsidRPr="000059B8">
        <w:rPr>
          <w:rFonts w:ascii="Times New Roman" w:hAnsi="Times New Roman" w:cs="Times New Roman"/>
          <w:sz w:val="24"/>
          <w:lang w:val="en-GB"/>
        </w:rPr>
        <w:t>Reclassifications between books (MOV)</w:t>
      </w:r>
      <w:bookmarkEnd w:id="805"/>
    </w:p>
    <w:p w14:paraId="057E456F" w14:textId="7E11DB8E" w:rsidR="00AB3069" w:rsidRDefault="00AB3069" w:rsidP="000059B8">
      <w:pPr>
        <w:pStyle w:val="body"/>
      </w:pPr>
    </w:p>
    <w:tbl>
      <w:tblPr>
        <w:tblStyle w:val="TableGrid"/>
        <w:tblW w:w="0" w:type="auto"/>
        <w:tblLook w:val="04A0" w:firstRow="1" w:lastRow="0" w:firstColumn="1" w:lastColumn="0" w:noHBand="0" w:noVBand="1"/>
      </w:tblPr>
      <w:tblGrid>
        <w:gridCol w:w="9062"/>
      </w:tblGrid>
      <w:tr w:rsidR="008D738A" w14:paraId="4DC3CCA7" w14:textId="77777777">
        <w:tc>
          <w:tcPr>
            <w:tcW w:w="9062" w:type="dxa"/>
          </w:tcPr>
          <w:p w14:paraId="596B5347" w14:textId="77777777" w:rsidR="008D738A" w:rsidRPr="0051092B" w:rsidRDefault="008D738A">
            <w:pPr>
              <w:pStyle w:val="body"/>
              <w:rPr>
                <w:b/>
                <w:bCs/>
                <w:lang w:val="en-GB"/>
              </w:rPr>
            </w:pPr>
            <w:r w:rsidRPr="0051092B">
              <w:rPr>
                <w:b/>
                <w:bCs/>
                <w:lang w:val="en-GB"/>
              </w:rPr>
              <w:t>Explanatory text for consultation purposes</w:t>
            </w:r>
          </w:p>
          <w:p w14:paraId="0566A490" w14:textId="60684520" w:rsidR="008D738A" w:rsidRDefault="008D738A">
            <w:pPr>
              <w:pStyle w:val="body"/>
            </w:pPr>
            <w:r>
              <w:rPr>
                <w:lang w:val="en-GB"/>
              </w:rPr>
              <w:t>This reporting requirement was presented in EBA/CP/2023/03</w:t>
            </w:r>
            <w:r w:rsidR="00372E88">
              <w:rPr>
                <w:lang w:val="en-GB"/>
              </w:rPr>
              <w:t xml:space="preserve">. Please refer to the upcoming final </w:t>
            </w:r>
            <w:r w:rsidR="008969D6">
              <w:rPr>
                <w:lang w:val="en-GB"/>
              </w:rPr>
              <w:t>report on the amendments proposed in EBA/CP/2023/03</w:t>
            </w:r>
            <w:r w:rsidR="008B304E">
              <w:rPr>
                <w:lang w:val="en-GB"/>
              </w:rPr>
              <w:t xml:space="preserve"> for further details</w:t>
            </w:r>
            <w:r w:rsidR="008969D6">
              <w:rPr>
                <w:lang w:val="en-GB"/>
              </w:rPr>
              <w:t>.</w:t>
            </w:r>
          </w:p>
        </w:tc>
      </w:tr>
    </w:tbl>
    <w:p w14:paraId="18DC5971" w14:textId="77777777" w:rsidR="00522E00" w:rsidRPr="002A677E" w:rsidRDefault="00522E00" w:rsidP="000059B8">
      <w:pPr>
        <w:pStyle w:val="body"/>
        <w:rPr>
          <w:rStyle w:val="InstructionsTabelleText"/>
          <w:rFonts w:ascii="Times New Roman" w:hAnsi="Times New Roman"/>
          <w:sz w:val="24"/>
        </w:rPr>
      </w:pPr>
    </w:p>
    <w:sectPr w:rsidR="00522E00"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A30D0" w14:textId="77777777" w:rsidR="00F30B67" w:rsidRDefault="00F30B67" w:rsidP="00D946DB">
      <w:pPr>
        <w:spacing w:before="0" w:after="0"/>
      </w:pPr>
      <w:r>
        <w:separator/>
      </w:r>
    </w:p>
  </w:endnote>
  <w:endnote w:type="continuationSeparator" w:id="0">
    <w:p w14:paraId="1E3C320E" w14:textId="77777777" w:rsidR="00F30B67" w:rsidRDefault="00F30B67" w:rsidP="00D946DB">
      <w:pPr>
        <w:spacing w:before="0" w:after="0"/>
      </w:pPr>
      <w:r>
        <w:continuationSeparator/>
      </w:r>
    </w:p>
  </w:endnote>
  <w:endnote w:type="continuationNotice" w:id="1">
    <w:p w14:paraId="21CED7C2" w14:textId="77777777" w:rsidR="00F30B67" w:rsidRDefault="00F30B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685E" w14:textId="7A2643B3" w:rsidR="00C3070C" w:rsidRPr="00ED1956" w:rsidRDefault="00C3070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F3052">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7102A" w14:textId="7C6C6999" w:rsidR="00C3070C" w:rsidRPr="00E85358" w:rsidRDefault="00C3070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F3052">
      <w:rPr>
        <w:noProof/>
        <w:sz w:val="22"/>
        <w:szCs w:val="22"/>
      </w:rPr>
      <w:t>1</w:t>
    </w:r>
    <w:r w:rsidRPr="00E85358">
      <w:rPr>
        <w:noProof/>
        <w:sz w:val="22"/>
        <w:szCs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D969B" w14:textId="77777777" w:rsidR="00F30B67" w:rsidRDefault="00F30B67" w:rsidP="00D946DB">
      <w:pPr>
        <w:spacing w:before="0" w:after="0"/>
      </w:pPr>
      <w:r>
        <w:separator/>
      </w:r>
    </w:p>
  </w:footnote>
  <w:footnote w:type="continuationSeparator" w:id="0">
    <w:p w14:paraId="0BDEF50E" w14:textId="77777777" w:rsidR="00F30B67" w:rsidRDefault="00F30B67" w:rsidP="00D946DB">
      <w:pPr>
        <w:spacing w:before="0" w:after="0"/>
      </w:pPr>
      <w:r>
        <w:continuationSeparator/>
      </w:r>
    </w:p>
  </w:footnote>
  <w:footnote w:type="continuationNotice" w:id="1">
    <w:p w14:paraId="58EAE84B" w14:textId="77777777" w:rsidR="00F30B67" w:rsidRDefault="00F30B67">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8">
    <w:p w14:paraId="3507A652" w14:textId="78897E61" w:rsidR="00C3070C" w:rsidRPr="00B828CC" w:rsidRDefault="00C3070C">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9">
    <w:p w14:paraId="018474C7" w14:textId="77777777"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0">
    <w:p w14:paraId="5180B9BA" w14:textId="4DC2550F" w:rsidR="00C3070C" w:rsidRPr="00B828CC" w:rsidRDefault="00C3070C">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w:t>
      </w:r>
      <w:r>
        <w:rPr>
          <w:rStyle w:val="Emphasis"/>
          <w:i w:val="0"/>
          <w:sz w:val="20"/>
          <w:szCs w:val="20"/>
        </w:rPr>
        <w:t>, p</w:t>
      </w:r>
      <w:r w:rsidRPr="009B688D">
        <w:rPr>
          <w:rStyle w:val="Emphasis"/>
          <w:i w:val="0"/>
          <w:sz w:val="20"/>
          <w:szCs w:val="20"/>
        </w:rPr>
        <w:t>.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E71A" w14:textId="7B4511CB" w:rsidR="00C3070C" w:rsidRDefault="00C3070C">
    <w:pPr>
      <w:pStyle w:val="Header"/>
    </w:pPr>
    <w:r>
      <w:rPr>
        <w:noProof/>
        <w:lang w:val="en-GB" w:eastAsia="en-GB"/>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055FF"/>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055F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305</Pages>
  <Words>101138</Words>
  <Characters>576489</Characters>
  <Application>Microsoft Office Word</Application>
  <DocSecurity>0</DocSecurity>
  <Lines>4804</Lines>
  <Paragraphs>1352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2023-12-07T07:44:00Z</dcterms:created>
  <dcterms:modified xsi:type="dcterms:W3CDTF">2023-12-07T07:45:00Z</dcterms:modified>
</cp:coreProperties>
</file>