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6B38F1" w:rsidRDefault="005A189D" w:rsidP="005A189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CD206180-2049-4371-8F7A-AABA1AB8CC85" style="width:455.25pt;height:414pt">
            <v:imagedata r:id="rId8" o:title=""/>
          </v:shape>
        </w:pict>
      </w:r>
    </w:p>
    <w:p w:rsidR="003C122C" w:rsidRPr="006B38F1" w:rsidRDefault="003C122C">
      <w:pPr>
        <w:rPr>
          <w:noProof/>
        </w:rPr>
        <w:sectPr w:rsidR="003C122C" w:rsidRPr="006B38F1" w:rsidSect="005A189D">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3C122C" w:rsidRPr="006B38F1" w:rsidRDefault="006B38F1" w:rsidP="006B38F1">
      <w:pPr>
        <w:pStyle w:val="Typedudocument"/>
        <w:rPr>
          <w:noProof/>
        </w:rPr>
      </w:pPr>
      <w:bookmarkStart w:id="0" w:name="_GoBack"/>
      <w:bookmarkEnd w:id="0"/>
      <w:r w:rsidRPr="006B38F1">
        <w:rPr>
          <w:noProof/>
        </w:rPr>
        <w:lastRenderedPageBreak/>
        <w:t>UITVOERINGSVERORDENING (EU) …/... VAN DE COMMISSIE</w:t>
      </w:r>
    </w:p>
    <w:p w:rsidR="003C122C" w:rsidRPr="006B38F1" w:rsidRDefault="003C5E31" w:rsidP="006B38F1">
      <w:pPr>
        <w:pStyle w:val="Datedadoption"/>
        <w:rPr>
          <w:noProof/>
        </w:rPr>
      </w:pPr>
      <w:r>
        <w:t>van 30.11.2022</w:t>
      </w:r>
    </w:p>
    <w:p w:rsidR="003C122C" w:rsidRPr="006B38F1" w:rsidRDefault="006B38F1" w:rsidP="006B38F1">
      <w:pPr>
        <w:pStyle w:val="Titreobjet"/>
        <w:rPr>
          <w:noProof/>
        </w:rPr>
      </w:pPr>
      <w:r w:rsidRPr="006B38F1">
        <w:rPr>
          <w:noProof/>
        </w:rPr>
        <w:t xml:space="preserve">tot wijziging van de in Uitvoeringsverordening (EU) 2021/637 vastgestelde technische uitvoeringsnormen wat betreft de openbaarmaking van ecologische, sociale en governancerisico’s </w:t>
      </w:r>
      <w:r w:rsidRPr="006B38F1">
        <w:rPr>
          <w:noProof/>
        </w:rPr>
        <w:br/>
      </w:r>
    </w:p>
    <w:p w:rsidR="003C122C" w:rsidRPr="006B38F1" w:rsidRDefault="006B38F1" w:rsidP="006B38F1">
      <w:pPr>
        <w:pStyle w:val="IntrtEEE"/>
        <w:rPr>
          <w:noProof/>
        </w:rPr>
      </w:pPr>
      <w:r w:rsidRPr="006B38F1">
        <w:rPr>
          <w:noProof/>
        </w:rPr>
        <w:t>(Voor de EER relevante tekst)</w:t>
      </w:r>
    </w:p>
    <w:p w:rsidR="003C122C" w:rsidRPr="006B38F1" w:rsidRDefault="003C122C" w:rsidP="004E1EF9">
      <w:pPr>
        <w:pStyle w:val="Institutionquiagit"/>
        <w:rPr>
          <w:noProof/>
        </w:rPr>
      </w:pPr>
      <w:r w:rsidRPr="006B38F1">
        <w:rPr>
          <w:noProof/>
        </w:rPr>
        <w:t>DE EUROPESE COMMISSIE,</w:t>
      </w:r>
    </w:p>
    <w:p w:rsidR="003C122C" w:rsidRPr="006B38F1" w:rsidRDefault="003C122C" w:rsidP="003C122C">
      <w:pPr>
        <w:rPr>
          <w:noProof/>
          <w:color w:val="000000"/>
        </w:rPr>
      </w:pPr>
      <w:r w:rsidRPr="006B38F1">
        <w:rPr>
          <w:noProof/>
          <w:color w:val="000000"/>
        </w:rPr>
        <w:t>Gezien het Verdrag betreffende de werking van de Europese Unie,</w:t>
      </w:r>
    </w:p>
    <w:p w:rsidR="003C122C" w:rsidRPr="006B38F1" w:rsidRDefault="003C122C" w:rsidP="003C122C">
      <w:pPr>
        <w:rPr>
          <w:noProof/>
          <w:color w:val="000000"/>
        </w:rPr>
      </w:pPr>
      <w:r w:rsidRPr="006B38F1">
        <w:rPr>
          <w:noProof/>
          <w:color w:val="000000"/>
        </w:rPr>
        <w:t>Gezien Verordening (EU) nr. 575/2013 van het Europees Parlement en de Raad van 26 juni 2013 betreffende prudentiële vereisten voor kredietinstellingen en tot wijziging van Verordening (EU) nr. 648/2012</w:t>
      </w:r>
      <w:r w:rsidRPr="006B38F1">
        <w:rPr>
          <w:rStyle w:val="FootnoteReference"/>
          <w:noProof/>
        </w:rPr>
        <w:footnoteReference w:id="1"/>
      </w:r>
      <w:r w:rsidRPr="006B38F1">
        <w:rPr>
          <w:noProof/>
          <w:color w:val="000000"/>
        </w:rPr>
        <w:t>, en met name artikel 434 bis,</w:t>
      </w:r>
    </w:p>
    <w:p w:rsidR="003C122C" w:rsidRPr="006B38F1" w:rsidRDefault="003C122C" w:rsidP="004E1EF9">
      <w:pPr>
        <w:rPr>
          <w:noProof/>
        </w:rPr>
      </w:pPr>
      <w:r w:rsidRPr="006B38F1">
        <w:rPr>
          <w:noProof/>
        </w:rPr>
        <w:t>Overwegende hetgeen volgt:</w:t>
      </w:r>
    </w:p>
    <w:p w:rsidR="00410340" w:rsidRPr="006B38F1" w:rsidRDefault="007F3E48" w:rsidP="007F3E48">
      <w:pPr>
        <w:pStyle w:val="ManualConsidrant"/>
        <w:rPr>
          <w:noProof/>
          <w:color w:val="000000"/>
        </w:rPr>
      </w:pPr>
      <w:r w:rsidRPr="007F3E48">
        <w:t>(1)</w:t>
      </w:r>
      <w:r w:rsidRPr="007F3E48">
        <w:tab/>
      </w:r>
      <w:r w:rsidR="007067A9" w:rsidRPr="006B38F1">
        <w:rPr>
          <w:noProof/>
        </w:rPr>
        <w:t>Uitvoeringsverordening (EU) 2021/637</w:t>
      </w:r>
      <w:r w:rsidR="007067A9" w:rsidRPr="006B38F1">
        <w:rPr>
          <w:rStyle w:val="FootnoteReference"/>
          <w:noProof/>
        </w:rPr>
        <w:footnoteReference w:id="2"/>
      </w:r>
      <w:r w:rsidR="007067A9" w:rsidRPr="006B38F1">
        <w:rPr>
          <w:noProof/>
        </w:rPr>
        <w:t xml:space="preserve"> van de Commissie specificeert uniforme openbaarmakingsformats en bijbehorende instructies voor de krachtens de titels II en III van Verordening (EU) nr. 575/2013 vereiste openbaarmakingen. Verordening (EU) nr. 575/2013 is gewijzigd bij Verordening (EU) 2019/876</w:t>
      </w:r>
      <w:r w:rsidR="007067A9" w:rsidRPr="006B38F1">
        <w:rPr>
          <w:rStyle w:val="FootnoteReference"/>
          <w:noProof/>
        </w:rPr>
        <w:footnoteReference w:id="3"/>
      </w:r>
      <w:r w:rsidR="007067A9" w:rsidRPr="006B38F1">
        <w:rPr>
          <w:noProof/>
        </w:rPr>
        <w:t>, onder meer om een nieuw artikel 449 bis in te voegen. Dat artikel verplicht grote instellingen die effecten hebben uitgegeven die zijn toegelaten tot de handel op een gereglementeerde markt van een lidstaat, ertoe vanaf 28 juni 2022 informatie openbaar te maken over ecologische, sociale en governancerisico’s (ESG-risico’s), met inbegrip van fysieke risico’s en transitierisico’s. Die wijziging van Verordening (EU) nr. 575/2013 moet worden weerspiegeld in Uitvoeringsverordening (EU) 2021/637 van de Commissie, die – naast de bestaande uniforme openbaarmakingsformats en bijbehorende instructies – aanvullende uniforme openbaarmakingsformats en bijbehorende instructies voor de openbaarmaking van ESG-risico’s moet bevatten.</w:t>
      </w:r>
    </w:p>
    <w:p w:rsidR="00410340" w:rsidRPr="006B38F1" w:rsidRDefault="007F3E48" w:rsidP="007F3E48">
      <w:pPr>
        <w:pStyle w:val="ManualConsidrant"/>
        <w:rPr>
          <w:noProof/>
        </w:rPr>
      </w:pPr>
      <w:r w:rsidRPr="007F3E48">
        <w:t>(2)</w:t>
      </w:r>
      <w:r w:rsidRPr="007F3E48">
        <w:tab/>
      </w:r>
      <w:r w:rsidR="00410340" w:rsidRPr="006B38F1">
        <w:rPr>
          <w:noProof/>
        </w:rPr>
        <w:t>Bij het vaststellen van uniforme openbaarmakingsformats moet rekening worden gehouden met de volledige materialiteit van de informatie die openbaar moet worden gemaakt. Dit betekent dat openbaarmakingen door instellingen enerzijds betrekking moeten hebben op de financiële impact van ESG-factoren op de economische en financiële activiteiten van instellingen (outside-in-benadering) en anderzijds op de ESG-factoren die kunnen worden veroorzaakt door de eigen activiteiten van instellingen, die op hun beurt in financieel opzicht materieel worden wanneer zij gevolgen hebben voor belanghebbenden van instellingen (inside-out-benadering). Bijgevolg moeten de voor die openbaarmakingen gebruikte tabellen en templates informatie over ESG-risico’s bevatten die uitgebreid en vergelijkbaar genoeg is, zodat gebruikers van die informatie het risicoprofiel van instellingen kunnen beoordelen.</w:t>
      </w:r>
    </w:p>
    <w:p w:rsidR="00410340" w:rsidRPr="006B38F1" w:rsidRDefault="007F3E48" w:rsidP="007F3E48">
      <w:pPr>
        <w:pStyle w:val="ManualConsidrant"/>
        <w:rPr>
          <w:noProof/>
        </w:rPr>
      </w:pPr>
      <w:r w:rsidRPr="007F3E48">
        <w:t>(3)</w:t>
      </w:r>
      <w:r w:rsidRPr="007F3E48">
        <w:tab/>
      </w:r>
      <w:r w:rsidR="00A525E2" w:rsidRPr="006B38F1">
        <w:rPr>
          <w:noProof/>
        </w:rPr>
        <w:t>Er moet worden gezorgd voor samenhang en consistentie met andere Uniewetgeving op het gebied van ESG-risico’s. Bij de regels inzake de openbaarmaking van ESG-risico’s moet daarom rekening worden gehouden met de in die Uniewetgeving vastgestelde criteria, classificaties en definities. Die regels moeten met name rekening houden met de criteria voor de identificatie en classificatie van ecologisch duurzame economische activiteiten, zoals vastgesteld in Verordening (EU) 2020/852 van het Europees Parlement en de Raad</w:t>
      </w:r>
      <w:r w:rsidR="00A525E2" w:rsidRPr="006B38F1">
        <w:rPr>
          <w:rStyle w:val="FootnoteReference"/>
          <w:noProof/>
        </w:rPr>
        <w:footnoteReference w:id="4"/>
      </w:r>
      <w:r w:rsidR="00A525E2" w:rsidRPr="006B38F1">
        <w:rPr>
          <w:noProof/>
        </w:rPr>
        <w:t xml:space="preserve"> en in Gedelegeerde Verordening (EU) 2020/1818 van de Commissie</w:t>
      </w:r>
      <w:r w:rsidR="00A525E2" w:rsidRPr="006B38F1">
        <w:rPr>
          <w:rStyle w:val="FootnoteReference"/>
          <w:noProof/>
        </w:rPr>
        <w:footnoteReference w:id="5"/>
      </w:r>
      <w:r w:rsidR="00A525E2" w:rsidRPr="006B38F1">
        <w:rPr>
          <w:noProof/>
        </w:rPr>
        <w:t>. Met betrekking tot de openbaarmaking van informatie over de energieprestatie van de vastgoedportefeuille van instellingen moet rekening worden gehouden met de informatie in het energieprestatiecertificaat zoals gedefinieerd in artikel 2, punt 12, van Richtlijn 2010/31/EU van het Europees Parlement en de Raad</w:t>
      </w:r>
      <w:r w:rsidR="00A525E2" w:rsidRPr="006B38F1">
        <w:rPr>
          <w:rStyle w:val="FootnoteReference"/>
          <w:noProof/>
        </w:rPr>
        <w:footnoteReference w:id="6"/>
      </w:r>
      <w:r w:rsidR="00A525E2" w:rsidRPr="006B38F1">
        <w:rPr>
          <w:noProof/>
        </w:rPr>
        <w:t>.</w:t>
      </w:r>
    </w:p>
    <w:p w:rsidR="00135CD4" w:rsidRPr="006B38F1" w:rsidRDefault="007F3E48" w:rsidP="007F3E48">
      <w:pPr>
        <w:pStyle w:val="ManualConsidrant"/>
        <w:rPr>
          <w:noProof/>
        </w:rPr>
      </w:pPr>
      <w:r w:rsidRPr="007F3E48">
        <w:t>(4)</w:t>
      </w:r>
      <w:r w:rsidRPr="007F3E48">
        <w:tab/>
      </w:r>
      <w:r w:rsidR="00135CD4" w:rsidRPr="006B38F1">
        <w:rPr>
          <w:noProof/>
        </w:rPr>
        <w:t>Krachtens de artikelen 19 bis en 29 bis van Richtlijn 2013/34/EU van het Europees Parlement en de Raad</w:t>
      </w:r>
      <w:r w:rsidR="00135CD4" w:rsidRPr="006B38F1">
        <w:rPr>
          <w:rStyle w:val="FootnoteReference"/>
          <w:noProof/>
        </w:rPr>
        <w:footnoteReference w:id="7"/>
      </w:r>
      <w:r w:rsidR="00135CD4" w:rsidRPr="006B38F1">
        <w:rPr>
          <w:noProof/>
        </w:rPr>
        <w:t xml:space="preserve"> moeten bepaalde grote ondernemingen die organisaties van openbaar belang zijn, of organisaties van openbaar belang die moederondernemingen van een grote groep zijn, in hun bestuursverslag respectievelijk hun geconsolideerde bestuursverslag informatie opnemen over de gevolgen van hun activiteiten voor milieu-, sociale en personeelsaangelegenheden, eerbiediging van de mensenrechten en de bestrijding van corruptie en omkoping. Die verplichting geldt echter niet voor andere ondernemingen. Ondernemingen die niet onder de artikelen 19 bis en 29 bis van Richtlijn 2013/34/EU vallen, zijn dus niet verplicht dergelijke informatie openbaar te maken en zijn mogelijk niet in staat dergelijke informatie aan instellingen te verstrekken. Van ondernemingen die tegenpartijen van instellingen zijn, kan dus alleen worden verwacht dat zij die informatie en gegevens op vrijwillige basis verstrekken. Niettemin is het passend die ondernemingen de nodige houvast te verstrekken voor de berekening van het percentage blootstellingen aan activiteiten die ecologisch duurzame economische activiteiten zijn in de zin van artikel 3 van Verordening (EU) 2020/852, zodat die informatie en die gegevens in een gestandaardiseerd en vergelijkbaar format kunnen worden gepresenteerd. Indien die informatie en gegevens niet vrijwillig worden verstrekt, moeten instellingen het percentage op de taxonomie afgestemde blootstellingen kunnen berekenen aan de hand van ramingen of proxy’s.</w:t>
      </w:r>
    </w:p>
    <w:p w:rsidR="00921483" w:rsidRPr="006B38F1" w:rsidRDefault="007F3E48" w:rsidP="007F3E48">
      <w:pPr>
        <w:pStyle w:val="ManualConsidrant"/>
        <w:rPr>
          <w:noProof/>
        </w:rPr>
      </w:pPr>
      <w:r w:rsidRPr="007F3E48">
        <w:t>(5)</w:t>
      </w:r>
      <w:r w:rsidRPr="007F3E48">
        <w:tab/>
      </w:r>
      <w:r w:rsidR="00A97285" w:rsidRPr="006B38F1">
        <w:rPr>
          <w:noProof/>
        </w:rPr>
        <w:t>In artikel 449 bis van Verordening (EU) nr. 575/2013 is bepaald dat de informatie over ESG-risico’s vanaf 28 juni 2022 openbaar moet worden gemaakt, op jaarbasis voor het eerste jaar en vervolgens halfjaarlijks. Daarom moet de referentiedatum voor de eerste jaarlijkse openbaarmaking worden vastgesteld op 31 december 2022.</w:t>
      </w:r>
    </w:p>
    <w:p w:rsidR="00ED20D7" w:rsidRPr="006B38F1" w:rsidRDefault="007F3E48" w:rsidP="007F3E48">
      <w:pPr>
        <w:pStyle w:val="ManualConsidrant"/>
        <w:rPr>
          <w:noProof/>
        </w:rPr>
      </w:pPr>
      <w:r w:rsidRPr="007F3E48">
        <w:t>(6)</w:t>
      </w:r>
      <w:r w:rsidRPr="007F3E48">
        <w:tab/>
      </w:r>
      <w:r w:rsidR="00410340" w:rsidRPr="006B38F1">
        <w:rPr>
          <w:noProof/>
        </w:rPr>
        <w:t xml:space="preserve">Deze verordening is gebaseerd op de ontwerpen van technische uitvoeringsnormen die de Europese Bankautoriteit (EBA) bij de Commissie heeft ingediend. </w:t>
      </w:r>
    </w:p>
    <w:p w:rsidR="00410340" w:rsidRPr="006B38F1" w:rsidRDefault="007F3E48" w:rsidP="007F3E48">
      <w:pPr>
        <w:pStyle w:val="ManualConsidrant"/>
        <w:rPr>
          <w:noProof/>
        </w:rPr>
      </w:pPr>
      <w:r w:rsidRPr="007F3E48">
        <w:t>(7)</w:t>
      </w:r>
      <w:r w:rsidRPr="007F3E48">
        <w:tab/>
      </w:r>
      <w:r w:rsidR="00ED20D7" w:rsidRPr="006B38F1">
        <w:rPr>
          <w:noProof/>
        </w:rPr>
        <w:t>De EBA heeft openbare raadplegingen gehouden over de ontwerpen van technische uitvoeringsnormen waarop deze verordening is gebaseerd, heeft de mogelijke kosten en baten geanalyseerd en heeft het advies van de overeenkomstig artikel 37 van Verordening (EU) nr. 1093/2010 van het Europees Parlement en de Raad</w:t>
      </w:r>
      <w:r w:rsidR="00ED20D7" w:rsidRPr="006B38F1">
        <w:rPr>
          <w:rStyle w:val="FootnoteReference"/>
          <w:noProof/>
        </w:rPr>
        <w:footnoteReference w:id="8"/>
      </w:r>
      <w:r w:rsidR="00ED20D7" w:rsidRPr="006B38F1">
        <w:rPr>
          <w:noProof/>
        </w:rPr>
        <w:t xml:space="preserve"> opgerichte Stakeholdergroep bankwezen ingewonnen.</w:t>
      </w:r>
    </w:p>
    <w:p w:rsidR="00410340" w:rsidRPr="006B38F1" w:rsidRDefault="007F3E48" w:rsidP="007F3E48">
      <w:pPr>
        <w:pStyle w:val="ManualConsidrant"/>
        <w:rPr>
          <w:noProof/>
        </w:rPr>
      </w:pPr>
      <w:r w:rsidRPr="007F3E48">
        <w:t>(8)</w:t>
      </w:r>
      <w:r w:rsidRPr="007F3E48">
        <w:tab/>
      </w:r>
      <w:r w:rsidR="00410340" w:rsidRPr="006B38F1">
        <w:rPr>
          <w:noProof/>
        </w:rPr>
        <w:t>Uitvoeringsverordening (EU) 2021/637 moet daarom dienovereenkomstig worden gewijzigd,</w:t>
      </w:r>
    </w:p>
    <w:p w:rsidR="003C122C" w:rsidRPr="006B38F1" w:rsidRDefault="003C122C" w:rsidP="004E1EF9">
      <w:pPr>
        <w:pStyle w:val="Formuledadoption"/>
        <w:rPr>
          <w:noProof/>
          <w:szCs w:val="24"/>
        </w:rPr>
      </w:pPr>
      <w:r w:rsidRPr="006B38F1">
        <w:rPr>
          <w:noProof/>
        </w:rPr>
        <w:t>HEEFT DE VOLGENDE VERORDENING VASTGESTELD:</w:t>
      </w:r>
    </w:p>
    <w:p w:rsidR="003C122C" w:rsidRPr="006B38F1" w:rsidRDefault="003C122C" w:rsidP="004E1EF9">
      <w:pPr>
        <w:pStyle w:val="Titrearticle"/>
        <w:rPr>
          <w:noProof/>
          <w:szCs w:val="24"/>
        </w:rPr>
      </w:pPr>
      <w:r w:rsidRPr="006B38F1">
        <w:rPr>
          <w:noProof/>
        </w:rPr>
        <w:t>Artikel 1</w:t>
      </w:r>
    </w:p>
    <w:p w:rsidR="007F4F83" w:rsidRPr="006B38F1" w:rsidRDefault="007F4F83" w:rsidP="00D00193">
      <w:pPr>
        <w:pStyle w:val="Titrearticle"/>
        <w:spacing w:before="120"/>
        <w:rPr>
          <w:b/>
          <w:i w:val="0"/>
          <w:noProof/>
          <w:szCs w:val="24"/>
        </w:rPr>
      </w:pPr>
      <w:r w:rsidRPr="006B38F1">
        <w:rPr>
          <w:b/>
          <w:i w:val="0"/>
          <w:noProof/>
        </w:rPr>
        <w:t>Wijzigingen van Uitvoeringsverordening (EU) 2021/637</w:t>
      </w:r>
    </w:p>
    <w:p w:rsidR="007F4F83" w:rsidRPr="006B38F1" w:rsidRDefault="007F4F83" w:rsidP="007F4F83">
      <w:pPr>
        <w:pStyle w:val="Titrearticle"/>
        <w:jc w:val="left"/>
        <w:rPr>
          <w:rFonts w:eastAsiaTheme="minorEastAsia"/>
          <w:i w:val="0"/>
          <w:noProof/>
          <w:szCs w:val="24"/>
        </w:rPr>
      </w:pPr>
      <w:r w:rsidRPr="006B38F1">
        <w:rPr>
          <w:i w:val="0"/>
          <w:noProof/>
        </w:rPr>
        <w:t>Uitvoeringsverordening (EU) 2021/637 wordt als volgt gewijzigd:</w:t>
      </w:r>
    </w:p>
    <w:p w:rsidR="007F4F83" w:rsidRPr="006B38F1" w:rsidRDefault="007F3E48" w:rsidP="007F3E48">
      <w:pPr>
        <w:pStyle w:val="Point0"/>
        <w:rPr>
          <w:noProof/>
        </w:rPr>
      </w:pPr>
      <w:r w:rsidRPr="007F3E48">
        <w:t>(1)</w:t>
      </w:r>
      <w:r w:rsidRPr="007F3E48">
        <w:tab/>
      </w:r>
      <w:r w:rsidR="007F4F83" w:rsidRPr="006B38F1">
        <w:rPr>
          <w:noProof/>
        </w:rPr>
        <w:t>Het volgende artikel 18 bis wordt ingevoegd:</w:t>
      </w:r>
    </w:p>
    <w:p w:rsidR="007F4F83" w:rsidRPr="006B38F1" w:rsidRDefault="006542E5" w:rsidP="004046D9">
      <w:pPr>
        <w:pStyle w:val="Titrearticle"/>
        <w:spacing w:before="120"/>
        <w:ind w:left="567" w:right="568"/>
        <w:rPr>
          <w:noProof/>
        </w:rPr>
      </w:pPr>
      <w:r w:rsidRPr="006B38F1">
        <w:rPr>
          <w:noProof/>
        </w:rPr>
        <w:t>“Artikel 18 bis</w:t>
      </w:r>
    </w:p>
    <w:p w:rsidR="007F4F83" w:rsidRPr="006B38F1" w:rsidRDefault="007F4F83" w:rsidP="004046D9">
      <w:pPr>
        <w:pStyle w:val="Titrearticle"/>
        <w:spacing w:before="120"/>
        <w:ind w:left="567" w:right="568"/>
        <w:rPr>
          <w:b/>
          <w:i w:val="0"/>
          <w:noProof/>
        </w:rPr>
      </w:pPr>
      <w:r w:rsidRPr="006B38F1">
        <w:rPr>
          <w:b/>
          <w:i w:val="0"/>
          <w:noProof/>
        </w:rPr>
        <w:t>Openbaarmaking van ecologische, sociale en governancerisico’s (ESG-risico’s)</w:t>
      </w:r>
    </w:p>
    <w:p w:rsidR="007F4F83" w:rsidRPr="006B38F1" w:rsidRDefault="007F3E48" w:rsidP="007F3E48">
      <w:pPr>
        <w:pStyle w:val="ManualNumPar1"/>
        <w:rPr>
          <w:noProof/>
        </w:rPr>
      </w:pPr>
      <w:r w:rsidRPr="007F3E48">
        <w:t>1.</w:t>
      </w:r>
      <w:r w:rsidRPr="007F3E48">
        <w:tab/>
      </w:r>
      <w:r w:rsidR="007F4F83" w:rsidRPr="006B38F1">
        <w:rPr>
          <w:noProof/>
        </w:rPr>
        <w:t>Instellingen maken de in artikel 449 van Verordening (EU) nr. 575/2013 bedoelde informatie als volgt openbaar:</w:t>
      </w:r>
    </w:p>
    <w:p w:rsidR="002D1236" w:rsidRPr="006B38F1" w:rsidRDefault="007F3E48" w:rsidP="007F3E48">
      <w:pPr>
        <w:pStyle w:val="Point1"/>
        <w:rPr>
          <w:noProof/>
        </w:rPr>
      </w:pPr>
      <w:r w:rsidRPr="007F3E48">
        <w:t>(a)</w:t>
      </w:r>
      <w:r w:rsidRPr="007F3E48">
        <w:tab/>
      </w:r>
      <w:r w:rsidR="002D1236" w:rsidRPr="006B38F1">
        <w:rPr>
          <w:noProof/>
        </w:rPr>
        <w:t>kwalitatieve informatie over ecologische, sociale en governancerisico’s door de tabellen 1, 2 en 3 van bijlage XXXIX bij deze verordening te gebruiken en de instructies in bijlage XL bij deze verordening te volgen;</w:t>
      </w:r>
    </w:p>
    <w:p w:rsidR="002D1236" w:rsidRPr="006B38F1" w:rsidRDefault="007F3E48" w:rsidP="007F3E48">
      <w:pPr>
        <w:pStyle w:val="Point1"/>
        <w:rPr>
          <w:noProof/>
        </w:rPr>
      </w:pPr>
      <w:r w:rsidRPr="007F3E48">
        <w:t>(b)</w:t>
      </w:r>
      <w:r w:rsidRPr="007F3E48">
        <w:tab/>
      </w:r>
      <w:r w:rsidR="002D1236" w:rsidRPr="006B38F1">
        <w:rPr>
          <w:noProof/>
        </w:rPr>
        <w:t>kwantitatieve informatie over transitierisico’s (“overgangsrisico”) in verband met de klimaatverandering door de templates 1 tot en met 4 van bijlage XXXIX bij deze verordening te gebruiken en de instructies in bijlage XL bij deze verordening te volgen;</w:t>
      </w:r>
    </w:p>
    <w:p w:rsidR="002D1236" w:rsidRPr="006B38F1" w:rsidRDefault="007F3E48" w:rsidP="007F3E48">
      <w:pPr>
        <w:pStyle w:val="Point1"/>
        <w:rPr>
          <w:noProof/>
        </w:rPr>
      </w:pPr>
      <w:r w:rsidRPr="007F3E48">
        <w:t>(c)</w:t>
      </w:r>
      <w:r w:rsidRPr="007F3E48">
        <w:tab/>
      </w:r>
      <w:r w:rsidR="002D1236" w:rsidRPr="006B38F1">
        <w:rPr>
          <w:noProof/>
        </w:rPr>
        <w:t>kwantitatieve informatie over fysieke risico’s in verband met de klimaatverandering door template 5 van bijlage XXXIX bij deze verordening te gebruiken en de instructies in bijlage XL bij deze verordening te volgen;</w:t>
      </w:r>
    </w:p>
    <w:p w:rsidR="002D1236" w:rsidRPr="006B38F1" w:rsidRDefault="007F3E48" w:rsidP="007F3E48">
      <w:pPr>
        <w:pStyle w:val="Point1"/>
        <w:rPr>
          <w:noProof/>
        </w:rPr>
      </w:pPr>
      <w:r w:rsidRPr="007F3E48">
        <w:t>(d)</w:t>
      </w:r>
      <w:r w:rsidRPr="007F3E48">
        <w:tab/>
      </w:r>
      <w:r w:rsidR="002D1236" w:rsidRPr="006B38F1">
        <w:rPr>
          <w:noProof/>
        </w:rPr>
        <w:t xml:space="preserve">kwantitatieve informatie over mitigatiemaatregelen in verband met economische activiteiten die overeenkomstig artikel 3 van Verordening (EU) 2020/852 van het Europees Parlement en de Raad*1 als ecologisch duurzaam gelden, ten aanzien van tegenpartijen die onder de artikelen 19 bis of 29 bis van Richtlijn 2013/34/EU van het Europees Parlement en de Raad*2 vallen, </w:t>
      </w:r>
      <w:bookmarkStart w:id="1" w:name="_Hlk92470586"/>
      <w:r w:rsidR="002D1236" w:rsidRPr="006B38F1">
        <w:rPr>
          <w:noProof/>
        </w:rPr>
        <w:t>ten aanzien van huishoudens en ten aanzien van lokale overheden</w:t>
      </w:r>
      <w:bookmarkEnd w:id="1"/>
      <w:r w:rsidR="002D1236" w:rsidRPr="006B38F1">
        <w:rPr>
          <w:noProof/>
        </w:rPr>
        <w:t xml:space="preserve"> als bedoeld in deel 1, punt 42, b), van bijlage V bij Uitvoeringsverordening (EU) 2021/451 van de Commissie*3, door gebruik te maken van de templates 6, 7 en 8 van bijlage XXXIX bij deze verordening en de instructies in bijlage XL bij deze verordening te volgen;</w:t>
      </w:r>
    </w:p>
    <w:p w:rsidR="00995098" w:rsidRPr="006B38F1" w:rsidRDefault="007F3E48" w:rsidP="007F3E48">
      <w:pPr>
        <w:pStyle w:val="Point1"/>
        <w:rPr>
          <w:noProof/>
        </w:rPr>
      </w:pPr>
      <w:r w:rsidRPr="007F3E48">
        <w:t>(e)</w:t>
      </w:r>
      <w:r w:rsidRPr="007F3E48">
        <w:tab/>
      </w:r>
      <w:r w:rsidR="00995098" w:rsidRPr="006B38F1">
        <w:rPr>
          <w:noProof/>
        </w:rPr>
        <w:t>kwantitatieve informatie over andere mitigatiemaatregelen en blootstellingen aan klimaatveranderingsgerelateerde risico’s die niet als ecologisch duurzame economische activiteiten in de zin van artikel 3 van Verordening (EU) 2020/852 worden aangemerkt, maar tegenpartijen bij het transitie- of adaptatieproces ondersteunen met het oog op de doelstellingen van mitigatie van en adaptatie aan klimaatverandering, door template 10 van bijlage XXXIX bij deze verordening te gebruiken en de instructies in bijlage XL bij deze verordening te volgen.</w:t>
      </w:r>
    </w:p>
    <w:p w:rsidR="008D2E23" w:rsidRPr="006B38F1" w:rsidRDefault="007F3E48" w:rsidP="007F3E48">
      <w:pPr>
        <w:pStyle w:val="ManualNumPar1"/>
        <w:rPr>
          <w:noProof/>
        </w:rPr>
      </w:pPr>
      <w:r w:rsidRPr="007F3E48">
        <w:t>2.</w:t>
      </w:r>
      <w:r w:rsidRPr="007F3E48">
        <w:tab/>
      </w:r>
      <w:r w:rsidR="000941B5" w:rsidRPr="006B38F1">
        <w:rPr>
          <w:noProof/>
        </w:rPr>
        <w:t xml:space="preserve">Instellingen kunnen ervoor kiezen kwantitatieve informatie over mitigatiemaatregelen en blootstellingen aan klimaatveranderingsgerelateerde risico’s in verband met economische activiteiten die overeenkomstig artikel 3 van Verordening (EU) 2020/852 als ecologisch duurzaam worden aangemerkt, ten aanzien van tegenpartijen </w:t>
      </w:r>
      <w:bookmarkStart w:id="2" w:name="_Hlk92470606"/>
      <w:r w:rsidR="000941B5" w:rsidRPr="006B38F1">
        <w:rPr>
          <w:noProof/>
        </w:rPr>
        <w:t>die niet-financiële vennootschappen zijn</w:t>
      </w:r>
      <w:bookmarkEnd w:id="2"/>
      <w:r w:rsidR="000941B5" w:rsidRPr="006B38F1">
        <w:rPr>
          <w:noProof/>
        </w:rPr>
        <w:t xml:space="preserve"> als bedoeld in deel 1, punt 42, e), van bijlage V bij Uitvoeringsverordening (EU) 2021/451, die niet onderworpen zijn aan de openbaarmakingsverplichtingen van de artikelen 19 bis of 29 bis van Richtlijn 2013/34/EU en die niet onderworpen zijn aan de openbaarmakingsverplichtingen van Uitvoeringsverordening (EU) 2021/2178 van de Commissie</w:t>
      </w:r>
      <w:r w:rsidR="000941B5" w:rsidRPr="006B38F1">
        <w:rPr>
          <w:noProof/>
          <w:vertAlign w:val="superscript"/>
        </w:rPr>
        <w:t>*4</w:t>
      </w:r>
      <w:r w:rsidR="000941B5" w:rsidRPr="006B38F1">
        <w:rPr>
          <w:noProof/>
        </w:rPr>
        <w:t xml:space="preserve">, openbaar te maken door template 9 van bijlage XXXIX bij deze verordening te gebruiken en door de instructies in bijlage XL bij deze verordening te volgen. </w:t>
      </w:r>
    </w:p>
    <w:p w:rsidR="002D1236" w:rsidRPr="006B38F1" w:rsidRDefault="002D1236" w:rsidP="00353D88">
      <w:pPr>
        <w:pStyle w:val="Text1"/>
        <w:rPr>
          <w:noProof/>
        </w:rPr>
      </w:pPr>
      <w:r w:rsidRPr="006B38F1">
        <w:rPr>
          <w:noProof/>
        </w:rPr>
        <w:t>Voor de berekening van het percentage van de blootstellingen aan activiteiten die voldoen aan de vereisten van artikel 3 van Verordening (EU) 2020/852 (op de taxonomie afgestemde blootstellingen), met betrekking tot die tegenpartijen, mogen instellingen:</w:t>
      </w:r>
    </w:p>
    <w:p w:rsidR="00D23734" w:rsidRPr="006B38F1" w:rsidRDefault="007F3E48" w:rsidP="007F3E48">
      <w:pPr>
        <w:pStyle w:val="Point1"/>
        <w:rPr>
          <w:noProof/>
        </w:rPr>
      </w:pPr>
      <w:r w:rsidRPr="007F3E48">
        <w:t>(a)</w:t>
      </w:r>
      <w:r w:rsidRPr="007F3E48">
        <w:tab/>
      </w:r>
      <w:r w:rsidR="008E7D06" w:rsidRPr="006B38F1">
        <w:rPr>
          <w:noProof/>
        </w:rPr>
        <w:t>indien beschikbaar, de informatie gebruiken die zij op vrijwillige en bilaterale basis via de processen van leninginitiëring, regelmatige kredietbeoordeling en monitoring van hun tegenpartijen hebben ontvangen;</w:t>
      </w:r>
    </w:p>
    <w:p w:rsidR="00D23734" w:rsidRPr="006B38F1" w:rsidRDefault="007F3E48" w:rsidP="007F3E48">
      <w:pPr>
        <w:pStyle w:val="Point1"/>
        <w:rPr>
          <w:noProof/>
        </w:rPr>
      </w:pPr>
      <w:r w:rsidRPr="007F3E48">
        <w:t>(b)</w:t>
      </w:r>
      <w:r w:rsidRPr="007F3E48">
        <w:tab/>
      </w:r>
      <w:r w:rsidR="00B25755" w:rsidRPr="006B38F1">
        <w:rPr>
          <w:noProof/>
        </w:rPr>
        <w:t>indien de tegenpartij niet in staat of bereid is de betrokken gegevens op bilaterale basis te verstrekken, interne ramingen en proxy’s gebruiken en in de toelichting bij de template uitleggen in welke mate die interne ramingen en proxy’s zijn gebruikt en welke interne ramingen en proxy’s zijn toegepast;</w:t>
      </w:r>
    </w:p>
    <w:p w:rsidR="002D1236" w:rsidRPr="006B38F1" w:rsidRDefault="007F3E48" w:rsidP="007F3E48">
      <w:pPr>
        <w:pStyle w:val="Point1"/>
        <w:rPr>
          <w:noProof/>
        </w:rPr>
      </w:pPr>
      <w:r w:rsidRPr="007F3E48">
        <w:t>(c)</w:t>
      </w:r>
      <w:r w:rsidRPr="007F3E48">
        <w:tab/>
      </w:r>
      <w:r w:rsidR="00D23734" w:rsidRPr="006B38F1">
        <w:rPr>
          <w:noProof/>
        </w:rPr>
        <w:t>indien zij niet in staat zijn de betrokken informatie op bilaterale basis te verzamelen, of geen gebruik kunnen maken van interne ramingen en proxy’s, of die informatie niet kunnen verzamelen of die ramingen en proxy’s niet kunnen gebruiken op een wijze die voor hen of hun tegenpartijen niet te belastend is, zulks in de toelichting bij de template uitleggen.</w:t>
      </w:r>
    </w:p>
    <w:p w:rsidR="00320B78" w:rsidRPr="006B38F1" w:rsidRDefault="00320B78" w:rsidP="00353D88">
      <w:pPr>
        <w:pStyle w:val="Text1"/>
        <w:rPr>
          <w:noProof/>
        </w:rPr>
      </w:pPr>
      <w:r w:rsidRPr="006B38F1">
        <w:rPr>
          <w:noProof/>
        </w:rPr>
        <w:t>Voor de toepassing van punt a) stellen instellingen hun tegenpartijen ervan in kennis dat het verstrekken van dergelijke informatie vrijwillig is.</w:t>
      </w:r>
    </w:p>
    <w:p w:rsidR="007F4F83" w:rsidRPr="006B38F1" w:rsidRDefault="007F3E48" w:rsidP="007F3E48">
      <w:pPr>
        <w:pStyle w:val="ManualNumPar1"/>
        <w:rPr>
          <w:noProof/>
        </w:rPr>
      </w:pPr>
      <w:r w:rsidRPr="007F3E48">
        <w:t>3.</w:t>
      </w:r>
      <w:r w:rsidRPr="007F3E48">
        <w:tab/>
      </w:r>
      <w:r w:rsidR="006B71ED" w:rsidRPr="006B38F1">
        <w:rPr>
          <w:noProof/>
        </w:rPr>
        <w:t>Tenzij anders vermeld in de instructies in bijlage XL bij deze verordening, maken instellingen vanaf 31 december 2022 de in artikel 449 bis van Verordening (EU) nr. 575/2013 bedoelde informatie op de volgende data openbaar:</w:t>
      </w:r>
    </w:p>
    <w:p w:rsidR="007F4F83" w:rsidRPr="006B38F1" w:rsidRDefault="007F3E48" w:rsidP="007F3E48">
      <w:pPr>
        <w:pStyle w:val="Point1"/>
        <w:rPr>
          <w:noProof/>
        </w:rPr>
      </w:pPr>
      <w:r w:rsidRPr="007F3E48">
        <w:t>(a)</w:t>
      </w:r>
      <w:r w:rsidRPr="007F3E48">
        <w:tab/>
      </w:r>
      <w:r w:rsidR="007F4F83" w:rsidRPr="006B38F1">
        <w:rPr>
          <w:noProof/>
        </w:rPr>
        <w:t>voor jaarlijkse openbaarmakingen: 31 december;</w:t>
      </w:r>
    </w:p>
    <w:p w:rsidR="00D01D57" w:rsidRPr="006B38F1" w:rsidRDefault="007F3E48" w:rsidP="007F3E48">
      <w:pPr>
        <w:pStyle w:val="Point1"/>
        <w:rPr>
          <w:noProof/>
        </w:rPr>
      </w:pPr>
      <w:r w:rsidRPr="007F3E48">
        <w:t>(b)</w:t>
      </w:r>
      <w:r w:rsidRPr="007F3E48">
        <w:tab/>
      </w:r>
      <w:r w:rsidR="007F4F83" w:rsidRPr="006B38F1">
        <w:rPr>
          <w:noProof/>
        </w:rPr>
        <w:t>voor halfjaarlijkse openbaarmakingen: 30 juni en 31 december van elk jaar.</w:t>
      </w:r>
    </w:p>
    <w:p w:rsidR="00086FAB" w:rsidRPr="006B38F1" w:rsidRDefault="001904B5" w:rsidP="0087679B">
      <w:pPr>
        <w:pStyle w:val="Text2"/>
        <w:rPr>
          <w:noProof/>
        </w:rPr>
      </w:pPr>
      <w:r w:rsidRPr="006B38F1">
        <w:rPr>
          <w:noProof/>
        </w:rPr>
        <w:tab/>
        <w:t>___________</w:t>
      </w:r>
    </w:p>
    <w:p w:rsidR="00086FAB" w:rsidRPr="006B38F1" w:rsidRDefault="00086FAB" w:rsidP="0087679B">
      <w:pPr>
        <w:pStyle w:val="Text3"/>
        <w:rPr>
          <w:noProof/>
          <w:sz w:val="20"/>
          <w:szCs w:val="20"/>
        </w:rPr>
      </w:pPr>
      <w:r w:rsidRPr="006B38F1">
        <w:rPr>
          <w:noProof/>
          <w:sz w:val="20"/>
          <w:vertAlign w:val="superscript"/>
        </w:rPr>
        <w:t>*1</w:t>
      </w:r>
      <w:r w:rsidRPr="006B38F1">
        <w:rPr>
          <w:noProof/>
        </w:rPr>
        <w:tab/>
      </w:r>
      <w:r w:rsidRPr="006B38F1">
        <w:rPr>
          <w:noProof/>
          <w:sz w:val="20"/>
        </w:rPr>
        <w:t>Verordening (EU) 2020/852 van het Europees Parlement en de Raad van 18 juni 2020 betreffende de totstandbrenging van een kader ter bevordering van duurzame beleggingen en tot wijziging van Verordening (EU) 2019/2088 (PB L 198 van 22.6.2020, blz. 13).</w:t>
      </w:r>
    </w:p>
    <w:p w:rsidR="00086FAB" w:rsidRPr="006B38F1" w:rsidRDefault="00086FAB" w:rsidP="004F6722">
      <w:pPr>
        <w:pStyle w:val="Text3"/>
        <w:rPr>
          <w:noProof/>
          <w:sz w:val="20"/>
          <w:szCs w:val="20"/>
        </w:rPr>
      </w:pPr>
      <w:r w:rsidRPr="006B38F1">
        <w:rPr>
          <w:noProof/>
          <w:sz w:val="20"/>
          <w:vertAlign w:val="superscript"/>
        </w:rPr>
        <w:t>*2</w:t>
      </w:r>
      <w:r w:rsidRPr="006B38F1">
        <w:rPr>
          <w:noProof/>
        </w:rPr>
        <w:tab/>
      </w:r>
      <w:r w:rsidRPr="006B38F1">
        <w:rPr>
          <w:noProof/>
          <w:sz w:val="20"/>
        </w:rPr>
        <w:t>Richtlijn 2013/34/EU van het Europees Parlement en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p w:rsidR="00086FAB" w:rsidRPr="006B38F1" w:rsidRDefault="00086FAB" w:rsidP="0087679B">
      <w:pPr>
        <w:pStyle w:val="Text3"/>
        <w:rPr>
          <w:noProof/>
          <w:sz w:val="20"/>
          <w:szCs w:val="20"/>
        </w:rPr>
      </w:pPr>
      <w:r w:rsidRPr="006B38F1">
        <w:rPr>
          <w:noProof/>
          <w:sz w:val="20"/>
          <w:vertAlign w:val="superscript"/>
        </w:rPr>
        <w:t>*3</w:t>
      </w:r>
      <w:r w:rsidRPr="006B38F1">
        <w:rPr>
          <w:noProof/>
        </w:rPr>
        <w:tab/>
      </w:r>
      <w:r w:rsidRPr="006B38F1">
        <w:rPr>
          <w:noProof/>
          <w:sz w:val="20"/>
        </w:rPr>
        <w:t>Uitvoeringsverordening (EU) 2021/451 van de Commissie van 17 december 2020 tot vaststelling van technische uitvoeringsnormen voor de toepassing van Verordening (EU) nr. 575/2013 van het Europees Parlement en de Raad wat betreft de rapportage aan de toezichthoudende autoriteit door instellingen en tot intrekking van Uitvoeringsverordening (EU) nr. 680/2014 (PB L 97 van 19.3.2021, blz. 1).</w:t>
      </w:r>
    </w:p>
    <w:p w:rsidR="00086FAB" w:rsidRPr="006B38F1" w:rsidRDefault="00086FAB" w:rsidP="0087679B">
      <w:pPr>
        <w:pStyle w:val="Text3"/>
        <w:rPr>
          <w:noProof/>
          <w:sz w:val="20"/>
          <w:szCs w:val="20"/>
        </w:rPr>
      </w:pPr>
      <w:r w:rsidRPr="006B38F1">
        <w:rPr>
          <w:noProof/>
          <w:sz w:val="20"/>
          <w:vertAlign w:val="superscript"/>
        </w:rPr>
        <w:t>*4</w:t>
      </w:r>
      <w:r w:rsidRPr="006B38F1">
        <w:rPr>
          <w:noProof/>
        </w:rPr>
        <w:tab/>
      </w:r>
      <w:r w:rsidRPr="006B38F1">
        <w:rPr>
          <w:noProof/>
          <w:sz w:val="20"/>
        </w:rPr>
        <w:t>Gedelegeerde Verordening (EU) 2021/2178 van de Commissie van 6 juli 2021 tot aanvulling van Verordening (EU) 2020/852 van het Europees Parlement en de Raad door vaststelling van de inhoud en de presentatie van door aan artikel 19 bis of artikel 29 bis van Richtlijn 2013/34/EU onderworpen ondernemingen te rapporteren informatie betreffende ecologisch duurzame economische activiteiten en door vaststelling van de methode om aan deze rapportageverplichting te voldoen (PB L 443 van 10.12.2021, blz. 9).”.</w:t>
      </w:r>
    </w:p>
    <w:p w:rsidR="007F4F83" w:rsidRPr="006B38F1" w:rsidRDefault="007F3E48" w:rsidP="007F3E48">
      <w:pPr>
        <w:pStyle w:val="Point0"/>
        <w:rPr>
          <w:noProof/>
        </w:rPr>
      </w:pPr>
      <w:r w:rsidRPr="007F3E48">
        <w:t>(2)</w:t>
      </w:r>
      <w:r w:rsidRPr="007F3E48">
        <w:tab/>
      </w:r>
      <w:r w:rsidR="00921483" w:rsidRPr="006B38F1">
        <w:rPr>
          <w:noProof/>
        </w:rPr>
        <w:t xml:space="preserve">De tekst in bijlage I bij deze verordening wordt toegevoegd als bijlage XXXIX. </w:t>
      </w:r>
    </w:p>
    <w:p w:rsidR="007F4F83" w:rsidRPr="006B38F1" w:rsidRDefault="007F3E48" w:rsidP="007F3E48">
      <w:pPr>
        <w:pStyle w:val="Point0"/>
        <w:rPr>
          <w:noProof/>
        </w:rPr>
      </w:pPr>
      <w:r w:rsidRPr="007F3E48">
        <w:t>(3)</w:t>
      </w:r>
      <w:r w:rsidRPr="007F3E48">
        <w:tab/>
      </w:r>
      <w:r w:rsidR="00921483" w:rsidRPr="006B38F1">
        <w:rPr>
          <w:noProof/>
        </w:rPr>
        <w:t>De tekst in bijlage II bij deze verordening wordt toegevoegd als bijlage XL.</w:t>
      </w:r>
    </w:p>
    <w:p w:rsidR="007F4F83" w:rsidRPr="006B38F1" w:rsidRDefault="007F4F83" w:rsidP="004046D9">
      <w:pPr>
        <w:pStyle w:val="Titrearticle"/>
        <w:rPr>
          <w:noProof/>
          <w:szCs w:val="24"/>
        </w:rPr>
      </w:pPr>
      <w:r w:rsidRPr="006B38F1">
        <w:rPr>
          <w:noProof/>
        </w:rPr>
        <w:t>Artikel 2</w:t>
      </w:r>
    </w:p>
    <w:p w:rsidR="007F4F83" w:rsidRPr="006B38F1" w:rsidRDefault="007F4F83" w:rsidP="007F4F83">
      <w:pPr>
        <w:pStyle w:val="Titrearticle"/>
        <w:spacing w:before="120"/>
        <w:rPr>
          <w:b/>
          <w:i w:val="0"/>
          <w:noProof/>
          <w:szCs w:val="24"/>
        </w:rPr>
      </w:pPr>
      <w:r w:rsidRPr="006B38F1">
        <w:rPr>
          <w:b/>
          <w:i w:val="0"/>
          <w:noProof/>
        </w:rPr>
        <w:t>Inwerkingtreding</w:t>
      </w:r>
    </w:p>
    <w:p w:rsidR="007F4F83" w:rsidRPr="006B38F1" w:rsidRDefault="007F4F83" w:rsidP="007F4F83">
      <w:pPr>
        <w:rPr>
          <w:noProof/>
          <w:color w:val="000000" w:themeColor="text1"/>
          <w:szCs w:val="24"/>
        </w:rPr>
      </w:pPr>
      <w:r w:rsidRPr="006B38F1">
        <w:rPr>
          <w:noProof/>
        </w:rPr>
        <w:t xml:space="preserve">Deze verordening treedt in werking op de twintigste dag na die van de bekendmaking ervan in het </w:t>
      </w:r>
      <w:r w:rsidRPr="006B38F1">
        <w:rPr>
          <w:i/>
          <w:noProof/>
        </w:rPr>
        <w:t>Publicatieblad van de Europese Unie</w:t>
      </w:r>
      <w:r w:rsidRPr="006B38F1">
        <w:rPr>
          <w:noProof/>
        </w:rPr>
        <w:t>.</w:t>
      </w:r>
      <w:r w:rsidRPr="006B38F1">
        <w:rPr>
          <w:noProof/>
          <w:color w:val="000000" w:themeColor="text1"/>
        </w:rPr>
        <w:t xml:space="preserve"> </w:t>
      </w:r>
    </w:p>
    <w:p w:rsidR="007F4F83" w:rsidRPr="006B38F1" w:rsidRDefault="007F4F83" w:rsidP="007F4F83">
      <w:pPr>
        <w:pStyle w:val="Applicationdirecte"/>
        <w:rPr>
          <w:noProof/>
          <w:color w:val="000000"/>
          <w:szCs w:val="24"/>
        </w:rPr>
      </w:pPr>
      <w:r w:rsidRPr="006B38F1">
        <w:rPr>
          <w:noProof/>
          <w:color w:val="000000"/>
        </w:rPr>
        <w:t>Deze verordening is verbindend in al haar onderdelen en is rechtstreeks toepasselijk in elke lidstaat.</w:t>
      </w:r>
    </w:p>
    <w:p w:rsidR="003C122C" w:rsidRPr="006B38F1" w:rsidRDefault="00C20797" w:rsidP="00BD463E">
      <w:pPr>
        <w:pStyle w:val="Fait"/>
        <w:rPr>
          <w:noProof/>
        </w:rPr>
      </w:pPr>
      <w:r w:rsidRPr="00C20797">
        <w:t>Gedaan te Brussel, 30.11.2022</w:t>
      </w:r>
    </w:p>
    <w:p w:rsidR="003C122C" w:rsidRPr="006B38F1" w:rsidRDefault="003C122C" w:rsidP="00BD463E">
      <w:pPr>
        <w:pStyle w:val="Institutionquisigne"/>
        <w:rPr>
          <w:noProof/>
          <w:szCs w:val="24"/>
        </w:rPr>
      </w:pPr>
      <w:r w:rsidRPr="006B38F1">
        <w:rPr>
          <w:noProof/>
        </w:rPr>
        <w:tab/>
        <w:t>Voor de Commissie</w:t>
      </w:r>
    </w:p>
    <w:p w:rsidR="00C32BCD" w:rsidRPr="006B38F1" w:rsidRDefault="00161BA8" w:rsidP="00BD463E">
      <w:pPr>
        <w:pStyle w:val="Personnequisigne"/>
        <w:keepNext/>
        <w:rPr>
          <w:noProof/>
          <w:szCs w:val="24"/>
        </w:rPr>
      </w:pPr>
      <w:r>
        <w:tab/>
        <w:t>De voorzitter</w:t>
      </w:r>
      <w:r>
        <w:br/>
      </w:r>
      <w:r>
        <w:tab/>
        <w:t>Ursula VON DER LEYEN</w:t>
      </w:r>
    </w:p>
    <w:p w:rsidR="00C32BCD" w:rsidRPr="006B38F1" w:rsidRDefault="00C32BCD" w:rsidP="00C32BCD">
      <w:pPr>
        <w:pStyle w:val="Personnequisigne"/>
        <w:rPr>
          <w:noProof/>
          <w:szCs w:val="24"/>
        </w:rPr>
      </w:pPr>
    </w:p>
    <w:sectPr w:rsidR="00C32BCD" w:rsidRPr="006B38F1" w:rsidSect="005A189D">
      <w:footerReference w:type="default" r:id="rId15"/>
      <w:footerReference w:type="first" r:id="rId16"/>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9D" w:rsidRPr="005A189D" w:rsidRDefault="005A189D" w:rsidP="005A18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ED" w:rsidRPr="005A189D" w:rsidRDefault="005A189D" w:rsidP="005A189D">
    <w:pPr>
      <w:pStyle w:val="Footer"/>
      <w:rPr>
        <w:rFonts w:ascii="Arial" w:hAnsi="Arial" w:cs="Arial"/>
        <w:b/>
        <w:sz w:val="48"/>
      </w:rPr>
    </w:pPr>
    <w:r w:rsidRPr="005A189D">
      <w:rPr>
        <w:rFonts w:ascii="Arial" w:hAnsi="Arial" w:cs="Arial"/>
        <w:b/>
        <w:sz w:val="48"/>
      </w:rPr>
      <w:t>NL</w:t>
    </w:r>
    <w:r w:rsidRPr="005A189D">
      <w:rPr>
        <w:rFonts w:ascii="Arial" w:hAnsi="Arial" w:cs="Arial"/>
        <w:b/>
        <w:sz w:val="48"/>
      </w:rPr>
      <w:tab/>
    </w:r>
    <w:r w:rsidRPr="005A189D">
      <w:rPr>
        <w:rFonts w:ascii="Arial" w:hAnsi="Arial" w:cs="Arial"/>
        <w:b/>
        <w:sz w:val="48"/>
      </w:rPr>
      <w:tab/>
    </w:r>
    <w:r w:rsidRPr="005A189D">
      <w:tab/>
    </w:r>
    <w:r w:rsidRPr="005A189D">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9D" w:rsidRPr="005A189D" w:rsidRDefault="005A189D" w:rsidP="005A18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9D" w:rsidRPr="005A189D" w:rsidRDefault="005A189D" w:rsidP="005A189D">
    <w:pPr>
      <w:pStyle w:val="Footer"/>
      <w:rPr>
        <w:rFonts w:ascii="Arial" w:hAnsi="Arial" w:cs="Arial"/>
        <w:b/>
        <w:sz w:val="48"/>
      </w:rPr>
    </w:pPr>
    <w:r w:rsidRPr="005A189D">
      <w:rPr>
        <w:rFonts w:ascii="Arial" w:hAnsi="Arial" w:cs="Arial"/>
        <w:b/>
        <w:sz w:val="48"/>
      </w:rPr>
      <w:t>NL</w:t>
    </w:r>
    <w:r w:rsidRPr="005A189D">
      <w:rPr>
        <w:rFonts w:ascii="Arial" w:hAnsi="Arial" w:cs="Arial"/>
        <w:b/>
        <w:sz w:val="48"/>
      </w:rPr>
      <w:tab/>
    </w:r>
    <w:r>
      <w:fldChar w:fldCharType="begin"/>
    </w:r>
    <w:r>
      <w:instrText xml:space="preserve"> PAGE  \* MERGEFORMAT </w:instrText>
    </w:r>
    <w:r>
      <w:fldChar w:fldCharType="separate"/>
    </w:r>
    <w:r w:rsidR="00BD463E">
      <w:rPr>
        <w:noProof/>
      </w:rPr>
      <w:t>5</w:t>
    </w:r>
    <w:r>
      <w:fldChar w:fldCharType="end"/>
    </w:r>
    <w:r>
      <w:tab/>
    </w:r>
    <w:r w:rsidRPr="005A189D">
      <w:tab/>
    </w:r>
    <w:r w:rsidRPr="005A189D">
      <w:rPr>
        <w:rFonts w:ascii="Arial" w:hAnsi="Arial" w:cs="Arial"/>
        <w:b/>
        <w:sz w:val="48"/>
      </w:rPr>
      <w:t>NL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9D" w:rsidRPr="005A189D" w:rsidRDefault="005A189D" w:rsidP="005A18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PB L 176 van 27.6.2013, blz. 1.</w:t>
      </w:r>
    </w:p>
  </w:footnote>
  <w:footnote w:id="2">
    <w:p w:rsidR="007067A9" w:rsidRPr="00FC42BE" w:rsidRDefault="007067A9" w:rsidP="007067A9">
      <w:pPr>
        <w:pStyle w:val="FootnoteText"/>
      </w:pPr>
      <w:r>
        <w:rPr>
          <w:rStyle w:val="FootnoteReference"/>
        </w:rPr>
        <w:footnoteRef/>
      </w:r>
      <w:r>
        <w:tab/>
        <w:t>Uitvoeringsverordening (EU) 2021/637 van de Commissie van 15 maart 2021 tot vaststelling van technische uitvoeringsnormen met betrekking tot openbaarmakingen door instellingen van de informatie bedoeld in deel acht, titels II en III, van Verordening (EU) nr. 575/2013 van het Europees Parlement en de Raad en tot intrekking van Uitvoeringsverordening (EU) nr. 1423/2013 van de Commissie, Gedelegeerde Verordening (EU) 2015/1555 van de Commissie, Uitvoeringsverordening (EU) 2016/200 van de Commissie en Gedelegeerde Verordening (EU) 2017/2295 van de Commissie (PB L 136 van 21.4.2021, blz. 1).</w:t>
      </w:r>
    </w:p>
  </w:footnote>
  <w:footnote w:id="3">
    <w:p w:rsidR="007067A9" w:rsidRPr="007067A9" w:rsidRDefault="007067A9" w:rsidP="007067A9">
      <w:pPr>
        <w:pStyle w:val="FootnoteText"/>
      </w:pPr>
      <w:r>
        <w:rPr>
          <w:rStyle w:val="FootnoteReference"/>
        </w:rPr>
        <w:footnoteRef/>
      </w:r>
      <w:r>
        <w:tab/>
        <w:t>Verordening (EU) 2019/876 van het Europees Parlement en de Raad van 20 mei 2019 tot wijziging van Verordening (EU) nr. 575/2013 wat betreft de hefboomratio, de nettostabielefinancieringsratio, vereisten inzake eigen vermogen en in aanmerking komende passiva, tegenpartijkredietrisico, marktrisico, blootstellingen aan centrale tegenpartijen, blootstellingen aan instellingen voor collectieve belegging, grote blootstellingen, rapportage- en openbaarmakingsvereisten, en van Verordening (EU) nr. 648/2012 (PB L 150 van 7.6.2019, blz. 1).</w:t>
      </w:r>
    </w:p>
  </w:footnote>
  <w:footnote w:id="4">
    <w:p w:rsidR="00410340" w:rsidRPr="007067A9" w:rsidRDefault="00410340" w:rsidP="008B3E83">
      <w:pPr>
        <w:pStyle w:val="FootnoteText"/>
      </w:pPr>
      <w:r>
        <w:rPr>
          <w:rStyle w:val="FootnoteReference"/>
        </w:rPr>
        <w:footnoteRef/>
      </w:r>
      <w:r>
        <w:tab/>
        <w:t>Verordening (EU) 2020/852 van het Europees Parlement en de Raad van 18 juni 2020 betreffende de totstandbrenging van een kader ter bevordering van duurzame beleggingen en tot wijziging van Verordening (EU) 2019/2088 (</w:t>
      </w:r>
      <w:r>
        <w:rPr>
          <w:rStyle w:val="Emphasis"/>
          <w:i w:val="0"/>
        </w:rPr>
        <w:t>PB L 198 van 22.6.2020, blz. 13</w:t>
      </w:r>
      <w:r>
        <w:t>).</w:t>
      </w:r>
    </w:p>
  </w:footnote>
  <w:footnote w:id="5">
    <w:p w:rsidR="00410340" w:rsidRPr="007067A9" w:rsidRDefault="00410340" w:rsidP="008B3E83">
      <w:pPr>
        <w:pStyle w:val="FootnoteText"/>
        <w:rPr>
          <w:i/>
        </w:rPr>
      </w:pPr>
      <w:r>
        <w:rPr>
          <w:rStyle w:val="FootnoteReference"/>
        </w:rPr>
        <w:footnoteRef/>
      </w:r>
      <w:r>
        <w:tab/>
        <w:t>Gedelegeerde Verordening (EU) 2020/1818 van de Commissie van 17 juli 2020 tot aanvulling van Verordening (EU) 2016/1011 van het Europees Parlement en de Raad wat betreft minimumnormen voor EU-klimaattransitiebenchmarks en op de Overeenkomst van Parijs afgestemde EU-benchmarks (</w:t>
      </w:r>
      <w:r>
        <w:rPr>
          <w:rStyle w:val="Emphasis"/>
          <w:i w:val="0"/>
        </w:rPr>
        <w:t>PB L 406 van 3.12.2020, blz. 17</w:t>
      </w:r>
      <w:r>
        <w:t>).</w:t>
      </w:r>
    </w:p>
  </w:footnote>
  <w:footnote w:id="6">
    <w:p w:rsidR="00410340" w:rsidRPr="007067A9" w:rsidRDefault="00410340" w:rsidP="008B3E83">
      <w:pPr>
        <w:pStyle w:val="FootnoteText"/>
        <w:rPr>
          <w:color w:val="444444"/>
        </w:rPr>
      </w:pPr>
      <w:r>
        <w:rPr>
          <w:rStyle w:val="FootnoteReference"/>
        </w:rPr>
        <w:footnoteRef/>
      </w:r>
      <w:r>
        <w:tab/>
        <w:t>Richtlijn 2010/31/EU van het Europees Parlement en de Raad van 19 mei 2010 betreffende de energieprestatie van gebouwen (</w:t>
      </w:r>
      <w:r>
        <w:rPr>
          <w:rStyle w:val="Emphasis"/>
          <w:i w:val="0"/>
        </w:rPr>
        <w:t>PB L 153 van 18.6.2010, blz. 13</w:t>
      </w:r>
      <w:r>
        <w:t>).</w:t>
      </w:r>
    </w:p>
  </w:footnote>
  <w:footnote w:id="7">
    <w:p w:rsidR="00135CD4" w:rsidRPr="00135CD4" w:rsidRDefault="00135CD4" w:rsidP="00135CD4">
      <w:pPr>
        <w:pStyle w:val="FootnoteText"/>
      </w:pPr>
      <w:r>
        <w:rPr>
          <w:rStyle w:val="FootnoteReference"/>
        </w:rPr>
        <w:footnoteRef/>
      </w:r>
      <w:r>
        <w:tab/>
        <w:t>Richtlijn 2013/34/EU van het Europees Parlement en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footnote>
  <w:footnote w:id="8">
    <w:p w:rsidR="00410340" w:rsidRPr="007067A9" w:rsidRDefault="00410340" w:rsidP="00410340">
      <w:pPr>
        <w:pStyle w:val="FootnoteText"/>
      </w:pPr>
      <w:r>
        <w:rPr>
          <w:rStyle w:val="FootnoteReference"/>
        </w:rPr>
        <w:footnoteRef/>
      </w:r>
      <w:r>
        <w:tab/>
        <w:t>Verordening (EU) nr. 1093/2010 van het Europees Parlement en de Raad van 24 november 2010 tot oprichting van een Europese toezichthoudende autoriteit (Europese Bankautoriteit), tot wijziging van Besluit nr. 716/2009/EG en tot intrekking van Besluit 2009/78/EG van de Commissie (PB L 331 van 15.12.2010, blz.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9D" w:rsidRPr="005A189D" w:rsidRDefault="005A189D" w:rsidP="005A18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9D" w:rsidRPr="005A189D" w:rsidRDefault="005A189D" w:rsidP="005A18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9D" w:rsidRPr="005A189D" w:rsidRDefault="005A189D" w:rsidP="005A18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 w:numId="32">
    <w:abstractNumId w:val="21"/>
  </w:num>
  <w:num w:numId="33">
    <w:abstractNumId w:val="13"/>
  </w:num>
  <w:num w:numId="34">
    <w:abstractNumId w:val="23"/>
  </w:num>
  <w:num w:numId="35">
    <w:abstractNumId w:val="11"/>
  </w:num>
  <w:num w:numId="36">
    <w:abstractNumId w:val="14"/>
  </w:num>
  <w:num w:numId="37">
    <w:abstractNumId w:val="15"/>
  </w:num>
  <w:num w:numId="38">
    <w:abstractNumId w:val="9"/>
  </w:num>
  <w:num w:numId="39">
    <w:abstractNumId w:val="22"/>
  </w:num>
  <w:num w:numId="40">
    <w:abstractNumId w:val="8"/>
  </w:num>
  <w:num w:numId="41">
    <w:abstractNumId w:val="16"/>
  </w:num>
  <w:num w:numId="42">
    <w:abstractNumId w:val="19"/>
  </w:num>
  <w:num w:numId="43">
    <w:abstractNumId w:val="20"/>
  </w:num>
  <w:num w:numId="44">
    <w:abstractNumId w:val="10"/>
  </w:num>
  <w:num w:numId="45">
    <w:abstractNumId w:val="18"/>
  </w:num>
  <w:num w:numId="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nl-NL" w:vendorID="64" w:dllVersion="131078" w:nlCheck="1" w:checkStyle="1"/>
  <w:attachedTemplate r:id="rId1"/>
  <w:revisionView w:markup="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1:58"/>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CD206180-2049-4371-8F7A-AABA1AB8CC85"/>
    <w:docVar w:name="LW_COVERPAGE_TYPE" w:val="1"/>
    <w:docVar w:name="LW_CROSSREFERENCE" w:val="&lt;UNUSED&gt;"/>
    <w:docVar w:name="LW_DATE.ADOPT.CP" w:val="van 30.11.2022"/>
    <w:docVar w:name="LW_DATE.ADOPT.CP_DATEFORMAT" w:val="van %DATE%"/>
    <w:docVar w:name="LW_DATE.ADOPT.CP_ISODATE" w:val="2022-11-30"/>
    <w:docVar w:name="LW_DocType" w:val="COM"/>
    <w:docVar w:name="LW_EMISSION" w:val="30.11.2022"/>
    <w:docVar w:name="LW_EMISSION_ISODATE" w:val="2022-11-30"/>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wijziging van de in Uitvoeringsverordening (EU) 2021/637 vastgestelde technische uitvoeringsnormen wat betreft de openbaarmaking van ecologische, sociale en governancerisico’s _x000b_"/>
    <w:docVar w:name="LW_TYPE.DOC.CP" w:val="UITVOERINGSVERORDENING (EU) …/... VAN DE COMMISSIE"/>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5CD4"/>
    <w:rsid w:val="001425D0"/>
    <w:rsid w:val="00145996"/>
    <w:rsid w:val="00154CCD"/>
    <w:rsid w:val="00161BA8"/>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604F0"/>
    <w:rsid w:val="00261A35"/>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73F6B"/>
    <w:rsid w:val="003965B3"/>
    <w:rsid w:val="00396F18"/>
    <w:rsid w:val="00397813"/>
    <w:rsid w:val="003A5DF1"/>
    <w:rsid w:val="003A6D93"/>
    <w:rsid w:val="003C122C"/>
    <w:rsid w:val="003C5E31"/>
    <w:rsid w:val="003C70D6"/>
    <w:rsid w:val="003D22F0"/>
    <w:rsid w:val="003D5E0A"/>
    <w:rsid w:val="003E1B7D"/>
    <w:rsid w:val="004046D9"/>
    <w:rsid w:val="00410340"/>
    <w:rsid w:val="0041104D"/>
    <w:rsid w:val="00413DA3"/>
    <w:rsid w:val="00414930"/>
    <w:rsid w:val="00414A4D"/>
    <w:rsid w:val="00436E6A"/>
    <w:rsid w:val="004376A0"/>
    <w:rsid w:val="004550A7"/>
    <w:rsid w:val="00493E04"/>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355C8"/>
    <w:rsid w:val="00541DBA"/>
    <w:rsid w:val="00543602"/>
    <w:rsid w:val="00547071"/>
    <w:rsid w:val="005708C3"/>
    <w:rsid w:val="005743BA"/>
    <w:rsid w:val="00592619"/>
    <w:rsid w:val="00592E05"/>
    <w:rsid w:val="00595146"/>
    <w:rsid w:val="005A189D"/>
    <w:rsid w:val="005B177F"/>
    <w:rsid w:val="005B5751"/>
    <w:rsid w:val="005C5191"/>
    <w:rsid w:val="005D1193"/>
    <w:rsid w:val="005D2409"/>
    <w:rsid w:val="005E5AED"/>
    <w:rsid w:val="00635568"/>
    <w:rsid w:val="00635A91"/>
    <w:rsid w:val="00643DD1"/>
    <w:rsid w:val="006542E5"/>
    <w:rsid w:val="00657F0F"/>
    <w:rsid w:val="0066012A"/>
    <w:rsid w:val="00674F39"/>
    <w:rsid w:val="00686BCA"/>
    <w:rsid w:val="0069084C"/>
    <w:rsid w:val="006973D8"/>
    <w:rsid w:val="006B38F1"/>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3E48"/>
    <w:rsid w:val="007F4F83"/>
    <w:rsid w:val="007F5860"/>
    <w:rsid w:val="00804148"/>
    <w:rsid w:val="008062B5"/>
    <w:rsid w:val="00806549"/>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4727"/>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5C81"/>
    <w:rsid w:val="00B76A3B"/>
    <w:rsid w:val="00B8705E"/>
    <w:rsid w:val="00B87C8F"/>
    <w:rsid w:val="00B90FD9"/>
    <w:rsid w:val="00B94522"/>
    <w:rsid w:val="00BB6E75"/>
    <w:rsid w:val="00BC21DD"/>
    <w:rsid w:val="00BD463E"/>
    <w:rsid w:val="00BE1E9F"/>
    <w:rsid w:val="00BE246D"/>
    <w:rsid w:val="00BF0A20"/>
    <w:rsid w:val="00BF17AA"/>
    <w:rsid w:val="00BF25AD"/>
    <w:rsid w:val="00BF7813"/>
    <w:rsid w:val="00C0016D"/>
    <w:rsid w:val="00C20797"/>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nl-NL"/>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nl-NL"/>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nl-NL"/>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5A189D"/>
    <w:pPr>
      <w:tabs>
        <w:tab w:val="center" w:pos="4535"/>
        <w:tab w:val="right" w:pos="9071"/>
      </w:tabs>
      <w:spacing w:before="0"/>
    </w:pPr>
  </w:style>
  <w:style w:type="character" w:customStyle="1" w:styleId="HeaderChar">
    <w:name w:val="Header Char"/>
    <w:basedOn w:val="DefaultParagraphFont"/>
    <w:link w:val="Header"/>
    <w:uiPriority w:val="99"/>
    <w:rsid w:val="005A189D"/>
    <w:rPr>
      <w:rFonts w:ascii="Times New Roman" w:hAnsi="Times New Roman" w:cs="Times New Roman"/>
      <w:sz w:val="24"/>
      <w:lang w:val="nl-NL"/>
    </w:rPr>
  </w:style>
  <w:style w:type="paragraph" w:styleId="Footer">
    <w:name w:val="footer"/>
    <w:basedOn w:val="Normal"/>
    <w:link w:val="FooterChar"/>
    <w:uiPriority w:val="99"/>
    <w:unhideWhenUsed/>
    <w:rsid w:val="005A189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5A189D"/>
    <w:rPr>
      <w:rFonts w:ascii="Times New Roman" w:hAnsi="Times New Roman" w:cs="Times New Roman"/>
      <w:sz w:val="24"/>
      <w:lang w:val="nl-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5A189D"/>
    <w:pPr>
      <w:tabs>
        <w:tab w:val="center" w:pos="7285"/>
        <w:tab w:val="right" w:pos="14003"/>
      </w:tabs>
      <w:spacing w:before="0"/>
    </w:pPr>
  </w:style>
  <w:style w:type="paragraph" w:customStyle="1" w:styleId="FooterLandscape">
    <w:name w:val="FooterLandscape"/>
    <w:basedOn w:val="Normal"/>
    <w:rsid w:val="005A189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5A189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A189D"/>
    <w:pPr>
      <w:spacing w:before="0"/>
      <w:jc w:val="right"/>
    </w:pPr>
    <w:rPr>
      <w:sz w:val="28"/>
    </w:rPr>
  </w:style>
  <w:style w:type="paragraph" w:customStyle="1" w:styleId="FooterSensitivity">
    <w:name w:val="Footer Sensitivity"/>
    <w:basedOn w:val="Normal"/>
    <w:rsid w:val="005A189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2"/>
      </w:numPr>
    </w:pPr>
  </w:style>
  <w:style w:type="paragraph" w:customStyle="1" w:styleId="Tiret1">
    <w:name w:val="Tiret 1"/>
    <w:basedOn w:val="Point1"/>
    <w:pPr>
      <w:numPr>
        <w:numId w:val="33"/>
      </w:numPr>
    </w:pPr>
  </w:style>
  <w:style w:type="paragraph" w:customStyle="1" w:styleId="Tiret2">
    <w:name w:val="Tiret 2"/>
    <w:basedOn w:val="Point2"/>
    <w:pPr>
      <w:numPr>
        <w:numId w:val="34"/>
      </w:numPr>
    </w:pPr>
  </w:style>
  <w:style w:type="paragraph" w:customStyle="1" w:styleId="Tiret3">
    <w:name w:val="Tiret 3"/>
    <w:basedOn w:val="Point3"/>
    <w:pPr>
      <w:numPr>
        <w:numId w:val="35"/>
      </w:numPr>
    </w:pPr>
  </w:style>
  <w:style w:type="paragraph" w:customStyle="1" w:styleId="Tiret4">
    <w:name w:val="Tiret 4"/>
    <w:basedOn w:val="Point4"/>
    <w:pPr>
      <w:numPr>
        <w:numId w:val="36"/>
      </w:numPr>
    </w:pPr>
  </w:style>
  <w:style w:type="paragraph" w:customStyle="1" w:styleId="Tiret5">
    <w:name w:val="Tiret 5"/>
    <w:basedOn w:val="Point5"/>
    <w:pPr>
      <w:numPr>
        <w:numId w:val="3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8"/>
      </w:numPr>
    </w:pPr>
  </w:style>
  <w:style w:type="paragraph" w:customStyle="1" w:styleId="NumPar2">
    <w:name w:val="NumPar 2"/>
    <w:basedOn w:val="Normal"/>
    <w:next w:val="Text1"/>
    <w:pPr>
      <w:numPr>
        <w:ilvl w:val="1"/>
        <w:numId w:val="38"/>
      </w:numPr>
    </w:pPr>
  </w:style>
  <w:style w:type="paragraph" w:customStyle="1" w:styleId="NumPar3">
    <w:name w:val="NumPar 3"/>
    <w:basedOn w:val="Normal"/>
    <w:next w:val="Text1"/>
    <w:pPr>
      <w:numPr>
        <w:ilvl w:val="2"/>
        <w:numId w:val="38"/>
      </w:numPr>
    </w:pPr>
  </w:style>
  <w:style w:type="paragraph" w:customStyle="1" w:styleId="NumPar4">
    <w:name w:val="NumPar 4"/>
    <w:basedOn w:val="Normal"/>
    <w:next w:val="Text1"/>
    <w:pPr>
      <w:numPr>
        <w:ilvl w:val="3"/>
        <w:numId w:val="38"/>
      </w:numPr>
    </w:pPr>
  </w:style>
  <w:style w:type="paragraph" w:customStyle="1" w:styleId="NumPar5">
    <w:name w:val="NumPar 5"/>
    <w:basedOn w:val="Normal"/>
    <w:next w:val="Text2"/>
    <w:pPr>
      <w:numPr>
        <w:ilvl w:val="4"/>
        <w:numId w:val="38"/>
      </w:numPr>
    </w:pPr>
  </w:style>
  <w:style w:type="paragraph" w:customStyle="1" w:styleId="NumPar6">
    <w:name w:val="NumPar 6"/>
    <w:basedOn w:val="Normal"/>
    <w:next w:val="Text2"/>
    <w:pPr>
      <w:numPr>
        <w:ilvl w:val="5"/>
        <w:numId w:val="38"/>
      </w:numPr>
    </w:pPr>
  </w:style>
  <w:style w:type="paragraph" w:customStyle="1" w:styleId="NumPar7">
    <w:name w:val="NumPar 7"/>
    <w:basedOn w:val="Normal"/>
    <w:next w:val="Text2"/>
    <w:pPr>
      <w:numPr>
        <w:ilvl w:val="6"/>
        <w:numId w:val="3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0"/>
      </w:numPr>
    </w:pPr>
  </w:style>
  <w:style w:type="paragraph" w:customStyle="1" w:styleId="Point1number">
    <w:name w:val="Point 1 (number)"/>
    <w:basedOn w:val="Normal"/>
    <w:pPr>
      <w:numPr>
        <w:ilvl w:val="2"/>
        <w:numId w:val="40"/>
      </w:numPr>
    </w:pPr>
  </w:style>
  <w:style w:type="paragraph" w:customStyle="1" w:styleId="Point2number">
    <w:name w:val="Point 2 (number)"/>
    <w:basedOn w:val="Normal"/>
    <w:pPr>
      <w:numPr>
        <w:ilvl w:val="4"/>
        <w:numId w:val="40"/>
      </w:numPr>
    </w:pPr>
  </w:style>
  <w:style w:type="paragraph" w:customStyle="1" w:styleId="Point3number">
    <w:name w:val="Point 3 (number)"/>
    <w:basedOn w:val="Normal"/>
    <w:pPr>
      <w:numPr>
        <w:ilvl w:val="6"/>
        <w:numId w:val="40"/>
      </w:numPr>
    </w:pPr>
  </w:style>
  <w:style w:type="paragraph" w:customStyle="1" w:styleId="Point0letter">
    <w:name w:val="Point 0 (letter)"/>
    <w:basedOn w:val="Normal"/>
    <w:pPr>
      <w:numPr>
        <w:ilvl w:val="1"/>
        <w:numId w:val="40"/>
      </w:numPr>
    </w:pPr>
  </w:style>
  <w:style w:type="paragraph" w:customStyle="1" w:styleId="Point1letter">
    <w:name w:val="Point 1 (letter)"/>
    <w:basedOn w:val="Normal"/>
    <w:pPr>
      <w:numPr>
        <w:ilvl w:val="3"/>
        <w:numId w:val="40"/>
      </w:numPr>
    </w:pPr>
  </w:style>
  <w:style w:type="paragraph" w:customStyle="1" w:styleId="Point2letter">
    <w:name w:val="Point 2 (letter)"/>
    <w:basedOn w:val="Normal"/>
    <w:pPr>
      <w:numPr>
        <w:ilvl w:val="5"/>
        <w:numId w:val="40"/>
      </w:numPr>
    </w:pPr>
  </w:style>
  <w:style w:type="paragraph" w:customStyle="1" w:styleId="Point3letter">
    <w:name w:val="Point 3 (letter)"/>
    <w:basedOn w:val="Normal"/>
    <w:pPr>
      <w:numPr>
        <w:ilvl w:val="7"/>
        <w:numId w:val="40"/>
      </w:numPr>
    </w:pPr>
  </w:style>
  <w:style w:type="paragraph" w:customStyle="1" w:styleId="Point4letter">
    <w:name w:val="Point 4 (letter)"/>
    <w:basedOn w:val="Normal"/>
    <w:pPr>
      <w:numPr>
        <w:ilvl w:val="8"/>
        <w:numId w:val="40"/>
      </w:numPr>
    </w:pPr>
  </w:style>
  <w:style w:type="paragraph" w:customStyle="1" w:styleId="Bullet0">
    <w:name w:val="Bullet 0"/>
    <w:basedOn w:val="Normal"/>
    <w:pPr>
      <w:numPr>
        <w:numId w:val="41"/>
      </w:numPr>
    </w:pPr>
  </w:style>
  <w:style w:type="paragraph" w:customStyle="1" w:styleId="Bullet1">
    <w:name w:val="Bullet 1"/>
    <w:basedOn w:val="Normal"/>
    <w:pPr>
      <w:numPr>
        <w:numId w:val="42"/>
      </w:numPr>
    </w:pPr>
  </w:style>
  <w:style w:type="paragraph" w:customStyle="1" w:styleId="Bullet2">
    <w:name w:val="Bullet 2"/>
    <w:basedOn w:val="Normal"/>
    <w:pPr>
      <w:numPr>
        <w:numId w:val="43"/>
      </w:numPr>
    </w:pPr>
  </w:style>
  <w:style w:type="paragraph" w:customStyle="1" w:styleId="Bullet3">
    <w:name w:val="Bullet 3"/>
    <w:basedOn w:val="Normal"/>
    <w:pPr>
      <w:numPr>
        <w:numId w:val="44"/>
      </w:numPr>
    </w:pPr>
  </w:style>
  <w:style w:type="paragraph" w:customStyle="1" w:styleId="Bullet4">
    <w:name w:val="Bullet 4"/>
    <w:basedOn w:val="Normal"/>
    <w:pPr>
      <w:numPr>
        <w:numId w:val="4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23F45-0F06-4B89-8EBE-F5B2976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7</TotalTime>
  <Pages>6</Pages>
  <Words>1818</Words>
  <Characters>11112</Characters>
  <Application>Microsoft Office Word</Application>
  <DocSecurity>0</DocSecurity>
  <Lines>191</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46</cp:revision>
  <dcterms:created xsi:type="dcterms:W3CDTF">2022-10-28T13:10:00Z</dcterms:created>
  <dcterms:modified xsi:type="dcterms:W3CDTF">2022-11-27T18:31:00Z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