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730D7F5D" w:rsidR="00642A33" w:rsidRPr="00E50FA4" w:rsidRDefault="00880D31" w:rsidP="00880D31">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5DBA07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AE18F518-2CFB-473C-AC08-2F7177DC97CA" style="width:455.15pt;height:438.5pt">
            <v:imagedata r:id="rId8" o:title=""/>
          </v:shape>
        </w:pict>
      </w:r>
    </w:p>
    <w:bookmarkEnd w:id="10"/>
    <w:p w14:paraId="2FD02E79" w14:textId="77777777" w:rsidR="00642A33" w:rsidRPr="00E50FA4" w:rsidRDefault="00642A33" w:rsidP="00642A33">
      <w:pPr>
        <w:rPr>
          <w:noProof/>
        </w:rPr>
        <w:sectPr w:rsidR="00642A33" w:rsidRPr="00E50FA4" w:rsidSect="00880D31">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LT</w:t>
      </w:r>
    </w:p>
    <w:p w14:paraId="6093B431" w14:textId="039A3AAF" w:rsidR="009B0BC1" w:rsidRPr="00E50FA4" w:rsidRDefault="009B0BC1" w:rsidP="00350EFD">
      <w:pPr>
        <w:pStyle w:val="Annexetitre"/>
        <w:rPr>
          <w:noProof/>
        </w:rPr>
      </w:pPr>
      <w:r>
        <w:rPr>
          <w:noProof/>
        </w:rPr>
        <w:t>II PRIEDAS</w:t>
      </w:r>
    </w:p>
    <w:p w14:paraId="1D74ACA5" w14:textId="77777777" w:rsidR="00B43E07" w:rsidRPr="00E50FA4" w:rsidRDefault="009B0BC1" w:rsidP="00350EFD">
      <w:pPr>
        <w:pStyle w:val="Annexetitre"/>
        <w:rPr>
          <w:b w:val="0"/>
          <w:noProof/>
        </w:rPr>
      </w:pPr>
      <w:r>
        <w:rPr>
          <w:noProof/>
        </w:rPr>
        <w:t>„XL PRIEDAS. ASV rizikos atskleidimo nurodymai</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Įstaigos Reglamento (ES) Nr. 575/2013 449a straipsnyje nurodytą informaciją atskleidžia laikydamosi šiame priede pateiktų nurodymų. Nurodymais turi būti vadovaujamasi pildant šio reglamento XXXIX priede pateiktas lenteles ir šablonus.</w:t>
      </w:r>
    </w:p>
    <w:p w14:paraId="790C760D" w14:textId="674659AA" w:rsidR="00866549" w:rsidRPr="00E50FA4" w:rsidRDefault="00866549" w:rsidP="0071684B">
      <w:pPr>
        <w:pStyle w:val="NumPar2"/>
        <w:numPr>
          <w:ilvl w:val="0"/>
          <w:numId w:val="11"/>
        </w:numPr>
        <w:ind w:left="567" w:hanging="567"/>
        <w:rPr>
          <w:noProof/>
        </w:rPr>
      </w:pPr>
      <w:r>
        <w:rPr>
          <w:noProof/>
        </w:rPr>
        <w:t>Šiuose nurodymuose vartojamų terminų apibrėžtys:</w:t>
      </w:r>
    </w:p>
    <w:p w14:paraId="6E19BBDE" w14:textId="77777777" w:rsidR="00866549" w:rsidRPr="00E50FA4" w:rsidRDefault="00866549" w:rsidP="001716D2">
      <w:pPr>
        <w:pStyle w:val="Point1letter"/>
        <w:tabs>
          <w:tab w:val="clear" w:pos="1417"/>
        </w:tabs>
        <w:ind w:left="1134" w:right="-8"/>
        <w:rPr>
          <w:noProof/>
          <w:szCs w:val="24"/>
        </w:rPr>
      </w:pPr>
      <w:r>
        <w:rPr>
          <w:noProof/>
        </w:rPr>
        <w:t>aplinkosauginė, socialinė ar valdymo (ASV) rizika – nuostolių rizika, kylanti dėl neigiamo finansinio poveikio įstaigai dėl esamo ar galimo aplinkosauginių, socialinių ar valdymo (ASV) veiksnių poveikio įstaigos sandorio šalims arba investuotam turtui;</w:t>
      </w:r>
    </w:p>
    <w:p w14:paraId="6C492A42" w14:textId="77777777" w:rsidR="00866549" w:rsidRPr="00E50FA4" w:rsidRDefault="00866549" w:rsidP="001716D2">
      <w:pPr>
        <w:pStyle w:val="Point1letter"/>
        <w:tabs>
          <w:tab w:val="clear" w:pos="1417"/>
        </w:tabs>
        <w:ind w:left="1134" w:right="-8"/>
        <w:rPr>
          <w:noProof/>
          <w:szCs w:val="24"/>
        </w:rPr>
      </w:pPr>
      <w:r>
        <w:rPr>
          <w:noProof/>
        </w:rPr>
        <w:t>aplinkosauginė rizika – nuostolių rizika, kylanti dėl neigiamo finansinio poveikio įstaigai dėl esamo ar galimo aplinkosauginių veiksnių poveikio įstaigos sandorio šalims arba investuotam turtui, įskaitant veiksnius, susijusius su pertvarka siekiant šių aplinkos tikslų:</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klimato kaitos švelninimo;</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prisitaikymo prie klimato kaitos;</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tausaus vandens ir jūrų išteklių naudojimo ir apsaugos;</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perėjimo prie žiedinės ekonomikos;</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taršos prevencijos ir kontrolės;</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biologinės įvairovės ir ekosistemų apsaugos ir atkūrimo.</w:t>
      </w:r>
    </w:p>
    <w:p w14:paraId="65964131" w14:textId="77777777" w:rsidR="00866549" w:rsidRPr="00E50FA4" w:rsidRDefault="00866549" w:rsidP="00866549">
      <w:pPr>
        <w:pStyle w:val="Point2"/>
        <w:ind w:left="1134" w:right="568" w:firstLine="0"/>
        <w:rPr>
          <w:noProof/>
          <w:szCs w:val="24"/>
        </w:rPr>
      </w:pPr>
      <w:r>
        <w:rPr>
          <w:noProof/>
        </w:rPr>
        <w:t>Aplinkosauginė rizika apima ir fizinę riziką, ir pertvarkos riziką;</w:t>
      </w:r>
    </w:p>
    <w:p w14:paraId="504FD77B" w14:textId="77777777" w:rsidR="00866549" w:rsidRPr="00E50FA4" w:rsidRDefault="00866549" w:rsidP="001716D2">
      <w:pPr>
        <w:pStyle w:val="Point1letter"/>
        <w:tabs>
          <w:tab w:val="clear" w:pos="1417"/>
        </w:tabs>
        <w:ind w:left="1134" w:right="-8"/>
        <w:rPr>
          <w:noProof/>
          <w:szCs w:val="24"/>
        </w:rPr>
      </w:pPr>
      <w:r>
        <w:rPr>
          <w:noProof/>
        </w:rPr>
        <w:t>fizinė rizika – nuostolių rizika, kuri yra bendros aplinkosauginės rizikos dalis ir kyla dėl neigiamo finansinio poveikio įstaigai dėl esamo ar galimo fizinio aplinkosauginių veiksnių poveikio įstaigos sandorio šalims arba investuotam turtui;</w:t>
      </w:r>
    </w:p>
    <w:p w14:paraId="220A6BFE" w14:textId="77777777" w:rsidR="00866549" w:rsidRPr="00E50FA4" w:rsidRDefault="00866549" w:rsidP="001716D2">
      <w:pPr>
        <w:pStyle w:val="Point1letter"/>
        <w:tabs>
          <w:tab w:val="clear" w:pos="1417"/>
        </w:tabs>
        <w:ind w:left="1134" w:right="-8"/>
        <w:rPr>
          <w:noProof/>
          <w:szCs w:val="24"/>
        </w:rPr>
      </w:pPr>
      <w:r>
        <w:rPr>
          <w:noProof/>
        </w:rPr>
        <w:t>pertvarkos rizika – nuostolių rizika, kuri yra bendros aplinkosauginės rizikos dalis ir kyla dėl neigiamo finansinio poveikio įstaigai dėl esamo ar galimo pertvarkymo pereinant prie aplinkos atžvilgiu tvarios ekonomikos poveikio įstaigos sandorio šalims arba investuotam turtui;</w:t>
      </w:r>
    </w:p>
    <w:p w14:paraId="04DDAEBE" w14:textId="77777777" w:rsidR="00866549" w:rsidRPr="00E50FA4" w:rsidRDefault="00866549" w:rsidP="001716D2">
      <w:pPr>
        <w:pStyle w:val="Point1letter"/>
        <w:tabs>
          <w:tab w:val="clear" w:pos="1417"/>
        </w:tabs>
        <w:ind w:left="1134" w:right="-8"/>
        <w:rPr>
          <w:noProof/>
          <w:szCs w:val="24"/>
        </w:rPr>
      </w:pPr>
      <w:r>
        <w:rPr>
          <w:noProof/>
        </w:rPr>
        <w:t>socialinė rizika – nuostolių rizika, kylanti dėl neigiamo finansinio poveikio įstaigai dėl esamo ar galimo socialinių veiksnių poveikio įstaigos sandorio šalims arba investuotam turtui;</w:t>
      </w:r>
    </w:p>
    <w:p w14:paraId="47855CBB" w14:textId="77777777" w:rsidR="00866549" w:rsidRPr="00E50FA4" w:rsidRDefault="00866549" w:rsidP="001716D2">
      <w:pPr>
        <w:pStyle w:val="Point1letter"/>
        <w:tabs>
          <w:tab w:val="clear" w:pos="1417"/>
        </w:tabs>
        <w:ind w:left="1134" w:right="-8"/>
        <w:rPr>
          <w:noProof/>
        </w:rPr>
      </w:pPr>
      <w:r>
        <w:rPr>
          <w:noProof/>
        </w:rPr>
        <w:t>valdymo rizika – nuostolių rizika, kylanti dėl neigiamo finansinio poveikio įstaigai dėl esamo ar galimo valdymo veiksnių poveikio įstaigos sandorio šalims arba investuotam turtui.</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Visuose šiuose nurodymuose daromos nuorodos į tarptautines ir Sąjungos politikos sistemas ir esamus lyginamuosius indeksus apima: Paryžiaus susitarimą, priimtą pagal Jungtinių Tautų bendrąją klimato kaitos konvenciją</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toliau – Paryžiaus susitarimas), Komisijos komunikatą dėl Europos žaliojo kurso</w:t>
      </w:r>
      <w:r>
        <w:rPr>
          <w:rFonts w:ascii="Times New Roman" w:hAnsi="Times New Roman"/>
          <w:noProof/>
          <w:sz w:val="24"/>
          <w:vertAlign w:val="superscript"/>
        </w:rPr>
        <w:t>*2</w:t>
      </w:r>
      <w:r>
        <w:rPr>
          <w:rFonts w:ascii="Times New Roman" w:hAnsi="Times New Roman"/>
          <w:noProof/>
          <w:sz w:val="24"/>
        </w:rPr>
        <w:t>, Europos Parlamento ir Tarybos direktyvą 2013/34/ES</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 xml:space="preserve"> Europos Parlamento ir Tarybos direktyvą 2014/95/ES</w:t>
      </w:r>
      <w:r>
        <w:rPr>
          <w:rFonts w:ascii="Times New Roman" w:hAnsi="Times New Roman"/>
          <w:noProof/>
          <w:sz w:val="24"/>
          <w:vertAlign w:val="superscript"/>
        </w:rPr>
        <w:t>*4</w:t>
      </w:r>
      <w:r>
        <w:rPr>
          <w:rFonts w:ascii="Times New Roman" w:hAnsi="Times New Roman"/>
          <w:noProof/>
          <w:sz w:val="24"/>
        </w:rPr>
        <w:t>, Komisijos komunikatą „Nefinansinių ataskaitų teikimo gairės: Papildomas dokumentas dėl su klimatu susijusios informacijos teikimo“</w:t>
      </w:r>
      <w:r>
        <w:rPr>
          <w:rFonts w:ascii="Times New Roman" w:hAnsi="Times New Roman"/>
          <w:noProof/>
          <w:sz w:val="24"/>
          <w:vertAlign w:val="superscript"/>
        </w:rPr>
        <w:t>*5</w:t>
      </w:r>
      <w:r>
        <w:rPr>
          <w:rFonts w:ascii="Times New Roman" w:hAnsi="Times New Roman"/>
          <w:noProof/>
          <w:sz w:val="24"/>
        </w:rPr>
        <w:t>, Su klimatu susijusios finansinės informacijos atskleidimo darbo grupės (TCFD) rekomendacijose pateiktas gaires</w:t>
      </w:r>
      <w:r>
        <w:rPr>
          <w:rFonts w:ascii="Times New Roman" w:hAnsi="Times New Roman"/>
          <w:noProof/>
          <w:sz w:val="24"/>
          <w:vertAlign w:val="superscript"/>
        </w:rPr>
        <w:t>*6</w:t>
      </w:r>
      <w:r>
        <w:rPr>
          <w:rFonts w:ascii="Times New Roman" w:hAnsi="Times New Roman"/>
          <w:noProof/>
          <w:sz w:val="24"/>
        </w:rPr>
        <w:t>, Jungtinių Tautų aplinkos programos finansų iniciatyvą (angl. UNEP FI)</w:t>
      </w:r>
      <w:r>
        <w:rPr>
          <w:rFonts w:ascii="Times New Roman" w:hAnsi="Times New Roman"/>
          <w:noProof/>
          <w:sz w:val="24"/>
          <w:vertAlign w:val="superscript"/>
        </w:rPr>
        <w:t>*7</w:t>
      </w:r>
      <w:r>
        <w:rPr>
          <w:rFonts w:ascii="Times New Roman" w:hAnsi="Times New Roman"/>
          <w:noProof/>
          <w:sz w:val="24"/>
        </w:rPr>
        <w:t>, Pasaulinės atsiskaitymo iniciatyvos informacijos apie tvarumą teikimo standartus</w:t>
      </w:r>
      <w:r>
        <w:rPr>
          <w:rFonts w:ascii="Times New Roman" w:hAnsi="Times New Roman"/>
          <w:noProof/>
          <w:sz w:val="24"/>
          <w:vertAlign w:val="superscript"/>
        </w:rPr>
        <w:t>*8</w:t>
      </w:r>
      <w:r>
        <w:rPr>
          <w:rFonts w:ascii="Times New Roman" w:hAnsi="Times New Roman"/>
          <w:noProof/>
          <w:sz w:val="24"/>
        </w:rPr>
        <w:t xml:space="preserve"> ir Jungtinių Tautų atsakingo investavimo principus (angl.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1 lentelė. Kokybinė informacija apie aplinkosauginę riziką:</w:t>
      </w:r>
      <w:r>
        <w:rPr>
          <w:rFonts w:ascii="Times New Roman" w:hAnsi="Times New Roman"/>
          <w:noProof/>
          <w:sz w:val="24"/>
        </w:rPr>
        <w:t xml:space="preserve"> laisvos formos teksto laukeliai, skirti XXXIX priede nurodytai kokybinei informacijai atskleisti</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Pildydamos šio reglamento XXXIX priede pateiktą 1 lentelę „Kokybinė informacija apie aplinkosauginę riziką“, įstaigos naudojasi toliau pateiktais nurodymais, kad apibūdintų, kaip jos į savo verslo strategiją ir procesus, valdymą ir rizikos valdymą integruoja aplinkosauginę riziką, įskaitant konkrečią informaciją apie klimato kaitos riziką ir kitą aplinkosauginę riziką. Tai daroma siekiant laikytis Reglamento (ES) Nr. 575/2013 449a straipsnio kartu su to reglamento 435 straipsniu.</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Nuorodos į teisės aktus ir nurodymai</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Eilutės numeris</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Paaiškinimas</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Verslo strategija ir procesai</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a ir e punktais, įstaigos turi paaiškinti, kaip į jų verslo modelį, strategiją ir procesus bei jų finansinį planavimą integruota su aplinkos veiksniais susijusi rizika (t. y. aplinkosauginė rizika) ir kaip ta rizika ilgainiui gali kisti dėl kintančių technologijų, politikos sistemos, verslo aplinkos, suinteresuotųjų subjektų pageidavimų ir pačios fizinės aplinkos pokyčių.</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Pagal Reglamento (ES) Nr. 575/2013 449a straipsnį kartu su to reglamento 435 straipsnio 1 dalies a punktu ir c–f punktais, įstaigos nustato aplinkosauginės rizikos vertinimo ir valdymo tikslus, uždavinius ir ribas. Įstaigos paaiškina, kokius procesus jos naudoja tiems tikslams, uždaviniams ir riboms nustatyti.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Įstaigos paaiškina, kaip tie tikslai, uždaviniai ir ribos yra susiję su dabartine tarptautine ir Sąjungos politikos sistema ir esamais lyginamaisiais indeksais.</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įstaigos teikia informaciją apie savo dabartines ir būsimas (planuojamas) investicijas į aplinkos atžvilgiu tvarią veiklą ir į veiklą bei sektorius, atitinkančius Reglamento (ES) 2020/852 9 straipsnyje nustatytus aplinkos tikslus, įskaitant susijusius su klimatu.</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Jei ta informacija priklauso nuo pačios įstaigos politikos arba yra pagrįsta įstaigos vidaus technine užduotimi, įstaigos į savo atskleidžiamą informaciją įtraukia tos politikos ir vidaus techninės užduoties aprašymą.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1 dalies d punktu, įstaigos teikia informaciją apie priemones, kurių jos ėmėsi su aplinkos veiksniais siejamai rizikai sumažinti. Įstaigos turi atsižvelgti į sandorio šalies gebėjimą valdyti aplinkosauginę riziką.</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D3422E"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Valdymas</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b punktu ir 2 dalies a, b ir c punktais, įstaigos teikia informaciją apie tai, kaip jų valdymo organas dalyvauja prižiūrint ir valdant aplinkosauginę riziką. Įstaigos turi atsižvelgti į galimus tokios aplinkosauginės rizikos (įskaitant fizinę, pertvarkos ir civilinės atsakomybės riziką) perdavimo kanalus.</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2 dalies d punktu, įstaigos teikia informaciją apie tai, kaip jų valdymo organas, siekdamas valdyti riziką, į įstaigos organizacinę struktūrą integruoja trumpalaikį, vidutinės trukmės ir ilgalaikį aplinkosauginės rizikos poveikį. Įstaigos turi paaiškinti, kaip tokie veiksmai valdymo organo lygmeniu atsispindi jų verslo linijose ir vidaus kontrolės funkcijose.</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2 dalies a, b ir c punktais, įstaigos teikia informaciją apie savo rizikos komitetų organizavimą ir apie užduočių bei pareigų paskirstymą rizikos valdymo sistemoje siekiant stebėti ir valdyti aplinkosauginę riziką, atsižvelgiant į fizinius, pertvarkos ir atsakomybės rizikos perdavimo kanalus.</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2 dalies e punktu, įstaigos teikia informaciją apie tai, kokiais būdais jos į savo vidinę pranešimų teikimo sistemą ir struktūrą įtraukia aplinkosauginę riziką, taip pat informaciją apie tai, kaip dažnai teikiami jų vidaus pranešimai ir keičiamasi informacija apie tokią riziką.</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2 dalies e punktu, įstaigos teikia informaciją apie tai, ar aplinkosauginė rizika yra įtraukta į jų atlygio politiką, ir apie kriterijus bei parametrus, naudojamus nustatant aplinkosauginės rizikos veiksnių poveikį kintamajam atlygiui.</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D3422E"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Rizikos valdymas</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Pagal Reglamento (ES) Nr. 575/2013 449a straipsnį kartu su to reglamento 435 straipsnio 1 dalies f punktu, įstaigos teikia informaciją apie tai, kaip jos į priimtinos rizikos sistemą integruoja trumpalaikį, vidutinės trukmės ir ilgalaikį aplinkos veiksnių poveikį ir aplinkosauginę riziką. Dėl tinkamo laikotarpio įstaigos sprendžia pačios atsižvelgdamos į savo rizikos profilį ir pozicijas.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Pagal Reglamento (ES) Nr. 575/2013 449a straipsnį kartu su to reglamento 435 straipsnio 1 dalies a punktu, įstaigos teikia informaciją apie metodus, apibrėžtis ir standartus, naudojamus aplinkos veiksniams ir aplinkosauginei rizikai nustatyti ir valdyti, taip pat apie tai, kokia sistema grindžiami tie standartai, apibrėžtys ir metodai.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paaiškina, kaip tokie metodai, apibrėžtys ir standartai susiję su taikytina tarptautine ir Sąjungos politikos sistema ir esamais lyginamaisiais indeksais.</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1 dalies a punktu, įstaigos atskleidžia informaciją apie:</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procesus, kuriais įstaiga nustato ir stebi savo veiklą bei pozicijas, jautrias ir pažeidžiamas aplinkosauginės rizikos atžvilgiu, įskaitant visą su tokia veikla ir pozicijomis susijusį kilnojamąjį ir nekilnojamąjį turtą;</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procesus, kuriais įstaiga nustato ir stebi aplinkosauginę riziką, kuri yra finansiškai reikšminga arba šiuo metu nereikšminga, tačiau ateityje gali tapti reikšminga.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Aplinkosauginės rizikos atžvilgiu jautri ir pažeidžiama veikla, pozicijos ir turtas apima, be kita ko, su žemės ūkiu, žuvininkyste, miškininkyste ir energetikos sektoriais susijusią veiklą, pozicijas ir turtą, kartu atsižvelgiant į jų geografinę padėtį, priklausomybę nuo vandens ar kitus aplinkos veiksnius ir riziką, kuriuos gali paveikti įvairūs veiksniai, kaip antai potvyniai, sausros, gaisrai ir biologinės įvairovės nykimas. Jie taip pat apima sandorio šalies operacijų koncentraciją rizikos zonose ir laikoma, kad jie apima visą sandorio šalies vertės grandinę.</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Atskleisdamos šiame punkte nurodytą informaciją, įstaigos nurodo reikšmingumą (įskaitant dvigubą reikšmingumą), kurį reikėtų suprasti taip, kaip apibrėžta Europos Parlamento ir Tarybos direktyvos 2013/36/ES</w:t>
            </w:r>
            <w:r>
              <w:rPr>
                <w:rFonts w:ascii="Times New Roman" w:hAnsi="Times New Roman"/>
                <w:noProof/>
                <w:sz w:val="24"/>
                <w:vertAlign w:val="superscript"/>
              </w:rPr>
              <w:t>*10</w:t>
            </w:r>
            <w:r>
              <w:rPr>
                <w:rFonts w:ascii="Times New Roman" w:hAnsi="Times New Roman"/>
                <w:noProof/>
                <w:sz w:val="24"/>
              </w:rPr>
              <w:t xml:space="preserve"> 98 straipsnio 8 dalyje nurodytoje ataskaitoje pateiktose apibrėžtyse, ir aptaria visą pozicijų gyvavimo ciklą, įskaitant paskolos išdavimo procesą ir sandorio šalies kreditingumo vertinimą bei stebėseną.</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paaiškina, kokiu mastu toks vertinimas apima atitinkamus perdavimo kanalus, įskaitant i) mažesnį pelningumą, ii) mažesnę nekilnojamojo turto vertę, mažesnį namų ūkių turtą, iii) prastesnius turto rodiklius, iv) didesnes reikalavimų laikymosi išlaidas ir v) didesnes teisines išlaidas.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Įstaiga, kuri laiko, kad jokia aplinkosauginė rizika nėra reikšminga, paaiškina ir pagrindžia, kodėl taip yra, ir apibūdina metodus, kuriuos naudojant prieita prie tokios išvados.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d punktu, įstaigos teikia informaciją apie aplinkosauginei rizikai sumažinti vykdomą veiklą, prisiimtus įsipareigojimus ir skirtas pozicijas.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kokius metodus jos naudoja rizikos mažinimo priemonėms ir veiklai nustatyti. Be to, jos pateikia informaciją apie tai, kokiu mastu toje veikloje, įsipareigojimuose ir pozicijose atsižvelgta į atitinkamus perdavimo kanalus, įskaitant i) mažesnį pelningumą, ii) mažesnę nekilnojamojo turto vertę, mažesnį namų ūkių turtą, iii) prastesnius turto rodiklius, iv) didesnes reikalavimų laikymosi išlaidas ir v) didesnes teisines išlaidas.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1 dalies a ir f punktais, įstaigos teikia informaciją apie įgyvendinimo priemones, kurias jos naudoja aplinkosauginei rizikai nustatyti ir valdyti. Tokios priemonės apima testavimą nepalankiausiomis sąlygomis, jautrumo analizę ar kitus ateities perspektyvomis grindžiamus rodiklius, priklausomai nuo rizikos reikšmingumo taikomus pozicijų lygmeniu, portfelio lygmeniu, sandorio šalies ar sektoriaus lygmeniu.</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Atskleidžiamoje informacijoje nurodomos prielaidos ir metodai, kuriais grindžiamos atitinkamos įgyvendinimo priemonės. Įstaigos taip pat nurodo aplinkosauginės rizikos vertinimo pagal apskaitos ir prudencinius parametrus laikotarpį, t. y. ar jis yra trumpalaikis, vidutinės trukmės ar ilgalaikis.</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1 dalies a ir f punktais, įstaigos apibūdina vertinimo rezultatą, gautą naudojant rizikos priemonę pagal 14 punktą.</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vykdydamos vidaus kapitalo pakankamumo vertinimo procesą (ICAAP) ir vidaus likvidumo pakankamumo vertinimo procesą (ILAAP), nurodo įvertintą aplinkosauginės rizikos, įskaitant klimato kaitos riziką, poveikį įstaigos mokumui, reguliuojamojo kapitalo poreikiui ir likvidumo rizikos pobūdžiui.</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įstaigos teikia informaciją apie tai, kokius duomenis ir informaciją jos turi aplinkosauginei rizikai valdyti, kokių svarbių duomenų ir informacijos šiuo metu trūksta ir kokių priemonių jos imasi duomenų spragoms pašalinti ir duomenų kokybei bei tikslumui pagerinti.</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f punktu, įstaigos teikia informaciją apie finansavimo ribas, kurias jos nustato projektams ar sandorio šalims, darantiems reikšmingą žalą įstaigos verslo strategijoje nustatytiems aplinkos tikslams.</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Tos ribos apima ribas, kurias įstaigos nustato inicijavimo ir stebėsenos metu, siekdamos išvengti aplinkosauginės rizikos arba ją sumažinti, ir ribas, rodančias, kada dėl konkrečios pozicijos reikėtų imtis taisomųjų veiksmų, atlikti tolesnį tyrimą, perduoti klausimą spręsti aukštesniu įstaigos lygmeniu arba pašalinti poziciją iš portfelio.</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apibūdina, kaip jos atsiradusią aplinkosauginę riziką priskiria savo balanse ir susieja ją su kredito rizika, likvidumo rizika, rinkos rizika ir operacine rizika.</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turi paaiškinti, kaip jos vertina ir valdo perėjimo prie mažo anglies dioksido kiekio technologijų ir klimato kaitos poveikiui atsparios ekonomikos poveikį prudencinės rizikos kategorijoms, įskaitant kredito riziką, likvidumo riziką, rinkos riziką ir operacinę riziką.</w:t>
            </w:r>
          </w:p>
        </w:tc>
      </w:tr>
    </w:tbl>
    <w:p w14:paraId="2548CC3D" w14:textId="77777777" w:rsidR="00305AF8" w:rsidRPr="00D3422E" w:rsidRDefault="00305AF8" w:rsidP="001A08A2">
      <w:pPr>
        <w:jc w:val="both"/>
        <w:rPr>
          <w:rFonts w:ascii="Times New Roman" w:hAnsi="Times New Roman" w:cs="Times New Roman"/>
          <w:b/>
          <w:noProof/>
          <w:sz w:val="24"/>
        </w:rPr>
      </w:pPr>
    </w:p>
    <w:p w14:paraId="74CFF881" w14:textId="77777777" w:rsidR="00832FB8" w:rsidRPr="00D3422E"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2 lentelė. Kokybinė informacija apie socialinę riziką: laisvos formos teksto laukeliai</w:t>
      </w:r>
      <w:r>
        <w:rPr>
          <w:rFonts w:ascii="Times New Roman" w:hAnsi="Times New Roman"/>
          <w:noProof/>
          <w:sz w:val="24"/>
        </w:rPr>
        <w:t xml:space="preserve">, skirti XXXVII priede nurodytai kokybinei informacijai </w:t>
      </w:r>
      <w:r>
        <w:rPr>
          <w:rFonts w:ascii="Times New Roman" w:hAnsi="Times New Roman"/>
          <w:b/>
          <w:noProof/>
          <w:sz w:val="24"/>
        </w:rPr>
        <w:t>atskleisti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Pildydamos šio reglamento XXXIX priede pateiktą 2 lentelę „Kokybinė informacija apie socialinę riziką“, įstaigos naudojasi toliau pateiktais nurodymais, kad pagal Reglamento (ES) Nr. 575/2013 449a straipsnį kartu su to reglamento 435 straipsniu apibūdintų, kaip jos į savo verslo strategiją ir procesus, valdymą ir rizikos valdymą integruoja socialinę riziką. </w:t>
      </w:r>
    </w:p>
    <w:p w14:paraId="5E5092D5" w14:textId="77777777" w:rsidR="000F505C" w:rsidRPr="00D3422E"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Nuorodos į teisės aktus ir nurodymai</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Eilutės numeris</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Paaiškinimas</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Verslo strategija ir procesai</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a ir e punktais, įstaigos apibūdina, kaip į jų verslo modelį, strategiją ir procesus bei jų finansinį planavimą integruota su socialiniais veiksniais susijusi rizika (t. y. socialinė rizika) ir kaip ta rizika ilgainiui gali kisti dėl kintančių technologijų, politikos sistemos, verslo aplinkos ir suinteresuotųjų subjektų pageidavimų.</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Pagal Reglamento (ES) Nr. 575/2013 449a straipsnį kartu su to reglamento 435 straipsnio 1 dalies a punktu ir c–f punktais, įstaigos pateikia socialinės rizikos vertinimo ir valdymo tikslų, uždavinių ir ribų apibūdinimą, taip pat procesų, kuriuos jos naudoja tiems tikslams, uždaviniams ir riboms nustatyti, apibūdinimą.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Įstaigos paaiškina, kaip tie tikslai, uždaviniai ir ribos yra susiję su dabartine tarptautine ir Sąjungos politikos sistema ir esamais lyginamaisiais indeksais.</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Socialiniai aspektai apima žmogaus teisių pažeidimus, darbo teises, pajamų nelygybę, nepakankamą žmogaus teisių užtikrinimą, vartotojų saugą ir apsaugą, privatumą, skurdą ir nediskriminavimą. Be to, klimato kaita ir perėjimas prie mažo anglies dioksido kiekio technologijų ekonomikos daro socialinį poveikį, apimantį darbo rinkos pokyčius. Šie pokyčiai – tai, be kita ko, tam tikrų darbo vietų ir įgūdžių paklausos sumažėjimas, naujų darbo vietų ir įgūdžių atsiradimas, kintantys vartotojų prioritetai, akcininkų noras greitai integruoti su klimatu, aplinka ir socialiniais klausimais susijusius pokyčius savo įmonėse, kaip išdėstyta EBI ataskaitos, priimtos pagal Direktyvos 2013/36/ES 98 straipsnio 8 dalį, 78 punkte.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d punktu, įstaigos apibūdina, kaip jos imasi priemonių su socialiniais veiksniais susijusiai rizikai mažinti, be kita ko, išsiaiškina sandorio šalių gebėjimą valdyti socialinę riziką ir veda su jomis dialogą, kad sumažintų socialinę riziką.</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D3422E"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Valdymas</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b punktu ir 2 dalies a, b ir c punktais, įstaigos apibūdina, kaip jų valdymo organas dalyvauja prižiūrint ir valdant socialinę riziką. Toje informacijoje paaiškinamas valdymo organo vykdomos strategijos loginis pagrindas ir aptariami įvairūs socialiniai veiksniai. Tarp šių veiksnių – įstaigos įsipareigojimas bendruomenei ir visuomenei, jos santykiai su darbuotojais ir darbo standartų laikymasis, vartotojų apsauga ir atsakomybė už produktus, taip pat žmogaus teisės.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2 dalies a, b ir c punktais, įstaigos apibūdina, kaip jos organizuoja rizikos komitetų veiklą ir kaip paskirsto užduotis bei pareigas rizikos valdymo sistemoje, kad socialinė rizika būtų stebima ir valdoma.</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Įstaigos teikia informaciją ir apie savo vidaus, ir apie išorės išteklius, skirtus socialinei rizikai įvertinti.</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2 dalies e punktu, įstaigos apibūdina, kaip jos į savo vidinę pranešimų teikimo sistemą ir struktūrą įtraukia socialinę riziką, ir nurodo, kaip dažnai teikiami jų vidaus pranešimai ir keičiamasi informacija apie socialinę riziką.</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2 dalies e punktu, įstaigos teikia informaciją apie tai, ar socialinė rizika yra įtraukta į jų atlygio politiką, taip pat apie kriterijus bei parametrus, naudojamus nustatant socialinės rizikos veiksnių poveikį kintamajam atlygiui.</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D3422E"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Rizikos valdymas</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Pagal Reglamento (ES) Nr. 575/2013 449a straipsnį kartu su to reglamento 435 straipsnio 1 dalies a punktu, įstaigos teikia informaciją apie tai, kokius metodus, apibrėžtis ir standartus jos naudoja socialiniams veiksniams ir socialinei rizikai nustatyti ir valdyti, taip pat apie tai, kokia sistema grindžiami tie standartai, apibrėžtys ir metodai.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turi paaiškinti, kaip tie metodai, apibrėžtys ir standartai susiję su taikytina tarptautine ir Sąjungos politikos sistema ir esamais lyginamaisiais indeksais.</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1 dalies a punktu, įstaigos teikia informaciją apie procesą, kuriuo jos nustato ir stebi savo veiklą ir pozicijas, kurioms turi įtakos socialinė rizika, be kita ko, per jų sandorio šalis, investicinę arba turto valdymo veiklą, įskaitant bet kokį su ta veikla ir pozicijomis susijusį kilnojamąjį ir nekilnojamąjį turtą.</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teikia informaciją apie procesus, kuriais jos nustato ir stebi socialinę riziką, kuri yra finansiškai reikšminga arba šiuo metu nereikšminga, tačiau ateityje gali tapti reikšminga.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Tokia veikla, pozicijos ir turtas, jautrūs socialinės rizikos atžvilgiu, gali būti susiję su sandorio šalių padarytais darbo teisės, žmogaus teisių ar kitų socialinių įstatymų ar teisių pažeidimais, dėl kurių gali kilti teisinių ginčų. Konkrečiau, sektoriai, kuriems būdinga didesnė socialinė rizika, gali apimti sektorius, kuriuose dirba darbuotojai migrantai, mokamas mažas darbo užmokestis, yra blogi darbo standartai arba prastos darbo sąlygos, ir tai daro neigiamą poveikį bendruomenėms bei yra didesnė tikimybė, kad jie pateks į viešos ir politinės kontrolės akiratį.</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a punktu, įstaigos teikia informaciją apie socialinei rizikai sumažinti vykdomą veiklą, prisiimtus įsipareigojimus ir skirtą turtą.</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1 dalies a punktu, įstaigos teikia informaciją apie įgyvendinimo priemones, kurias jos naudoja socialinei rizikai nustatyti ir valdyti. Tokios priemonės apima scenarijų analizę, taikomą pozicijų lygmeniu, portfelio lygmeniu, sandorio šalies ar sektoriaus lygmeniu, ir jose nagrinėjami veiksniai, įskaitant migraciją, demografines tendencijas ir darbo jėgos bei technologinius pokyčius.</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Socialinė rizika taip pat gali apimti vartotojų elgesio pokyčius, su diskriminacija ir socialine įtrauktimi susijusius klausimus, taip pat su didėjančia nelygybe, klimato kaitos socialiniu poveikiu, prisitaikymu prie klimato kaitos ir (arba) jos švelninimu ir aplinkos būklės blogėjimu susijusių scenarijų analizę.</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pateikia informaciją apie prielaidas ir metodus, naudotus tokiai scenarijų analizei atlikti. Įstaigos nurodo socialinės rizikos vertinimo pagal apskaitos ir prudencinius parametrus laikotarpį, t. y. ar jis yra trumpalaikis, vidutinės trukmės ar ilgalaikis.</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1 dalies f punktu, įstaigos teikia informaciją apie finansavimo ribas, kurias jos nustato projektams ar sandorio šalims, darantiems reikšmingą žalą jų verslo strategijoje nustatytiems socialiniams tikslams.</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Tos ribos apima ribas, kurias įstaigos nustato inicijavimo ir stebėsenos metu, siekdamos išvengti socialinės rizikos arba ją sumažinti, ir ribas, rodančias, kada dėl konkrečios pozicijos reikėtų atlikti tolesnį tyrimą, perduoti klausimą spręsti aukštesniu įstaigos lygmeniu, imtis taisomųjų veiksmų arba poziciją pašalinti iš portfelio.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įstaigos pateikia informaciją apie būdus, kuriais jos atsiradusią socialinę riziką priskiria savo balanse ir susieja ją su kredito rizika, likvidumo rizika, rinkos rizika ir operacine rizika.</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turi teikti informaciją apie tai, kokiais būdais jos vertina ir valdo socialiniu aspektu svarbių žalingų įvykių poveikį prudencinės rizikos kategorijoms, įskaitant kredito riziką, likvidumo riziką, rinkos riziką ir operacinę riziką.</w:t>
            </w:r>
          </w:p>
        </w:tc>
      </w:tr>
    </w:tbl>
    <w:p w14:paraId="351DE992" w14:textId="77777777" w:rsidR="001F2096" w:rsidRPr="00D3422E"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3 lentelė. Kokybinė informacija apie valdymo riziką:</w:t>
      </w:r>
      <w:r>
        <w:rPr>
          <w:rFonts w:ascii="Times New Roman" w:hAnsi="Times New Roman"/>
          <w:noProof/>
          <w:sz w:val="24"/>
        </w:rPr>
        <w:t xml:space="preserve"> laisvos formos teksto laukeliai, skirti XXXVII priede nurodytai kokybinei informacijai atskleisti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Pildydamos šio reglamento XXXIX priede pateiktą 3 lentelę „Kokybinė informacija apie valdymo riziką“, įstaigos naudojasi toliau pateiktais nurodymais, kad pagal Reglamento (ES) Nr. 575/2013 449a straipsnį kartu su to reglamento 435 straipsniu apibūdintų, kaip jos į savo valdymą ir rizikos valdymą integruoja valdymo riziką.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Nuorodos į teisės aktus ir nurodymai</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Eilutės numeris</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Paaiškinimas</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Valdymas</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Pagal Reglamento (ES) Nr. 575/2013 449a straipsnį kartu su to reglamento 435 straipsnio 2 dalimi, įstaigos teikia informaciją apie būdus, kuriais jos į savo valdymo priemones integruoja sandorio šalies valdymo rezultatus.</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Aptartini sandorio šalies valdymo rezultatų aspektai apima būtinus sandorio šalies sprendimų priėmimo, priežiūros ir valdymo procesų etapus visais lygmenimis, įskaitant aukščiausiojo valdymo organo komitetus ir už sprendimų ekonomikos, aplinkos ir socialiniais klausimais priėmimą atsakingus komitetus.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Įstaigos paaiškina, kaip jos atsižvelgia į sandorio šalies aukščiausiojo valdymo organo vaidmenį nefinansinės informacijos atskleidimo procese, įskaitant aukščiausiąjį komitetą arba funkcinę poziciją, kurie oficialiai peržiūri ir tvirtina organizacijos tvarumo ataskaitą ir užtikrina, kad joje būtų aptartos visos reikšmingos temos.</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Pagal Reglamento (ES) Nr. 575/2013 449a straipsnį kartu su to reglamento 435 straipsnio 2 dalimi, įstaigos teikia informaciją apie tai, kaip jos į savo valdymo priemones integruoja savo sandorio šalies valdymo rezultatus.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Turi būti aptariami visi šie su įstaigos sandorio šalių valdymo rezultatais susiję aspektai:</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etikos aspektai, įskaitant elgesio sąžiningumą, vertybes ir etiką, kovos su kyšininkavimu ir su korupcija priemones, atskaitomybę ir įstatymo viršenybę;</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strategija ir rizikos valdymas, įskaitant strategijos įgyvendinimą, operacijų vykdymą ir stebėseną, vidaus kontrolės priemones ir rizikos valdymo politiką bei procedūras;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įtraukumas, įskaitant lyčių nelygybę ir mažumų grupėms priklausančių asmenų atstovavimą vadovybėje, pajamų skirtumas;</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skaidrumas, įskaitant informaciją apie diskriminaciją, mokestinius įsipareigojimus ir mokėjimus, informaciją apie lobistinę veiklą, taisykles bei praktiką;</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interesų konfliktų valdymas, įskaitant aukščiausiojo valdymo organo procesus, kuriais siekiama užtikrinti, kad interesų konfliktų būtų išvengta, jie būtų valdomi ir švelninami; taip pat</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vidaus komunikacija svarbiausiais klausimais, įskaitant tai, kaip veikia sandorio šalies vidaus procesas, kuriuo aukščiausiajam valdymo organui pranešama apie svarbiausius susirūpinimą keliančius klausimus.</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D3422E"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Rizikos valdymas</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Pagal Reglamento (ES) Nr. 575/2013 449a straipsnį kartu su to reglamento 435 straipsnio 1 dalimi, įstaigos teikia informaciją apie tai, kaip jos į savo valdymo priemones integruoja savo sandorio šalių valdymo rezultatus – tuo tikslu jos aptaria 3 eilutėje išvardytus aspektus.</w:t>
            </w:r>
          </w:p>
        </w:tc>
      </w:tr>
    </w:tbl>
    <w:p w14:paraId="55A0122A" w14:textId="77777777" w:rsidR="00C168F0" w:rsidRPr="00D3422E"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1 šablonas. Bankinė knyga. Galimos su klimato kaita susijusios pertvarkos rizikos rodikliai. </w:t>
      </w:r>
      <w:r>
        <w:rPr>
          <w:rFonts w:ascii="Times New Roman" w:hAnsi="Times New Roman"/>
          <w:noProof/>
          <w:sz w:val="24"/>
        </w:rPr>
        <w:t>Pozicijų kredito kokybė pagal sektorius, išmetamųjų teršalų kiekį ir likutinį terminą. Nustatytasis formatas</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Pildydamos šio reglamento XXXIX priede pateiktą 1 šabloną, įstaigos naudoja šiuos nurodymus, kad pateiktų informaciją apie pozicijas, susijusias su didesne rizika įstaigoms dėl perėjimo prie mažo anglies dioksido kiekio technologijų ir klimato kaitos poveikiui atsparios ekonomikos. Reglamento (ES) Nr. 575/2013 449a straipsnio taikymo tikslu:</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įstaigos atskleidžia informaciją apie savo pozicijas ne finansų bendrovių, veikiančių su anglies dioksidu susijusiuose sektoriuose, atžvilgiu ir apie tų pozicijų kokybę, įskaitant neveiksnias pozicijas, 2 etapo pozicijas ir susijusius atidėjinius, taip pat terminų intervalus;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įstaigos pradeda atskleisti informaciją (jei ji jau turima) apie savo sandorio šalių išmestą 1, 2 ir 3 lygio išmetamųjų teršalų kiekį, įskaitant kokybinę informaciją, pateikiamą prie šio šablono pridedamame aiškinamajame rašte, apie metodiką ir šaltinius, naudotus šiam išmetamųjų teršalų kiekiui apskaičiuoti. Jeigu įstaigos dar nevertina savo sandorio šalių išmetamųjų teršalų kiekio, susijusio su savo finansavimo veikla, įskaitant skolinimo ir investicinę veiklą, jos atskleidžia informaciją apie savo planus įgyvendinti metodikas šiems duomenims apskaičiuoti ir atskleisti. Įstaigos pradeda atskleisti į šio šablono i–k skiltis įtrauktą informaciją, kurios pirmoji atskleidimo ataskaitinė data yra 2024 m. birželio 30 d.</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Prie šablono pridedamame aiškinamajame rašte įstaigos paaiškina atskleistą informaciją ir pokyčius, palyginti su ankstesniais informacijos atskleidimo laikotarpiais, taip pat visas pasekmes, kurias tos pozicijos gali turėti įstaigoms kredito, rinkos, operacinės, reputacijos ir likvidumo rizikos atžvilgiu.</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į šablono eilutes įtraukia ne finansų bendrovėms suteiktų paskolų ir išankstinių mokėjimų, skolos vertybinių popierių ir nuosavybės priemonių, išskyrus laikomas prekybai, bendrą balansinę vertę išskirstydamos ją pagal ekonominės veiklos sektorius (remiantis pagrindine sandorio šalies veikla), naudodamos Europos Parlamento ir Tarybos reglamente (EB) Nr.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xml:space="preserve"> nustatytus ekonominės veiklos nomenklatūros (NACE) kodus. Jei pozicijos yra sektorių ir pasektorių, kurie labai prisideda prie klimato kaitos, atžvilgiu, jos nurodo ir tarpines sumas, iš kurių susidaro agreguota bendra balansinė vertė. Visų pirma turimi omenyje sektoriai, išvardyti Reglamento (EB) Nr. 1893/2006 I priedo A–H ir L sekcijose, įskaitant naftos, dujų, kasybos ir transporto sektorius, kurie labai prisideda prie klimato kaitos, kaip nurodyta Komisijos deleguotojo reglamento (ES) 2020/1818</w:t>
      </w:r>
      <w:r>
        <w:rPr>
          <w:rFonts w:ascii="Times New Roman" w:hAnsi="Times New Roman"/>
          <w:noProof/>
          <w:sz w:val="24"/>
          <w:vertAlign w:val="superscript"/>
        </w:rPr>
        <w:t>*12</w:t>
      </w:r>
      <w:r>
        <w:rPr>
          <w:rFonts w:ascii="Times New Roman" w:hAnsi="Times New Roman"/>
          <w:noProof/>
          <w:sz w:val="24"/>
        </w:rPr>
        <w:t xml:space="preserve"> 6 konstatuojamojoje dalyje; taip pat nurodoma pozicijų kitų toje konstatuojamojoje dalyje nepaminėtų sektorių atžvilgiu tarpinė suma.</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Sandorio šalis NACE sektoriui priskiriama pagal tiesioginės sandorio šalies pobūdį.</w:t>
      </w:r>
      <w:r>
        <w:rPr>
          <w:noProof/>
        </w:rPr>
        <w:t xml:space="preserve"> </w:t>
      </w:r>
      <w:r>
        <w:rPr>
          <w:rFonts w:ascii="Times New Roman" w:hAnsi="Times New Roman"/>
          <w:noProof/>
          <w:sz w:val="24"/>
        </w:rPr>
        <w:t>Kai įstaigos sandorio šalis yra kontroliuojančioji bendrovė, įstaigos atsižvelgia į konkretaus kontroliuojančiajai bendrovei priklausančio įsipareigojančiojo asmens (jei skiriasi nuo kontroliuojančiosios bendrovės), gaunančio finansavimą (t. y. konkrečios atitinkamos kontroliuojančiosios bendrovės patronuojamosios įmonės), NACE sektorių, o ne į kontroliuojančiosios bendrovės NACE sektorių, ypač tais atvejais, kai finansavimą gaunantis įsipareigojantysis asmuo yra ne finansų bendrovė. Panašiai, kai įstaigos tiesioginė sandorio šalis (įsipareigojantysis asmuo) yra specialiosios paskirties įmonė (SPĮ), įstaigos atskleidžia atitinkamą informaciją pagal NACE sektorių, siejamą su SPĮ patronuojančiosios bendrovės ekonomine veikla. Jungtinių pozicijų daugiau negu vieno įsipareigojančiojo asmens atžvilgiu klasifikacija grindžiama įsipareigojančiojo asmens, kuris minėtai įstaigai įgyjant minėtą poziciją buvo svarbesnis arba pagrindinis, ypatybėmis. Jungtinių pozicijų paskirstymas pagal NACE kodus turi būti grindžiamas svarbesnio ar pagrindinio įsipareigojančiojo asmens ypatybėmis. Įstaigos informaciją pagal NACE kodus atskleidžia tiek detaliai, kiek reikalaujama šablono eilutėse.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Nurodymai</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Visa bendra balansinė vertė</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Įstaigos atskleidžia bendrą savo pozicijų ne finansų bendrovių atžvilgiu balansinę vertę, nurodytą Įgyvendinimo reglamento (ES) 2021/451 V priedo 1 dalyje, įskaitant paskolas ir išankstinius mokėjimus, skolos vertybinius popierius ir nuosavybės priemones, kurie pagal tą įgyvendinimo reglamentą priskiriami prie bankinės knygos apskaitos portfelių, išskyrus prekybai laikomą finansinį turtą arba laikomą parduoti turtą.</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pozicijos įmonių, neįtrauktų į ES su Paryžiaus susitarimu suderintus lyginamuosius indeksus, atžvilgiu</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pozicijų sandorio šalių, kurios neįtrauktos į ES su Paryžiaus susitarimu suderintus lyginamuosius indeksus, atžvilgiu, kaip nurodyta Deleguotojo reglamento (ES) 2020/1818 12 straipsnio 1 dalies d–g punktuose ir 12 straipsnio 2 dalyje, bendrą balansinę vertę.</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aplinkos atžvilgiu tvarios pozicijos (KKŠ)</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Įstaigos atskleidžia informaciją apie pozicijas, kurios laikomos tvariomis aplinkos atžvilgiu, nes tai yra finansavimo veikla, kuria prisidedama prie aplinkos tikslo „klimato kaitos švelninimas“ (KKŠ) arba sudaromos sąlygos jį pasiekti, kaip nurodyta Reglamento (ES) 2020/852 10 ir 16 straipsniuose ir kaip atskleista šio reglamento XXXIX priedo 7 šablone.</w:t>
            </w:r>
          </w:p>
          <w:p w14:paraId="23994142" w14:textId="5131CDD3" w:rsidR="0089627B" w:rsidRPr="00E50FA4" w:rsidRDefault="00A45166" w:rsidP="008F66F5">
            <w:pPr>
              <w:pStyle w:val="Fait"/>
              <w:spacing w:after="120"/>
              <w:rPr>
                <w:noProof/>
              </w:rPr>
            </w:pPr>
            <w:r>
              <w:rPr>
                <w:noProof/>
              </w:rPr>
              <w:t xml:space="preserve">Tokią informaciją apie pozicijas, įtrauktas į ŽTR skaitiklį, įstaigos pradeda atskleisti 2024 m., o pirmoji informacijos atskleidimo ataskaitinė data yra 2023 m. gruodžio 31 d. </w:t>
            </w:r>
          </w:p>
          <w:p w14:paraId="01E906E3" w14:textId="7EB1E559" w:rsidR="00C97892" w:rsidRPr="00E50FA4" w:rsidRDefault="008F66F5" w:rsidP="002A2C5B">
            <w:pPr>
              <w:pStyle w:val="Fait"/>
              <w:spacing w:after="120"/>
              <w:rPr>
                <w:noProof/>
              </w:rPr>
            </w:pPr>
            <w:r>
              <w:rPr>
                <w:noProof/>
              </w:rPr>
              <w:t>Tokią informaciją apie pozicijas, įtrauktas į BATR skaitiklį, bet ne į ŽTR skaitiklį, įstaigos pradeda atskleisti 2025 m., o pirmoji informacijos atskleidimo ataskaitinė data yra 2024 m. gruodžio 31 d.</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2 etapo pozicijos</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Tarptautinius finansinės atskaitomybės standartus (TFAS) taikančios įstaigos 2 etapo priemonių bendrą balansinę vertę atskleidžia pagal 9-uosius TFAS.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Skilčių „Iš jų: 2 etapo pozicijos“ nepildo įstaigos, taikančios Tarybos direktyva 86/635/EEB</w:t>
            </w:r>
            <w:r>
              <w:rPr>
                <w:rFonts w:ascii="Times New Roman" w:hAnsi="Times New Roman"/>
                <w:noProof/>
                <w:sz w:val="24"/>
                <w:vertAlign w:val="superscript"/>
              </w:rPr>
              <w:t xml:space="preserve">*13 </w:t>
            </w:r>
            <w:r>
              <w:rPr>
                <w:rFonts w:ascii="Times New Roman" w:hAnsi="Times New Roman"/>
                <w:noProof/>
                <w:sz w:val="24"/>
              </w:rPr>
              <w:t xml:space="preserve"> pagrįstus nacionalinius visuotinai pripažintus apskaitos principus.</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neveiksnios pozicijos</w:t>
            </w:r>
          </w:p>
          <w:p w14:paraId="0B42204B" w14:textId="34BBDECA" w:rsidR="00921167" w:rsidRPr="00E50FA4" w:rsidRDefault="00750A24" w:rsidP="005720C9">
            <w:pPr>
              <w:pStyle w:val="Fait"/>
              <w:spacing w:before="0" w:after="120"/>
              <w:rPr>
                <w:b/>
                <w:noProof/>
                <w:u w:val="single"/>
              </w:rPr>
            </w:pPr>
            <w:r>
              <w:rPr>
                <w:noProof/>
              </w:rPr>
              <w:t>Įstaigos atskleidžia neveiksnias pozicijas, apibrėžtas Reglamento (ES) Nr. 575/2013 47a straipsnio 3 dalyje.</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Sukauptas vertės sumažėjimas, sukaupti neigiami tikrosios vertės pokyčiai dėl kredito rizikos ir atidėjiniai</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sumas, nurodytas Įgyvendinimo reglamento (ES) 2021/451 V priedo 2 dalies 11, 69, 70, 71, 106 ir 110 punktuose.</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2 etapo pozicijos</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sukauptą 2 etapo pozicijų vertės sumažėjimo sumą.</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TFAS taikančios įstaigos 2 etapo priemonių bendrą balansinę vertę atskleidžia pagal 9-uosius TFAS.</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Skilčių „Iš jų: 2 etapo pozicijos“ nepildo įstaigos, taikančios Direktyva 86/635/EEB pagrįstus nacionalinius visuotinai pripažintus apskaitos principus.</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neveiksnios pozicijos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Įstaigos atskleidžia neveiksnias pozicijas, nurodytas Reglamento (ES) Nr. 575/2013 47a straipsnio 3 dalyje.</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Su finansuojama veikla siejamas išmetamas ŠESD kiekis (sandorio šalies 1, 2 ir 3 lygio išmetamieji teršalai) (tonomis CO2 ekvivalento)</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Jei įstaigos turi informacijos, i skiltyje jos taip pat nurodo savo 3 lygio išmetamo ŠESD kiekio, išreikšto CO2 tonomis (tCO2), įverčius. Atskleistina informacija apie visus sektorius ir jų pasektorius, kurie labai prisideda prie klimato kaitos, įskaitant naftos, dujų, kasybos ir transporto sektorius, kurie nurodyti Deleguotojo reglamento (ES) 2020/1818 6 konstatuojamojoje dalyje ir įtraukti į šablono 2–52 eilutes.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3 lygio išmetamųjų teršalų kiekį įstaigos apskaičiuoja remdamosi iš savo sandorio šalių gauta informacija ir informacija apie sektoriaus vidutinį išmetamųjų teršalų intensyvumą. Tarp metodų įmonių išmetamam anglies dioksido kiekiui apskaičiuoti paminėtinas Visuotinis ŠESD apskaitos ir atskaitomybės standartas finansų sektoriui (angl. „Global GHG Accounting and Reporting Standard for the Financial Industry“), kurį parengė organizacija „Partnership for Carbon Accounting Financials“</w:t>
            </w:r>
            <w:r>
              <w:rPr>
                <w:rFonts w:ascii="Times New Roman" w:hAnsi="Times New Roman"/>
                <w:noProof/>
                <w:sz w:val="24"/>
                <w:vertAlign w:val="superscript"/>
              </w:rPr>
              <w:t>*14</w:t>
            </w:r>
            <w:r>
              <w:rPr>
                <w:rFonts w:ascii="Times New Roman" w:hAnsi="Times New Roman"/>
                <w:noProof/>
                <w:sz w:val="24"/>
              </w:rPr>
              <w:t xml:space="preserve"> (angl. santrumpa PCAF, ypač svarbi TCFD), ir išmetamam anglies dioksido kiekiui atskleisti skirtas projektas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3 lygio išmetamųjų teršalų kiekį įstaigos apskaičiuoja proporcingai pagal sektorius, be kita ko, palygindamos savo pozicijas sandorio šalies atžvilgiu (paskolas ir išankstinius mokėjimus, skolos vertybinius popierius ir akcinio kapitalo dalis) su sandorio šalies įsipareigojimais (balansiniais įsipareigojimais ir nuosavu kapitalu)</w:t>
            </w:r>
            <w:bookmarkEnd w:id="12"/>
            <w:r>
              <w:rPr>
                <w:rFonts w:ascii="Times New Roman" w:hAnsi="Times New Roman"/>
                <w:noProof/>
                <w:sz w:val="24"/>
              </w:rPr>
              <w:t>.</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Prie šablono pridedamoje aiškinamojoje dalyje įstaigos išsamiai paaiškina, kokiais duomenų šaltiniais jos naudojosi ir kokias metodikas taikė savo 3 lygio išmetamųjų ŠESD kiekiui apskaičiuoti. Visų pirma įstaigos paaiškina, ar jos atskleidžia kurį nors iš šių dalykų:</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ataskaitoje pateiktą išmestą ŠESD kiekį (išmesto ŠESD kiekio duomenys surenkami tiesiogiai iš skolininko arba bendrovės, į kurią investuojama);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fizine veikla grindžiamą išmestą ŠESD kiekį (išmestą ŠESD kiekį apskaičiuoja ataskaitą teikianti finansų įstaiga, remdamasi iš skolininko arba bendrovės, į kurią investuojama, surinktais pirminės fizinės veiklos duomenimis);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ekonomine veikla grindžiamą išmestą ŠESD kiekį (išmestą ŠESD kiekį apskaičiuoja ataskaitą teikianti finansų įstaiga, remdamasi iš skolininko arba bendrovės, į kurią investuojama, surinktais ekonominės veiklos duomenimis).</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Jeigu įstaigos dar nevertina savo sandorio šalių išmetamo ŠESD kiekio, susijusio su savo finansavimo veikla, įskaitant skolinimo ir investicinę veiklą, jos atskleidžia informaciją apie savo planus įdiegti tokios informacijos apskaičiavimo metodus. Įstaigos pradeda atskleisti į šio šablono i, j ir k skiltis įtrauktą informaciją, kurios pirmoji atskleidimo ataskaitinė data yra 2024 m. birželio 30 d.</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Įstaigos gali nuspręsti šią informaciją pradėti atskleisti anksčiau, t. y. kad pirma informacijos atskleidimo ataskaitinė data būtų 2022 m. gruodžio 31 d.</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 su finansuojama veikla siejami 3 lygio išmetamieji teršalai</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Įstaigos atskleidžia su savo skolinimo ir investicine veikla susijusį savo sandorio šalių 3 lygio išmetamųjų teršalų kiekį. Jeigu įstaigos dar nevertina jų 3 lygio išmetamųjų teršalų kiekio, j skiltį jos palieka tuščią, o prie šablono pridedamoje aiškinamojoje dalyje atskleidžia savo planus įdiegti tos informacijos apskaičiavimo ir atskleidimo metodus.</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Įstaigos 3 lygio išmetamųjų teršalų kiekį atskleidžia dėdamos visas pastangas, įtraukdamos svarbiausius sektorius pagal PCAF metodą ir laikydamosi Deleguotojo reglamento (ES) 2020/1818 5 straipsnyje nurodyto laipsniško 3 lygio išmetamųjų teršalų kiekio duomenų įtraukimo metodo.</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Informaciją apie sandorio šalies 3 lygio išmetamųjų teršalų kiekį įstaigos atskleidžia pagal visus šablone nurodytus sektorius, o pirmoji ataskaitinė data yra</w:t>
            </w:r>
            <w:r>
              <w:rPr>
                <w:rFonts w:ascii="Times New Roman" w:hAnsi="Times New Roman"/>
                <w:noProof/>
                <w:sz w:val="24"/>
              </w:rPr>
              <w:t xml:space="preserve"> 2024 m. birželio 30 d.</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Sektorių, dėl kurių kyla duomenų ir metodinių problemų, atveju įstaigos laikosi Šiltnamio efektą sukeliančių dujų protokolo ir jo 15 etapų tiek dėl sektoriaus pradinių, tiek dėl tolesnių grandžių.</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Laikydamosi TCFD gairių dėl parametrų ir tikslų, įstaigos turi skaidriai informuoti apie tokio tipo informacijos rinkimo sunkumus ir kiek įmanydamos vengti dvigubo skaičiavimo.</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Įstaigos pradeda atskleisti į šio šablono j skiltį įtrauktą informaciją, kurios pirmoji atskleidimo ataskaitinė data yra 2024 m. birželio 30 d.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Įstaigos gali nuspręsti šią informaciją pradėti atskleisti anksčiau, t. y. kad pirma informacijos atskleidimo ataskaitinė data būtų 2022 m. gruodžio 31 d.</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Išmetamas ŠESD kiekis (i skiltis): portfelio bendros balansinės vertės procentinė dalis, gauta iš konkrečios įmonės ataskaitų</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nurodo portfelio procentinę dalį (pozicijų bendrą balansinę vertę), su kuria susijusius savo sandorio šalių 1, 2 ir 3 lygio išmetamųjų teršalų kiekius, susijusius su savo skolinimo ir investavimo veikla, jos galėjo nustatyti remdamosi sandorio šalių atskleista arba įstaigai dvišaliu pagrindu pateikta informacija.</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metai; &gt; 5 metai &lt;= 10 metų; &gt; 10 metų &lt;= 20 metų; &gt; 20 metų; Vidutinis svertinis terminas</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Įstaigos priskiria pozicijas prie atitinkamo terminų intervalo pagal finansinės priemonės likutinį terminą, atsižvelgdamos į šiuos dalykus:</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jei suma grąžinama dalimis, pozicija priskiriama prie paskutinės dalies terminų intervalo;</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jei pozicijos terminas nenurodytas dėl kitų priežasčių nei ta, kad sandorio šalis gali pasirinkti paskolos grąžinimo datą, taip pat akcinio kapitalo atveju šios pozicijos suma atskleidžiama nurodant didžiausią terminų intervalą – „&gt; 20 metų“;</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apskaičiuodamos vidutinį pozicijų terminą, įstaigos kiekvienos pozicijos terminą įvertina pagal pozicijų bendrą balansinę vertę.</w:t>
            </w:r>
          </w:p>
        </w:tc>
      </w:tr>
    </w:tbl>
    <w:p w14:paraId="7F25982B" w14:textId="77777777" w:rsidR="009461DC" w:rsidRPr="00D3422E"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2 šablonas. Bankinė knyga. Galimos su klimato kaita susijusios pertvarkos rizikos rodikliai. Paskolos, užtikrintos nekilnojamuoju turtu. Užtikrinimo priemonės energijos vartojimo efektyvumas. Nustatytasis formatas.</w:t>
      </w:r>
    </w:p>
    <w:p w14:paraId="52DE4877" w14:textId="77777777" w:rsidR="00B63904" w:rsidRPr="00D3422E" w:rsidRDefault="00B63904" w:rsidP="00D35812">
      <w:pPr>
        <w:spacing w:before="120" w:after="120"/>
        <w:jc w:val="both"/>
        <w:rPr>
          <w:rFonts w:ascii="Times New Roman" w:hAnsi="Times New Roman" w:cs="Times New Roman"/>
          <w:b/>
          <w:noProof/>
          <w:sz w:val="24"/>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Įstaigos naudojasi toliau pateikiamais nurodymais atskleisdamos informaciją, kurios reikalaujama „2 šablone. Bankinė knyga. Galimos su klimato kaita susijusios pertvarkos rizikos rodikliai. Paskolos, užtikrintos nekilnojamuoju turtu. Užtikrinimo priemonės energijos vartojimo efektyvumas“, pateikiamame šio reglamento XXXIX priede.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Europos Parlamento ir Tarybos direktyva 2010/31/ES</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ir Europos Parlamento ir Tarybos direktyva 2012/27/ES</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skatinama vykdyti tokią politiką, kad pastatų ūkis iki 2050 m. taptų labai našus energijos vartojimo atžvilgiu ir nepriklausomas nuo iškastinio kuro. Direktyva 2010/31/ES įvesti energinio naudingumo sertifikatai (ENS) yra pastatų energinio naudingumo didinimo priemonės. Tie sertifikatai – tai valstybės narės arba jos paskirto juridinio asmens pripažinti sertifikatai, kuriuose nurodomas pastato ar pastato vieneto energinis naudingumas, apskaičiuotas pagal tą direktyvą.</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Šiame šablone nurodoma komercinės ir gyvenamosios paskirties nekilnojamuoju turtu užtikrintų paskolų ir perimtų užtikrinimo priemonių, kurios yra nekilnojamasis turtas, bendra balansinė vertė, kaip nurodyta Įgyvendinimo reglamento (ES) 2021/451 V priedo 1 dalyje, įskaitant informaciją apie užtikrinimo priemonių energijos vartojimo efektyvumą, matuojamą pagal kWh/m² suvartojamos energijos (šablono b–g skiltys) arba nustatomą pagal užtikrinimo priemonės energinio naudingumo sertifikato (ENS) klasę, kaip nurodyta Direktyvos 2010/31/ES 2 straipsnio 12 punkte valstybių narių atveju, arba nurodytą atitinkamuose vietos teisės aktuose dėl tų pozicijų už Sąjungos ribų, jei jie susieti su Sąjungos energinio naudingumo sertifikatais (h–n skiltys).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Konkrečiai, b–g skiltyse įstaigos atskleidžia pozicijų bendrą balansinę vertę pagal energinio naudingumo klasių grupes, grindžiamas savituoju užtikrinimo priemonės suvartojamos energijos kiekiu (kWh/m</w:t>
      </w:r>
      <w:r>
        <w:rPr>
          <w:rFonts w:ascii="Times New Roman" w:hAnsi="Times New Roman"/>
          <w:noProof/>
          <w:sz w:val="24"/>
          <w:vertAlign w:val="superscript"/>
        </w:rPr>
        <w:t>2</w:t>
      </w:r>
      <w:r>
        <w:rPr>
          <w:rFonts w:ascii="Times New Roman" w:hAnsi="Times New Roman"/>
          <w:noProof/>
          <w:sz w:val="24"/>
        </w:rPr>
        <w:t xml:space="preserve">), nurodytu užtikrinimo priemonės energinio naudingumo sertifikate arba, jei ENS nėra, apskaičiuotu pačios įstaigos. Šablono 5 ir 10 eilutėse įstaigos nurodo, kokiu mastu tie duomenys yra apskaičiuoti, o ne pagrįsti ENS. Tai atvejais, kai įstaigoms yra prieinama užtikrinimo priemonių ENS informacija, jos šablono h–n skiltyse atskleidžia pozicijų bendrą balansinę vertę, sugrupuodamos pagal užtikrinimo priemonės ENS klases.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Atskleisdamos užtikrinimo priemonių pasiskirstymą pagal ENS, atskirai o skiltyje įstaigos atskleidžia tas pozicijas, su kuriomis susijusių užtikrinimo priemonių ENS informacijos jos neturi. Jei įstaigos ENS informacijos neturi, tačiau naudoja vidinius skaičiavimus užtikrinimo priemonės energijos vartojimo efektyvumui apskaičiuoti, įstaigos turi atskleisti, kokia yra procentinė dalis pozicijų, su kuriomis susijusios užtikrinimo priemonės ENS informacijos jos neturi ir vietoj jos pateikia įverčius (procentinė dalis apskaičiuojama pagal pozicijų bendrą balansinę vertę). Įstaigos atskleidžia visą bendrą balansinę vertę pagal energijos suvartojimo lygį ir pagal ENS klasę, diferencijuodamos pagal geografinę vietą (Sąjungos ar ne Sąjungos teritorija) ir pagal tai, kurios paskolos užtikrintos komercinės paskirties nekilnojamuoju turtu, kurios – gyvenamosios paskirties nekilnojamuoju turtu, o kurių užtikrinimo priemonė perimta realizuojant nuosavybės teisę.</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Jei pozicijos yra subjektų, esančių trečiosiose valstybėse, kuriose ENS ekvivalento nėra, atžvilgiu, įstaigos h–n skiltis palieka tuščias. Tačiau o ir p skiltyse ir, kai taikoma, b–g skiltyse reikalaujamą informaciją įstaigos atskleidžia įrašydamos apskaičiuotus duomenis.</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Jei pozicijos siejamos su daugiau nei viena užtikrinimo priemone, kaip antai dviem nekilnojamojo turto objektais, informacija apie tų su pozicija susijusių nekilnojamojo turto objektų energijos vartojimo efektyvumą išskaidoma ir atskleidžiama atskirai pagal energijos vartojimo efektyvumo lygius (nurodomas tiek kiekvienos užtikrinimo priemonės energijos vartojimo efektyvumas KWh/m² (b–g skiltys), tiek jos ENS informacija (h–n skiltys)). Konkrečiau, įstaigos pagal užtikrinimo priemonės vertę apskaičiuoja, kokią pozicijos bendros balansinės vertės procentinę dalį sudaro kiekviena užtikrinimo priemonė, ir atskleidžia ją su kiekviena užtikrinimo priemone susijusioje energinio naudingumo klasių grupėje. Pavyzdžiui, įstaiga turi 100 000 EUR bendros balansinės vertės paskolą, užtikrintą dviem nekilnojamojo turto objektais: NT objektu A ir NT objektu B. NT objekto A užtikrinimo priemonės vertė yra 80 000 EUR ir jo ENS klasė yra A, NT objekto B užtikrinimo priemonės vertė – 70 000 EUR ir ENS klasė D. Tokiu atveju įstaigos turėtų nurodyti, kad aptariamos paskolos 53 333 EUR (t. y. 100 000 EUR * [80 000 / (80 000 + 70 000)] vertės užtikrinimo priemonė sietina su ENS A klase ir 46 667 EUR (t. y. 100 000 EUR * [70 000 / (80 000 + 70 000)] vertės užtikrinimo priemonė sietina su ENS D klase.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3 šablonas. Bankinė knyga. Galimos su klimato kaita susijusios pertvarkos rizikos rodikliai. Suderinimo parametrai</w:t>
      </w:r>
      <w:r>
        <w:rPr>
          <w:rFonts w:ascii="Times New Roman" w:hAnsi="Times New Roman"/>
          <w:noProof/>
          <w:sz w:val="24"/>
        </w:rPr>
        <w:t>. Lankstus formatas (fiksuotos skiltys, lanksčios eilutės).</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Įstaigos naudojasi toliau pateikiamais nurodymais atskleisdamos informaciją, kurios reikalaujama „3 šablone. Bankinė knyga. Galimos su klimato kaita susijusios pertvarkos rizikos rodikliai. Suderinimo parametrai“, pateikiamame šio reglamento XXXIX priede.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Šiame šablone įstaigos atskleidžia informaciją apie savo pastangas tam tikrų sektorių veiklą suderinti su Paryžiaus susitarimo tikslais. Atskleidžiant informaciją apie suderinimą nurodoma, kokiu mastu finansiniai srautai yra suderinami su Paryžiaus susitarime nustatytu mažo išmetamo šiltnamio efektą sukeliančių dujų kiekio ir klimato kaitos poveikiui atsparaus vystymosi scenarijumi. Ekonominis scenarijus, kuriame apibūdinama priklausomybės nuo iškastinio kuro mažinimo trajektorija, – tai Tarptautinės energetikos agentūros (TEA) grynojo nulinio išmetamųjų teršalų kiekio iki 2050 m. scenarijus (NZE2050)</w:t>
      </w:r>
      <w:r>
        <w:rPr>
          <w:rFonts w:ascii="Times New Roman" w:hAnsi="Times New Roman"/>
          <w:noProof/>
          <w:sz w:val="24"/>
          <w:vertAlign w:val="superscript"/>
        </w:rPr>
        <w:t>*18</w:t>
      </w:r>
      <w:r>
        <w:rPr>
          <w:rFonts w:ascii="Times New Roman" w:hAnsi="Times New Roman"/>
          <w:noProof/>
          <w:sz w:val="24"/>
        </w:rPr>
        <w:t xml:space="preserve">. Įstaigos turi atsižvelgti į tą scenarijų. Kadangi TEA teikia pasaulinio lygmens scenarijus ir kai kuriuos konkrečius Europos lygmens parametrus, įstaigos turi įvertinti atotrūkį nuo pasaulinių TEA scenarijų lyginamųjų indeksų ir, jei yra konkrečių Europos lygmens parametrų, nuo Europos lygmens parametrų.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kurios jau vertina informaciją apie savo sektorinį suderinimą su Paryžiaus susitarimu, atskleidžia informaciją šiame šablone. Prie šablono pridedamoje aiškinamojoje dalyje įstaigos turi paaiškinti taikytą metodą ir duomenų šaltinį. Tos įstaigos, kurios dar nevertina savo sektorinio suderinimo, atskleidžia informaciją apie savo planus įgyvendinti tos informacijos įvertinimo ir atskleidimo metodą. Bet kuriuo atveju įstaigos pradeda atskleisti į šį šabloną įtrauktą informaciją, kurios pirmoji atskleidimo ataskaitinė data yra 2024 m. birželio 30 d.</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Informacija, kurią įstaigos atskleidžia šiame šablone:</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 ir b skiltys: a skilties 1–8 eilutėse pateikiamas privalomas minimalus sektorių (TEA sektorių) sąrašas, o b skiltyje – pasektoriai (NACE sektoriai, atitinkantys minimalų NACE sektorių, į kuriuos reikėtų atsižvelgti, sąrašą, pateikiamą šablone).</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Jei įstaigos sandorio šalis yra kontroliuojančioji bendrovė, įstaiga atsižvelgia į konkretaus kontroliuojančiajai bendrovei priklausančio įsipareigojančiojo asmens (jei skiriasi nuo kontroliuojančiosios bendrovės), gaunančio finansavimą, NACE sektorių, o ne į kontroliuojančiosios bendrovės NACE sektorių, ypač tais atvejais, kai įsipareigojantysis asmuo yra ne finansų bendrovė. Panašiai, kai įstaigos tiesioginė sandorio šalis (įsipareigojantysis asmuo) yra specialiosios paskirties įmonė (SPĮ), įstaigos atskleidžia atitinkamą informaciją pagal NACE sektorių, siejamą su SPĮ patronuojančiosios bendrovės ekonomine veikla.</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Jungtinių pozicijų daugiau negu vieno įsipareigojančiojo asmens atžvilgiu klasifikacija grindžiama įsipareigojančiojo asmens, kuris minėtai įstaigai įgyjant minėtą poziciją buvo svarbesnis arba pagrindinis, ypatybėmis. Įstaigos informaciją pagal NACE kodus atskleidžia tiek detaliai, kiek reikalaujama b skiltyje;</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 skiltis: bendra pozicijų ne finansų bendrovių atžvilgiu balansinė vertė, apibrėžta Įgyvendinimo reglamento (ES) 2021/451 V priedo 1 dalyje, kiekviename iš a ir b skiltyse nurodytų sektorių, įskaitant paskolas ir išankstinius mokėjimus, skolos vertybinius popierius ir nuosavybės priemones, kurie pagal tą įgyvendinimo reglamentą priskiriami prie bankinės knygos apskaitos portfelių, išskyrus prekybai laikomą finansinį turtą arba laikomą parduoti turtą;</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d ir e skiltys: įstaigos taikomi suderinimo parametrai ir artimiausi kiekvieno sektoriaus suderinimo parametrų ataskaitiniai metai. Įstaigos naudoja suderinimo parametrus, kuriuos galima palyginti su Grynojo nulinio išmetamųjų teršalų kiekio iki 2050 m. scenarijaus parametrais (NZE2050). Įstaigos turi užtikrinti, kad parametrai leistų išsamiai atskleisti jų finansuojamus gamybos pajėgumus ir apimtų visą atitinkamą daug anglies dioksido išskiriančią finansuojamą veiklą. Šablone pateikiama keletas parametrų pavyzdžių. Apie kiekvieną su jų finansuojama veikla susijusį sektorių įstaigos turi atskleisti po kelis parametrus. Tarp jų turi būti išmetamųjų teršalų intensyvumo parametrai, technologijų deriniu grindžiami parametrai ir gamyba grindžiami parametrai. Įstaigos turi remtis su finansinėmis priemonėmis susijusio pagrindinio turto ir veiklos vertinimu.</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Jei pajamų panaudojimas žinomas, vertė nurodoma atitinkamo sektoriaus suderinimo parametro laukelyje. Jei su paskola susijusių pajamų panaudojimas nežinomas, pozicijos bendra balansinė vertė priskiriama atitinkamiems sektoriams ir suderinimo parametrams remiantis sandorio šalies veiklos pasiskirstymu, įskaitant pagal sandorio šalių apyvartą pagal veiklos rūšis.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Įstaigos šablone įterpia po eilutę, skirtą kiekvienam aktualiam b skiltyje nurodytų sektorių ir d skiltyje atskleidžiamų jo suderinimo parametrų deriniui;</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f skiltis: pateikiamas procentiniais punktais išreikštas d skiltyje nurodytų parametrų laiko atotrūkis iki 2030 m. duomenų taškų pagal Grynojo nulinio išmetamųjų teršalų kiekio iki 2050 m. scenarijų (NZE2050). Tas atotrūkis turi parodyti dabartinį suderinimo mastą su minėto scenarijaus 2030 m. rodikliu ir jis išreiškiamas kaip d skiltyje nurodyto rodiklio ir TEA scenarijaus prognozės 2030 m. skirtumas, padalytas iš scenarijaus lyginamojo indekso rodiklio ir perskaičiuotas į procentinę dalį.</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Atitinkamą informaciją ir sektoriams taikytinus scenarijaus rodiklius 2030 metams įstaigos gali rasti TEA interneto svetainėje. Ypač įstaigos turėtų naudotis leidiniu „Net Zero by 2050 – A Roadmap for the Global Energy Sector“, kurį kasmet skelbia TEA</w:t>
      </w:r>
      <w:r>
        <w:rPr>
          <w:rFonts w:ascii="Times New Roman" w:hAnsi="Times New Roman"/>
          <w:noProof/>
          <w:sz w:val="24"/>
          <w:vertAlign w:val="superscript"/>
        </w:rPr>
        <w:t>*19</w:t>
      </w:r>
      <w:r>
        <w:rPr>
          <w:rFonts w:ascii="Times New Roman" w:hAnsi="Times New Roman"/>
          <w:noProof/>
          <w:sz w:val="24"/>
        </w:rPr>
        <w:t>. Konkrečius duomenų taškus ir rodiklius galima atsisiųsti iš „Excel“ lentelės, įtrauktos į Tarptautinės energetikos agentūros parengtą Grynojo nulinio išmetamųjų teršalų kiekio iki 2050 m. scenarijų.</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Laikoma, kad su pozicijomis siejama pagrindinė veikla yra suderinta, jei rodiklio lygis yra žemesnis už lyginamojo indekso lygį su mažinimu susijusių lyginamųjų indeksų atveju (daug anglies dioksido išskiriančios veiklos atveju) arba aukštesnis su didinimu susijusių lyginamųjų indeksų atveju (mažai anglies dioksido išmetančios veiklos atveju);</w:t>
      </w:r>
    </w:p>
    <w:p w14:paraId="7EA8B62F" w14:textId="77777777" w:rsidR="008C29E1" w:rsidRPr="00D3422E"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g skiltis: nurodomas įstaigos 3 metų tikslinis rodiklis po e skiltyje nurodytų ataskaitinių metų ir d skiltyje nurodyto suderinimo parametro. G skiltyje nurodoma portfelio suderinimo trajektorija ir tikslai, kuriuos įstaigos planuoja pasiekti, kad ilguoju laikotarpiu nenukryptų nuo TEA scenarijaus.</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4 šablonas. Bankinė knyga. Galimos su klimato kaita susijusios pertvarkos rizikos rodikliai. Pozicijos 20-ies daugiausiai anglies dioksido išskiriančių bendrovių atžvilgiu</w:t>
      </w:r>
      <w:r>
        <w:rPr>
          <w:rFonts w:ascii="Times New Roman" w:hAnsi="Times New Roman"/>
          <w:noProof/>
          <w:sz w:val="24"/>
        </w:rPr>
        <w:t xml:space="preserve">. </w:t>
      </w:r>
      <w:r>
        <w:rPr>
          <w:rFonts w:ascii="Times New Roman" w:hAnsi="Times New Roman"/>
          <w:b/>
          <w:noProof/>
          <w:sz w:val="24"/>
        </w:rPr>
        <w:t>Nustatytasis formatas</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Įstaigos naudojasi toliau pateikiamais nurodymais atskleisdamos informaciją, kurios reikalaujama „4 šablone. Bankinė knyga. Galimos su klimato kaita susijusios pertvarkos rizikos rodikliai. Pozicijos 20-ies daugiausiai anglies dioksido išskiriančių bendrovių atžvilgiu“, pateikiamame šio reglamento XXXIX priede.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Šiame šablone įstaigos atskleidžia agreguotą informaciją apie pozicijas daugiausia pasaulyje anglies dioksido išskiriančių sandorio šalių atžvilgiu. Jos įtraukia agreguotą ir nuasmenintą informaciją apie bendrą pozicijų ne daugiau kaip 20-ies sandorio šalių, esančių tarp 20-ies daugiausiai anglies dioksido išskiriančių bendrovių pasaulyje, atžvilgiu balansinę vertę. Informacija grindžiama viešai prieinama patikima ir tikslia informacija. Duomenų šaltinių, kuriais remiantis galima nustatyti daugiausia anglies dioksido išskiriančias bendroves, pavyzdžiai yra duomenų bazė „Carbon Majors Database“, „Carbon Disclosure Project“ ir „Climate Accountability Institute“ ataskaitos, taip pat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Prie atskleidžiamos informacijos pridedamame aiškinamajame rašte įstaigos atskleidžia naudojamų duomenų šaltinį. Jeigu įstaigos negali nustatyti pozicijų 20-ies daugiausiai pasaulyje anglies dioksido išskiriančių bendrovių atžvilgiu, jos paaiškina, kodėl jos nenurodė tokių pozicijų, įskaitant tai, kad jos neturi pozicijų 20-ies daugiausiai pasaulyje anglies dioksido išskiriančių bendrovių atžvilgiu. </w:t>
      </w:r>
    </w:p>
    <w:p w14:paraId="64FADC03" w14:textId="77777777" w:rsidR="0076092D" w:rsidRPr="00D3422E"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D3422E"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Skiltis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Nurodymai</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Bendra balansinė vertė (agreguota)</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Terminas „bendra balansinė vertė“ vartojamas Įgyvendinimo reglamento (ES) 2021/451 V priedo 1 dalyje nurodyta reikšme. Ji apima paskolas ir išankstinius mokėjimus, skolos vertybinius popierius ir nuosavybės priemones, kurie pagal tą įgyvendinimo reglamentą priskiriami prie bankinės knygos apskaitos portfelių, išskyrus prekybai laikomą finansinį turtą arba  laikomą parduoti turtą.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Įstaigos įtraukia agreguotas pozicijas, susijusias su ne daugiau kaip 20-čia sandorio šalių, esančių tarp 20-ties daugiausiai pasaulyje anglies dioksido išskiriančių bendrovių.</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Bendra balansinė vertė bendrovės atžvilgiu, palyginti su visa bendra balansine verte (agreguota)</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Įstaigos atskleidžia procentinę dalį, gautą a skiltyje nurodytą agreguotą bendrą balansinę vertę padalijus iš įstaigos pozicijų visos bendros balansinės vertės bankinėje knygoje, kaip nurodyta Įgyvendinimo reglamento (ES) 2021/451 V priedo 1 dalyje, įskaitant paskolas ir  išankstinius mokėjimus, skolos vertybinius popierius ir nuosavybės priemones bankinėje knygoje, kurie pagal tą įgyvendinimo reglamentą priskiriami prie bankinės knygos apskaitos portfelių, išskyrus prekybai laikomą finansinį turtą arba laikomą parduoti turtą.</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Iš jų: aplinkos atžvilgiu tvarios pozicijos (KKŠ)</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aplinkos atžvilgiu tvarių pozicijų, kuriomis prisidedama prie klimato kaitos švelninimo tikslo, agreguotą bendrą balansinę vertę. Ta suma grindžiama finansuojamos veiklos tikslu specialiosios paskirties skolinimo atveju arba sandorio šalies informacija apie jos ekonominės veiklos atitikties Reglamentui (ES) 2020/852 lygį klimato kaitos švelninimo tikslo atveju (apyvartos, kuria svariai prisidedama prie klimato kaitos švelninimo, procentinė dalis).</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pradeda atskleisti šią informaciją, kurios pirmoji atskleidimo ataskaitinė data yra 2023 m. gruodžio 31 d.</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Vidutinis terminas</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pozicijų, į kurias atsižvelgiama skaičiuojant, vidutinį terminą, įvertintą pagal pozicijos bendrą balansinę vertę.</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Iš taršiausių bendrovių dvidešimtuko įtrauktų bendrovių skaičius</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nurodo skaičių taršiausių bendrovių, kurių duomenys įtraukti į agreguotos bendros balansinės vertės apskaičiavimą.</w:t>
            </w:r>
          </w:p>
        </w:tc>
      </w:tr>
    </w:tbl>
    <w:p w14:paraId="6B01BD46" w14:textId="77777777" w:rsidR="00E42249" w:rsidRPr="00D3422E"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5 šablonas. Bankinė knyga. Galimos su klimato kaita susijusios fizinės rizikos rodikliai. Su fizine rizika susijusios pozicijos</w:t>
      </w:r>
      <w:r>
        <w:rPr>
          <w:rFonts w:ascii="Times New Roman" w:hAnsi="Times New Roman"/>
          <w:noProof/>
          <w:sz w:val="24"/>
        </w:rPr>
        <w:t>. Nustatytasis formatas.</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Įstaigos naudojasi toliau pateikiamais nurodymais atskleisdamos informaciją, kurios reikalaujama „5 šablone. Bankinė knyga. Galimos su klimato kaita susijusios fizinės rizikos rodikliai. Su fizine rizika susijusios pozicijos“, pateikiamame šio reglamento XXXIX priede.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į šį šabloną įtraukia informaciją apie bankinėje knygoje esančias pozicijas, įskaitant paskolas ir išankstinius mokėjimus, skolos vertybinius popierius ir nuosavybės priemones, kurios nėra laikomos prekybai ar laikomos parduoti, ne finansų bendrovių atžvilgiu, apie paskolas, užtikrintas nekilnojamuoju turtu, ir apie perimtas užtikrinimo priemones, kurios yra nekilnojamasis turtas, kurios yra jautrios lėtiniams ir ūmiems klimato kaitos sukeliamiems pavojams, suskirstydamos jas pagal ekonominės veiklos sektorių (pagal NACE klasifikatorių) ir pagal sandorio šalies veiklos arba užtikrinimo priemonės vietos geografinę padėtį, jei tuose sektoriuose ir geografinėse vietovėse yra lėtinių ir ūmių klimato kaitos sukeliamų įvykių grėsmė.</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Geografinei padėčiai, kuriai būdingi konkretūs su klimatu susiję pavojai, nustatyti įstaigos naudoja tam skirtus portalus ir duomenų bazes. Siekdamos gauti informacijos apie vietovių, kurios yra jautrios su klimato kaita susijusių įvykių atžvilgiu, ypatybes, įstaigos gali naudoti Sąjungos organų ir nacionalinių valdžios institucijų, įskaitant meteorologijos, aplinkos, statistikos agentūras ar geomokslo organizacijas, teikiamus duomenis. Duomenų šaltinių, pagal kuriuos galima nustatyti geografines vietoves, kurioms kelia grėsmę klimato kaita, pavyzdžiai apima</w:t>
      </w:r>
      <w:r>
        <w:rPr>
          <w:rFonts w:ascii="Times New Roman" w:hAnsi="Times New Roman"/>
          <w:noProof/>
          <w:sz w:val="24"/>
          <w:vertAlign w:val="superscript"/>
        </w:rPr>
        <w:t>*20</w:t>
      </w:r>
      <w:r>
        <w:rPr>
          <w:rFonts w:ascii="Times New Roman" w:hAnsi="Times New Roman"/>
          <w:noProof/>
          <w:sz w:val="24"/>
        </w:rPr>
        <w:t xml:space="preserve">: Pasaulinės nelaimių mažinimo ir atkūrimo priemonės (angl. santrumpa GFDRR) sukurta priemonė „ThinkHazard!“ (karščio bangos, vandens trūkumas ir nepriteklius, potvyniai, miškų gaisrai, uraganai, nuošliaužos); Atsparumo ir parengties partnerystės (angl. santrumpa PREP) – duomenų bazė „PREPdata“ (pakrančių potvyniai, ekstremalūs karščiai, nuošliaužos, vandens trūkumas ir nepriteklius, miškų gaisrai); Pasaulio išteklių instituto (angl. santrumpa WRI) vandens rizikos atlasas „Aqueduct Water Risk Atlas“ (potvyniai, pakrančių potvyniai, vandens trūkumas ir nepriteklius), bendrovės „Swiss Re“ priemonė „CatNet®“ (potvyniai, atogrąžų ciklonai (uraganai ir taifūnai), miškų gaisrai); Pasaulio banko Klimato kaitos žinių portalas („Climate Change Knowledge Portal“) (ekstremalūs karščiai, ekstremalūs krituliai, sausros); pagrindinių komponentų analize grindžiama Pasaulinė sausrų rizikos platforma („PCA – Global Drought Risk platform“) (sausros); agentūros NOAA sukurta praeityje įvykusių uraganų analizės priemonė „Historical hurricane tracks“ (tropiniai ciklonai (uraganai ir taifūnai).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Jei sandorio šalis yra kontroliuojančioji bendrovė, įstaigos atsižvelgia į konkretaus kontroliuojančiajai bendrovei priklausančio įsipareigojančiojo asmens (jei skiriasi nuo kontroliuojančiosios bendrovės), gaunančio finansavimą, NACE sektorių, ypač tais atvejais, kai įsipareigojantysis asmuo yra ne finansų bendrovė. Panašiai, kai įstaigos tiesioginė sandorio šalis (įsipareigojantysis asmuo) yra specialiosios paskirties įmonė (SPĮ), įstaigos atskleidžia atitinkamą informaciją pagal NACE sektorių, siejamą su SPĮ patronuojančiosios bendrovės ekonomine veikla. Jungtinių pozicijų daugiau negu vieno įsipareigojančiojo asmens atžvilgiu klasifikacija grindžiama įsipareigojančiojo asmens, kuris minėtai įstaigai įgyjant minėtą poziciją buvo svarbiausias, ypatybėmis. Jungtinių pozicijų pasiskirstymas pagal NACE kodus turi būti grindžiamas įsipareigojančiojo asmens, kuris įgyjant poziciją buvo svarbesnis arba pagrindinis, ypatybėmis.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Šiame šablone reikalaujamą informaciją įstaigos atskleidžia dėdamos visas pastangas, o prie šablono pridedamame aiškinamajame rašte paaiškina, kokiais informacijos šaltiniais ir metodais jos naudojosi su klimato kaitos fizine rizika susijusioms pozicijoms nustatyti.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Skiltys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Nurodymai</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Geografinė vietovė, kurioje galimi ūmūs ir lėtiniai klimato kaitos sukeliami įvykiai</w:t>
            </w:r>
          </w:p>
          <w:p w14:paraId="5C5A6C97" w14:textId="77777777" w:rsidR="002F0C41" w:rsidRPr="00D3422E"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Įstaigos nurodo geografines vietoves, kuriose yra neigiamų su klimato kaita susijusių fizinių įvykių rizika. Šios geografinės vietovės apima šalis arba kitus geografinius ar administracinius regionus, kuriuose sandorio šalys vykdo veiklą arba kuriuose yra jų užtikrinimo priemonės buvimo vieta ir kuriuose yra lėtinių arba ūmių klimato kaitos sukeliamų įvykių rizika. Pozicijų geografinei aprėpčiai nurodyti įstaigos atitinkamai naudoja Teritorinių statistinių vienetų nomenklatūroje (arba NUTS) nurodytą skyrių lygmenį.</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Bendra balansinė vertė</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Įstaigos atskleidžia bendrą savo pozicijų ne finansų bendrovių atžvilgiu balansinę vertę, apibrėžtą Įgyvendinimo reglamento (ES) 2021/451 V priedo 1 dalyje (įskaitant paskolas ir išankstinius mokėjimus, skolos vertybinius popierius ir nuosavybės priemones), kurie pagal tą įgyvendinimo reglamentą priskiriami prie bankinės knygos apskaitos portfelių, išskyrus prekybai laikomą finansinį turtą ir laikomą parduoti turtą.</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pozicijos, jautrios klimato kaitos sukeliamų fizinių įvykių poveikiui</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Įstaigos atskleidžia pozicijų, kurioms poveikio gali turėti klimato kaitos sukeliami fiziniai įvykiai, bendrą balansinę vertę. Pozicijų, kurioms poveikio gali turėti klimato kaitos sukeliami fiziniai įvykiai, bendra balansinė vertė gali būti lygi visai pozicijų sumai, atskleistai šio šablono b skiltyje, arba gali sudaryti dalį tos pozicijų sumos.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Suskirstymas pagal terminų intervalą</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Įstaigos priskiria pozicijas prie atitinkamo terminų intervalo pagal finansinės priemonės likutinį terminą, atsižvelgdamos į šiuos dalykus:</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jei suma grąžintina dalimis, pozicija priskiriama prie paskutinę dalį atitinkančio terminų intervalo;</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jei pozicijos terminas nenurodytas dėl kitų priežasčių nei sandorio šalies galimybė pasirinkti grąžinimo datą, šios pozicijos suma atskleidžiama skiltyje „&gt; 20 metų“;</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apskaičiuodamos vidutinį pozicijų terminą, įstaigos kiekvienos pozicijos terminą įvertina pagal pozicijų bendrą balansinę vertę.</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pozicijos, jautrios lėtinių klimato kaitos sukeliamų įvykių poveikiui</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Įstaigos atskleidžia pozicijų, jautrių tik lėtinių klimato kaitos sukeliamų įvykių, įskaitant pavojus, susijusius su laipsniškais oro sąlygų ir klimato pokyčiais, galinčiais turėti įtakos ekonominei produkcijai ir našumui, poveikiui, bendrą balansinę vertę.</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pozicijos, jautrios ūmių klimato kaitos sukeliamų įvykių poveikiui</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Įstaigos atskleidžia pozicijų, jautrių tik ūmių klimato kaitos sukeliamų įvykių, įskaitant pavojus, galinčius staiga padaryti žalos nuosavybei, sutrikdyti tiekimo grandines ir lemti turto nuvertėjimą, poveikiui, bendrą balansinę vertę.</w:t>
            </w:r>
          </w:p>
          <w:p w14:paraId="0084DEDF" w14:textId="77777777" w:rsidR="00E75E5D" w:rsidRPr="00D3422E"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pozicijos, jautrios lėtinių ir ūmių klimato kaitos sukeliamų įvykių poveikiui</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Įstaigos atskleidžia pozicijų, kurioms poveikį gali padaryti tiek lėtiniai, tiek ūmūs klimato kaitos sukeliami įvykiai ir kurios nurodytos h ir i skiltyse, bendrą balansinę vertę.</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2 etapo pozicijos</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TFAS taikančios įstaigos 2 etapo priemonių bendrą balansinę vertę atskleidžia pagal 9-uosius TFAS.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Skilčių „Iš jų: 2 etapo pozicijos“ nepildo įstaigos, taikančios Direktyva 86/635/EEB pagrįstus nacionalinius visuotinai pripažintus apskaitos principus.</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neveiksnios pozicijos</w:t>
            </w:r>
          </w:p>
          <w:p w14:paraId="63557828" w14:textId="08A8B3D0" w:rsidR="00E75E5D" w:rsidRPr="00E50FA4" w:rsidRDefault="008F08CA" w:rsidP="005C6269">
            <w:pPr>
              <w:pStyle w:val="Fait"/>
              <w:spacing w:before="0" w:after="120"/>
              <w:rPr>
                <w:noProof/>
              </w:rPr>
            </w:pPr>
            <w:r>
              <w:rPr>
                <w:noProof/>
              </w:rPr>
              <w:t>Įstaigos atskleidžia neveiksnių pozicijų, nurodytų Reglamento (ES) Nr. 575/2013 47a straipsnio 3 dalyje, kurias gali paveikti klimato kaitos sukeliami įvykiai, bendrą balansinę vertę.</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Sukauptas vertės sumažėjimas, sukaupti neigiami tikrosios vertės pokyčiai dėl kredito rizikos ir atidėjiniai</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sumas, nurodytas Įgyvendinimo reglamento (ES) 2021/451 V priedo 2 dalies 11, 69, 70, 71, 106 ir 110 punktuose.</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2 etapo pozicijos</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M skiltyje nurodoma sukaupta 2 etapo pozicijų vertės sumažėjimo suma.</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TFAS taikančios įstaigos 2 etapo priemonių bendrą balansinę vertę atskleidžia pagal 9-uosius TFAS.</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Skilčių „Iš jų: 2 etapo pozicijos“ nepildo įstaigos, taikančios Direktyva 86/635/EEB pagrįstus nacionalinius visuotinai pripažintus apskaitos principus.</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neveiksnios pozicijos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sukaupto vertės sumažėjimo, sukauptų neigiamų tikrosios vertės pokyčių dėl kredito rizikos ir atidėjinių neveiksnioms pozicijoms sumą, kaip nurodyta Reglamento (ES) Nr. 575/2013 47a straipsnio 3 dalyje.</w:t>
            </w:r>
          </w:p>
        </w:tc>
      </w:tr>
    </w:tbl>
    <w:p w14:paraId="078EAC68" w14:textId="77777777" w:rsidR="00E75E5D" w:rsidRPr="00D3422E"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6 šablonas. Kriterijus atitinkančios taksonominės veiklos pozicijų pagrindinių veiklos rezultatų rodiklių (PVRR) santrauka. </w:t>
      </w:r>
      <w:r>
        <w:rPr>
          <w:rFonts w:ascii="Times New Roman" w:hAnsi="Times New Roman"/>
          <w:noProof/>
          <w:sz w:val="24"/>
        </w:rPr>
        <w:t>Nustatytasis formatas.</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6 šablone įstaigos pateikia PVRR, apskaičiuotų remiantis XXXIX priedo 7 ir 8 šablonais, įskaitant žaliojo turto rodiklį (ŽTR), kaip nurodyta Komisijos deleguotajame reglamente (ES) 2021/2178</w:t>
      </w:r>
      <w:r>
        <w:rPr>
          <w:rFonts w:ascii="Times New Roman" w:hAnsi="Times New Roman"/>
          <w:noProof/>
          <w:sz w:val="24"/>
          <w:vertAlign w:val="superscript"/>
        </w:rPr>
        <w:t>*21</w:t>
      </w:r>
      <w:r>
        <w:rPr>
          <w:rFonts w:ascii="Times New Roman" w:hAnsi="Times New Roman"/>
          <w:noProof/>
          <w:sz w:val="24"/>
        </w:rPr>
        <w:t xml:space="preserve">, apžvalgą.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Pagal Deleguotąjį reglamentą (ES) 2021/2178 subjektų reikalaujama įvertinti ir atskleisti ŽTR du kartus: vieną kartą remiantis sandorio šalies (ne finansų bendrovės) kriterijus atitinkančios taksonominės veiklos apyvarta tų pozicijų, kurių tikslas nėra finansuoti konkrečią nustatytą veiklą (bendrosios paskirties skolinimas), atveju ir dar kartą remiantis sandorio šalies kriterijus atitinkančios taksonominės veiklos kapitalo išlaidomis (</w:t>
      </w:r>
      <w:r>
        <w:rPr>
          <w:rFonts w:ascii="Times New Roman" w:hAnsi="Times New Roman"/>
          <w:i/>
          <w:noProof/>
          <w:sz w:val="24"/>
        </w:rPr>
        <w:t>CapEx</w:t>
      </w:r>
      <w:r>
        <w:rPr>
          <w:rFonts w:ascii="Times New Roman" w:hAnsi="Times New Roman"/>
          <w:noProof/>
          <w:sz w:val="24"/>
        </w:rPr>
        <w:t>) tų pačių bendrosios paskirties skolinimo pozicijų atveju, tačiau šiame šablone įstaigos ŽTR atskleidžia vieną kartą, remdamosi tik sandorio šalies kriterijus atitinkančios taksonominės veiklos apyvarta bendrosios paskirties skolinimo atveju.</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Kalbant apie atsargas, ŽTR (klimato kaitos švelninimas), ŽTR (prisitaikymas prie klimato kaitos) ir ŽTR (klimato kaitos švelninimas ir prisitaikymas prie klimato kaitos) turi atitikti PVRR, atitinkamai įtrauktus į 8 šablono b, g ir l skiltis. Panašiai, kalbant apie srautus, ŽTR (klimato kaitos švelninimas), ŽTR (prisitaikymas prie klimato kaitos) ir ŽTR (klimato kaitos švelninimas ir prisitaikymas prie klimato kaitos) turi atitikti PVRR, įtrauktus į to paties 8 šablono 1 eilutės r, w ir ab skiltis.</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Informacija apie aprėptį įtraukiama į 8 šablono 1 eilutės p skiltį ŽTR atsargų atveju ir af skiltį ŽTR srautų atveju.</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atskleidžia šią informaciją, kurios pirmoji ataskaitinė data yra 2023 m. gruodžio 31 d. ir atitinka pirmąją informacijos apie ŽTR atskleidimo datą, nurodytą Deleguotajame reglamente (ES) 2021/2178.</w:t>
      </w:r>
    </w:p>
    <w:p w14:paraId="39305D6E" w14:textId="77777777" w:rsidR="00414E05" w:rsidRPr="00D3422E"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7 šablonas. Švelninimo veiksmai: apskaičiuojant ŽTR aktualus turtas. </w:t>
      </w:r>
      <w:r>
        <w:rPr>
          <w:rFonts w:ascii="Times New Roman" w:hAnsi="Times New Roman"/>
          <w:noProof/>
          <w:sz w:val="24"/>
        </w:rPr>
        <w:t>Nustatytasis formatas</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Įstaigos naudojasi toliau pateikiamais nurodymais atskleisdamos informaciją, kurios reikalaujama „7 šablone. Švelninimo veiksmai: apskaičiuojant ŽTR aktualus turtas“, pateiktame šio reglamento XXXIX priede.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Šiame šablone įstaigos atskleidžia informaciją apie įstaigų paskolų ir išankstinių mokėjimų, skolos vertybinių popierių ir nuosavybės priemonių savo bankinėje knygoje bendrą balansinę vertę, išskaidydamos informaciją pagal sandorio šalies, įskaitant finansų bendroves, ne finansų bendroves, namų ūkius, vietos valdžios institucijas, rūšį, taip pat skolinimą namų ūkiams nekilnojamajam turtui įsigyti, ir apie tai, kokiu mastu pozicijos yra taksonominės veiklos ir kriterijus atitinkančios taksonominės veiklos pozicijos, kiek tai susiję su klimato kaitos švelninimo ir prisitaikymo prie klimato kaitos aplinkos tikslais, kaip nurodyta Reglamento (ES) 2020/852 9 straipsnio a ir b punktuose.</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Visų pirma į šį šabloną įstaigos įtraukia informaciją, būtiną ŽTR apskaičiuoti pagal Deleguotąjį reglamentą (ES) 2021/2178. Pagal Deleguotąjį reglamentą (ES) 2021/2178 įstaigų reikalaujama įvertinti ir atskleisti ŽTR du kartus: vieną kartą remiantis sandorio šalies (ne finansų bendrovės) kriterijus atitinkančios taksonominės veiklos apyvarta tų pozicijų, kurių tikslas nėra finansuoti konkrečią nustatytą veiklą (bendrosios paskirties skolinimas), atveju ir dar kartą remiantis sandorio šalies kriterijus atitinkančios taksonominės veiklos </w:t>
      </w:r>
      <w:r>
        <w:rPr>
          <w:rFonts w:ascii="Times New Roman" w:hAnsi="Times New Roman"/>
          <w:i/>
          <w:noProof/>
          <w:sz w:val="24"/>
        </w:rPr>
        <w:t>CapEx</w:t>
      </w:r>
      <w:r>
        <w:rPr>
          <w:rFonts w:ascii="Times New Roman" w:hAnsi="Times New Roman"/>
          <w:noProof/>
          <w:sz w:val="24"/>
        </w:rPr>
        <w:t xml:space="preserve"> tų pačių bendrosios paskirties skolinimo pozicijų atveju, tačiau šiame šablone įstaigos ŽTR atskleidžia tik vieną kartą, remdamosi tik sandorio šalies kriterijus atitinkančios taksonominės veiklos apyvarta bendrosios paskirties skolinimo atveju.</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Remdamosi ta informacija įstaigos apskaičiuoja ir atskleidžia savo ŽTR, kaip nurodyta Deleguotajame reglamente (ES) 2021/2178. Įtraukiama informacija yra susijusi su klimato kaitos švelninimu ir prisitaikymu prie klimato kaitos, kaip nurodyta Reglamento (ES) 2020/852 9 straipsnio a ir b punktuose.</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Įstaigos atskleidžia šią informaciją, kurios pirmoji ataskaitinė data – 2023 m. gruodžio 31 d., t. y. pirmoji informacijos apie ŽTR atskleidimo data, kaip nurodyta Deleguotajame reglamente (ES)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Nurodymai</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Bendra balansinė vertė</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bendrą balansinę vertę, kaip apibrėžta Įgyvendinimo reglamento (ES) 2021/451 V priedo 1 dalyje.</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jos: pozicijos taksonominių sektorių atžvilgiu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bendrą balansinę vertę, kaip apibrėžta Įgyvendinimo reglamento (ES) 2021/451 V priedo 1 dalyje.</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taksonominės veiklos pozicijų sektorių (4 lygio NACE kodai), kurie yra svarbūs atitinkamam aplinkos tikslui pagal taksonomiją, kaip nurodyta Komisijos deleguotojo reglamento (ES) 2021/2139</w:t>
            </w:r>
            <w:r>
              <w:rPr>
                <w:rFonts w:ascii="Times New Roman" w:hAnsi="Times New Roman"/>
                <w:noProof/>
                <w:sz w:val="24"/>
                <w:vertAlign w:val="superscript"/>
              </w:rPr>
              <w:t>*22</w:t>
            </w:r>
            <w:r>
              <w:rPr>
                <w:rFonts w:ascii="Times New Roman" w:hAnsi="Times New Roman"/>
                <w:noProof/>
                <w:sz w:val="24"/>
              </w:rPr>
              <w:t xml:space="preserve"> I priede, atžvilgiu bendrą balansinę vertę.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sektorių, svarbių pagal klimato kaitos švelninimo tikslą, nustatytą Reglamento (ES) 2020/852 9 straipsnio a punkte ir 10 straipsnyje, atžvilgiu.</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jų: aplinkos atžvilgiu tvari veikla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taksonominės veiklos pozicijų, kurios yra aplinkos atžvilgiu tvarios, kaip nurodyta Deleguotojo reglamento (ES) 2021/2139 I priede, bendrą balansinę vertę.</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Įstaigos atskleidžia pozicijas, kurios yra aplinkos atžvilgiu tvarios pagal klimato kaitos švelninimo tikslą, nustatytą Reglamento (ES) 2020/852 9 straipsnio a punkte ir 10 straipsnyje.</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Kai pajamų panaudojimas yra žinomas (specializuotas skolinimas, įskaitant projektų finansavimo paskolas, kaip nurodyta Įgyvendinimo reglamento (ES) 2021/451 V priede), įstaigos atskleidžia, kokiu mastu pozicija yra tvari aplinkos atžvilgiu. Toks atskleidimas grindžiamas tuo, kokiu mastu finansuojamu projektu svariai prisidedama prie klimato kaitos švelninimo pagal Reglamento (ES) 2020/852 10 straipsnį arba jis yra sąlygas sudaranti veikla pagal to reglamento 16 straipsnį ir atitinka to reglamento 3 straipsnyje nurodytus kriterijus. Kai pajamų panaudojimas nežinomas, įstaigos atskleidžia, kokiu mastu pozicija yra tvari aplinkos atžvilgiu, naudodamosi pagal Reglamento (ES) 2020/852 8 straipsnį iš sandorio šalies gauta informacija apie tai, kokia jų apyvartos dalis gaunama iš produktų ar paslaugų, susijusių su ekonomine veikla, kuri laikoma aplinkos atžvilgiu tvaria pagal to reglamento 3 straipsnį.</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Į kiekvieną poziciją atsižvelgiama tik vieną kartą ir ji priskiriama tik prie vieno aplinkos tikslo. Kai pozicijos svarbios daugiau nei vienam aplinkos tikslui, jos priskiriamos prie svarbiausio tikslo.</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bendrą balansinę vertę, kaip apibrėžta Įgyvendinimo reglamento (ES) 2021/451 V priedo 1 dalyje.</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Specializuoto skolinimo pozicijos suprantamos taip, kaip nurodyta Reglamento (ES) Nr. 575/2013 147 straipsnio 8 dalyje. Ji apima pozicijas, kurios yra aplinkos atžvilgiu tvarios pagal klimato kaitos švelninimo tikslą, nustatytą Reglamento (ES) 2020/852 9 straipsnio a punkte ir 10 straipsnyje.</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Kai pajamų panaudojimas žinomas, specializuoto skolinimo atveju įstaigos atskleidžia, kokiu mastu pozicija yra tvari aplinkos atžvilgu, remdamosi tuo, kokiu mastu ir kokia proporcine dalimi konkretus finansuojamas projektas laikomas svariai prisidedančiu prie klimato kaitos švelninimo (konkretaus projekto informacija) pagal Reglamento (ES) 2020/852 10 straipsnį arba sąlygas sudarančia veikla pagal 16 straipsnį ir atitinka to reglamento 3 straipsnyje nurodytus kriterijus. Įstaigos pateikia skaidrią informaciją apie ekonominės veiklos, finansuojamos specializuoto skolinimo lėšomis, rūšį. Kai ta pati specializuoto skolinimo pozicija svarbi dviem aplinkos tikslams, įstaigos ją priskiria prie svarbiausio tikslo.</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perėjimo veikla</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Reglamento (ES) 2020/852 10 straipsnis.</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Reglamento (ES) 2020/852 16 straipsnis.</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pozicijos taksonominių sektorių atžvilgiu</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taksonominės veiklos pozicijų sektorių (4 lygio NACE kodai), kurie yra svarbūs atitinkamam aplinkos tikslui pagal taksonomiją, kaip nurodyta Deleguotojo reglamento (ES) 2021/2139 II priede, atžvilgiu bendrą balansinę vertę.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sektorių, svarbių pagal prisitaikymo prie klimato kaitos tikslą, nustatytą Reglamento (ES) 2020/852 9 straipsnio b punkte ir 11 straipsnyje, atžvilgiu.</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jų: aplinkos atžvilgiu tvari veikla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taksonominės veiklos pozicijų, kurios yra aplinkos atžvilgiu tvarios, kaip nurodyta Deleguotojo reglamento (ES) 2021/2139 II priede, bendrą balansinę vertę.</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Įstaigos atskleidžia pozicijas, kurios yra aplinkos atžvilgiu tvarios pagal prisitaikymo prie klimato kaitos tikslą, nustatytą Reglamento (ES) 2020/852 9 straipsnio b punkte ir 11 straipsnyje.</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Kai pajamų panaudojimas žinomas, specializuoto skolinimo atveju įstaigos atskleidžia, kokiu mastu pozicija yra tvari aplinkos atžvilgiu, remdamosi tuo, kokiu mastu ir kokia dalimi finansuojamas projektas laikomas svariai prisidedančiu prie prisitaikymo prie klimato kaitos pagal Reglamento (ES) 2020/852 11 straipsnį arba sąlygas sudarančia veikla pagal to reglamento 16 straipsnį ir atitinka to reglamento 3 straipsnyje nurodytus kriterijus.</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Kai pajamų panaudojimas nežinomas, įstaigos atskleidžia, kokiu mastu pozicija yra tvari aplinkos atžvilgiu, naudodamosi pagal Reglamento (ES) 2020/852 8 straipsnį iš sandorio šalies gauta informacija apie tai, kokia jų apyvartos dalis gaunama iš produktų ar paslaugų, susijusių su ekonomine veikla, kuri laikoma aplinkos atžvilgiu tvaria pagal to reglamento 3 straipsnį.</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Į kiekvieną poziciją atsižvelgiama tik vieną kartą ir ji priskiriama tik prie vieno aplinkos tikslo. Kai pozicijos svarbios daugiau nei vienam aplinkos tikslui, pozicijos priskiriamos prie svarbiausio tikslo.</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Specializuoto skolinimo pozicijos suprantamos taip, kaip nurodyta Reglamento (ES) Nr. 575/2013 147 straipsnio 8 dalyje.</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Įstaigos atskleidžia specializuoto skolinimo pozicijas, kurios yra aplinkos atžvilgiu tvarios pagal prisitaikymo prie klimato kaitos tikslą, nustatytą Reglamento (ES) 2020/852 9 straipsnio b punkte ir 11 straipsnyje.</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Įstaigos atskleidžia, kokiu mastu pozicija yra tvari aplinkos atžvilgiu, naudodamosi iš sandorio šalies gauta informacija.</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Kai pajamų panaudojimas žinomas, specializuoto skolinimo atveju įstaigos atskleidžia, kokiu mastu pozicija yra tvari aplinkos atžvilgu, remdamosi tuo, kokiu mastu ir kokia dalimi konkretus finansuojamas projektas laikomas svariai prisidedančiu prie prisitaikymo prie klimato kaitos (konkretaus projekto informacija) pagal Reglamento (ES) 2020/852 11 straipsnį arba sąlygas sudarančia veikla pagal to reglamento 16 straipsnį ir atitinka to reglamento 3 straipsnyje nurodytus kriterijus. Įstaigos pateikia skaidrią informaciją apie ekonominės veiklos, finansuojamos specializuoto skolinimo lėšomis, rūšį. Kai ta pati specializuoto skolinimo pozicija gali būti svarbi dviem aplinkos tikslams, pozicija priskiriama prie svarbiausio tikslo.</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prisitaikymo veikla</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Reglamento (ES) 2020/852 11 straipsnis. Ši veikla apima veiklą, kuri nėra sąlygas sudaranti veikla.</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Reglamento (ES) 2020/852 16 straipsnis.</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jos: pozicijos taksonominių sektorių atžvilgiu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Įstaigos įtraukia šio šablono b ir g skilčių sumą.</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jų: aplinkos atžvilgiu tvari veikla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Įstaigos įtraukia šio šablono c ir h skilčių sumą.</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bendrą balansinę vertę, kaip apibrėžta Įgyvendinimo reglamento (ES) 2021/451 V priedo 1 dalyje.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Specializuoto skolinimo pozicijos suprantamos taip, kaip nurodyta Reglamento (ES) Nr. 575/2013 147 straipsnio 8 dalyje.</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Įstaigos įtraukia šio šablono d ir i skilčių sumą.</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perėjimo / prisitaikymo veikla</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10 ir 11 straipsniai.</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įtraukia šio šablono e ir j skilčių sumą.</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įtraukia šio šablono f ir k skilčių sumą.</w:t>
            </w:r>
          </w:p>
        </w:tc>
      </w:tr>
    </w:tbl>
    <w:p w14:paraId="5A3CD59F" w14:textId="77777777" w:rsidR="00E77292" w:rsidRPr="00D3422E"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Eilutės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Nurodymai</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ŽTR. Į skaitiklį ir vardiklį įtraukiamas turtas</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Taksonominės veiklos pozicijos yra tos pozicijos, kurios yra susijusios su sandorio šalimis ir turto klasėmis, kurioms taikomi informacijos atskleidimo reikalavimai pagal Reglamento (ES) 2020/852 8 straipsnį.</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ŽTR tinkamos prekybai nelaikomos paskolos ir kiti išankstiniai mokėjimai, skolos vertybiniai popieriai ir nuosavybės priemonės</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bankininkystės knygoje klasifikuojamas paskolas ir išankstinius mokėjimus, skolos vertybinius popierius ir nuosavybės priemones, nelaikomus prekybai ir nelaikomus parduoti, kaip apibrėžta Įgyvendinimo reglamento (ES) 2021/451 V priede.</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Finansų bendrovės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nurodytas Įgyvendinimo reglamento (ES) 2021/451 V priedo 1 dalies 42 punkto c ir d papunkčiuose.</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Kredito įstaigos</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atskleidžia pozicijas, nurodytas Įgyvendinimo reglamento (ES) 2021/451 V priedo 1 dalies 42 punkto c papunktyje.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Paskolos ir išankstiniai mokėjimai</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paskolas ir išankstinius mokėjimus, nurodytus Įgyvendinimo reglamento (ES) 2021/451 V priedo 1 dalies 32 punkte.</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Skolos vertybiniai popieriai</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skolos vertybinius popierius, kaip nurodyta Įgyvendinimo reglamento (ES) 2021/451 V priedo 1 dalies 31 punkte.</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Nuosavybės priemonės</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nuosavybės priemones, kaip nurodyta Įgyvendinimo reglamento (ES) 2021/451 V priede. Nuosavybės priemonės bankinėje knygoje apima investicijas į asocijuotąsias įmones, bendrąsias įmones ir patronuojamąsias įmones, kurios nėra visiškai arba proporcingai konsoliduojamos.</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Kitos finansų bendrovės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pozicijas kitų finansų bendrovių atžvilgiu, kaip nurodyta Įgyvendinimo reglamento (ES) 2021/451 V priedo 1 dalies 42 punkto d papunktyje.</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investicinės įmonės</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investicinių įmonių, apibrėžtų Reglamento (ES) Nr. 575/2013 4 straipsnio 1 dalies 2 punkte, atžvilgiu.</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valdymo bendrovės</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Įstaigos atskleidžia pozicijas valdymo bendrovių, apibrėžtų Reglamento (ES) Nr. 575/2013 4 straipsnio 1 dalies 19 punkte, atžvilgiu.</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draudimo įmonės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draudimo įmonių, apibrėžtų Reglamento (ES) Nr. 575/2013 4 straipsnio 1 dalies 5 punkte, atžvilgiu.</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 finansų bendrovės, kurioms taikomos Nefinansinės informacijos atskleidimo direktyvos (NIAD) informacijos atskleidimo prievolės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pozicijas ne finansų bendrovių, kaip nurodyta Įgyvendinimo reglamento (ES) 2021/451 V priedo 1 dalies 42 punkto e papunktyje, kurioms taikomos informacijos atskleidimo prievolės pagal Direktyvą 2014/95/ES, atžvilgiu.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komercinės paskirties nekilnojamojo turto paskolos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nurodytas Įgyvendinimo reglamento (ES) 2021/451 V priedo 2 dalies 173 punkto a papunktyje ir 239ix punkte.</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Namų ūkiai</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paskolas ir išankstinius mokėjimus, kaip nurodyta Įgyvendinimo reglamento (ES) 2021/451 V priedo 1 dalies 42 punkto f papunktyje.</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Įstaigos turi rinkti informaciją iš savo sandorio šalių dvišaliu pagrindu per paskolos išdavimo procesą ir reguliarios kredito peržiūros ir stebėsenos procesą.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paskolos, užtikrintos gyvenamosios paskirties nekilnojamuoju turtu</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paskolas ir išankstinius mokėjimus, užtikrintus gyvenamosios paskirties nekilnojamuoju turtu, kaip nurodyta Įgyvendinimo reglamento (ES) 2021/451 V priedo 2 dalies 173 punkto a papunktyje.</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Tų pozicijų atitiktis Reglamentui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pastatų renovacijos paskolos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paskolas, kurios suteikiamos namų ūkiams jų būstui renovuoti.</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Šių pozicijų atitiktis Reglamentui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motorinių transporto priemonių paskolos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motorinių transporto priemonių paskolas, kaip nurodyta Įgyvendinimo reglamento (ES) 2021/451 V priedo 2 dalies 173 punkto b papunkčio ii įtraukoje, ir kitas paskolas, suteiktas motorinei transporto priemonei įsigyti, siekiant klimato kaitos švelninimo tikslo vertinamas taikant supaprastintą metodą pagal transporto priemonių finansavimo, nuomos ir išperkamosios nuomos techninės analizės kriterijus pagal Deleguotojo reglamento (ES) 2021/2139 I priedo 6.5 skirsnį, remiantis pagrindinės transporto priemonės energijos vartojimo efektyvumu.</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Vietos valdžios institucijų finansavimas</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29 ir 30 eilučių verčių suma.</w:t>
            </w:r>
          </w:p>
          <w:p w14:paraId="0E225FD1" w14:textId="77777777" w:rsidR="00A23F56" w:rsidRPr="00D3422E"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Būsto finansavimas</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vietos valdžios institucijoms suteiktas paskolas, skirtas viešojo būsto įsigijimui finansuoti.</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Kitas vietos valdžios institucijų finansavimas</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vietos valdžios institucijoms suteiktas paskolas, skirtas specializuoto skolinimo pozicijoms, išskyrus tas, kurios atsiranda dėl viešojo būsto įsigijimo, finansuoti.</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Užtikrinimo priemonės, perimtos realizuojant nuosavybės teisę: gyvenamosios ir komercinės paskirties nekilnojamasis turtas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užtikrinimo priemonę, perimtą realizuojant nuosavybės teisę, kaip nurodyta Įgyvendinimo reglamento (ES) 2021/451 V priedo 2 dalies 341 punkte.</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Visas ŽTR turtas</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Šios eilutės vertė yra lygi šio šablono 1 eilutės vertei.</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D3422E"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Turtas, apskaičiuojant ŽTR neįtrauktas į skaitiklį (įtrauktas į vardiklį)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ES ne finansų bendrovės (kurioms netaikomos Nefinansinės informacijos atskleidimo direktyvos (NIAD) informacijos atskleidimo prievolės)</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ne finansų bendrovių, apibrėžtų Įgyvendinimo reglamento (ES) 2021/451 V priedo 1 dalies 42 punkto e papunktyje, kurios yra Sąjungoje ir kurioms informacijos atskleidimo prievolės pagal Direktyvą 2014/95/ES netaikomos, atžvilgiu.</w:t>
            </w:r>
          </w:p>
          <w:p w14:paraId="3C007F41" w14:textId="77777777" w:rsidR="001B151C" w:rsidRPr="00D3422E"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 ES ne finansų bendrovės (kurioms netaikomos Nefinansinės informacijos atskleidimo direktyvos (NIAD) informacijos atskleidimo prievolės)</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ne finansų bendrovių, apibrėžtų Įgyvendinimo reglamento (ES) 2021/451 V priedo 1 dalies 42 punkto e papunktyje, kurios yra ne Sąjungoje ir kurioms informacijos atskleidimo prievolės pagal Direktyvą 2014/95/ES netaikomos, atžvilgiu.</w:t>
            </w:r>
          </w:p>
          <w:p w14:paraId="08D4D5E2" w14:textId="77777777" w:rsidR="001B151C" w:rsidRPr="00D3422E"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D3422E"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Turtas, apskaičiuojant ŽTR neįtrauktas į skaitiklį (įtrauktas į vardiklį)</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Išvestinės finansinės priemonės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Įstaigos atskleidžia prekybai nelaikomas išvestines finansines priemones, nurodytas Įgyvendinimo reglamento (ES) 2021/451 V priedo 1 dalies 10 skirsnyje.</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Tarpbankinės paskolos pagal pareikalavimą</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Įstaigos atskleidžia „Kitus indėlius iki pareikalavimo“, nurodytus Įgyvendinimo reglamento (ES) 2021/451 V priedo 2 dalies 3 punkte.</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Pinigai ir piniginis turtas</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Įstaigos atskleidžia „Grynuosius pinigus“, nurodytus Įgyvendinimo reglamento (ES) 2021/451 V priedo 2 dalies 1 punkte.</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Kitas turtas (įskaitant prestižą, biržos prekes ir pan.)</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Įstaigos atskleidžia kitą įstaigos balanse nurodytą turtą, neįtrauktą į šio šablono 41, 42 ir 43 eilutes.</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Visas turtas vardiklyje (ŽTR)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Šioje eilutėje nurodoma šio šablono 32, 33, 37 ir 41–44 eilučių verčių suma.</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D3422E"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Kitas turtas, apskaičiuojant ŽTR neįtrauktas nei į skaitiklį, nei į vardiklį</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Valstybinių subjektų pozicijos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Įstaigos atskleidžia valdžios sektoriaus institucijas, nurodytas Įgyvendinimo reglamento (ES) 2021/451 V priedo 1 dalies 42 punkte, išskyrus pozicijas, įtrauktas į šio šablono 29 ir 30 eilutes.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Centrinio banko pozicijos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Įstaigos atskleidžia pozicijas centrinių bankų atžvilgiu.</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Prekybos knyga</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Įstaigos atskleidžia prekybai laikomą finansinį turtą arba prekybinį finansinį turtą, apibrėžtą pagal taikytinus apskaitos principus.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Visas turtas, apskaičiuojant ŽTR neįtrauktas į skaitiklį ir vardiklį</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Šioje eilutėje nurodoma šio šablono 46, 47 ir 48 eilučių verčių suma.</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Visas turtas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Šioje eilutėje nurodoma šio šablono 45 ir 49 eilučių verčių suma.</w:t>
            </w:r>
          </w:p>
        </w:tc>
      </w:tr>
    </w:tbl>
    <w:p w14:paraId="7C2D2E2C" w14:textId="77777777" w:rsidR="00C404E2" w:rsidRPr="00D3422E" w:rsidRDefault="00C404E2" w:rsidP="00D35812">
      <w:pPr>
        <w:jc w:val="both"/>
        <w:rPr>
          <w:rFonts w:ascii="Times New Roman" w:hAnsi="Times New Roman" w:cs="Times New Roman"/>
          <w:b/>
          <w:noProof/>
          <w:sz w:val="24"/>
        </w:rPr>
      </w:pPr>
    </w:p>
    <w:p w14:paraId="6C513D1A" w14:textId="77777777" w:rsidR="00E77292" w:rsidRPr="00D3422E"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8 šablonas. </w:t>
      </w:r>
      <w:bookmarkStart w:id="16" w:name="_Hlk86261561"/>
      <w:r>
        <w:rPr>
          <w:rFonts w:ascii="Times New Roman" w:hAnsi="Times New Roman"/>
          <w:b/>
          <w:noProof/>
          <w:sz w:val="24"/>
        </w:rPr>
        <w:t>ŽTR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Įstaigos naudojasi toliau pateikiamais įrodymais atskleisdamos informaciją, kurios reikalaujama „8 šablone. ŽTR (%)“, pateiktame šio reglamento XXXIX priede.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Remdamosi 7 šablone nurodyta informacija, šiame šablone įstaigos atskleidžia ŽTR, kaip nurodyta Deleguotajame reglamente (ES)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Šio šablono tikslas yra parodyti, kokiu mastu įstaigos veikla gali būti laikoma aplinkos atžvilgiu tvaria pagal Reglamento (ES) 2020/852 3 ir 9 straipsnius, kad akcininkai galėtų suprasti, kokių veiksmų įstaigos ėmėsi siekdamos sušvelninti su klimato kaita susijusią pertvarkos ir fizinę riziką.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Pagal Deleguotąjį reglamentą (ES) 2021/2178 įstaigų reikalaujama įvertinti ir atskleisti ŽTR du kartus. Vieną kartą atskleidimas grindžiamas sandorio šalies (ne finansų bendrovės) tų pozicijų, kurių tikslas nėra finansuoti konkrečią nustatytą veiklą (bendrosios paskirties skolinimo), kriterijus atitinkančios taksonominės veiklos apyvarta. Antrą kartą atskleidimas grindžiamas sandorio šalies tų pačių bendrosios paskirties skolinimo pozicijų </w:t>
      </w:r>
      <w:r>
        <w:rPr>
          <w:rFonts w:ascii="Times New Roman" w:hAnsi="Times New Roman"/>
          <w:i/>
          <w:noProof/>
          <w:sz w:val="24"/>
        </w:rPr>
        <w:t>CapEx</w:t>
      </w:r>
      <w:r>
        <w:rPr>
          <w:rFonts w:ascii="Times New Roman" w:hAnsi="Times New Roman"/>
          <w:noProof/>
          <w:sz w:val="24"/>
        </w:rPr>
        <w:t xml:space="preserve"> atitiktimi Reglamentui (ES) 2020/852. Šiame šablone įstaigos ŽTR atskleidžia tik vieną kartą, remdamosi tik sandorio šalies kriterijus atitinkančios taksonominės veiklos apyvarta bendrosios paskirties skolinimo atveju.</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pradeda atskleisti informaciją, kurios pirmoji ataskaitinė data yra 2023 m. gruodžio 31 d. ir atitinka pirmąją informacijos apie ŽTR atskleidimo datą, nurodytą Deleguotajame reglamente (ES)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Nurodymai</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Turto, kuriuo finansuojami taksonominiai sektoriai, dalis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kuriomis finansuojama Reglamente (ES) 2020/852 nurodyta veikla</w:t>
            </w:r>
            <w:r>
              <w:rPr>
                <w:rFonts w:ascii="Helvetica" w:hAnsi="Helvetica"/>
                <w:noProof/>
                <w:color w:val="666666"/>
                <w:sz w:val="21"/>
                <w:shd w:val="clear" w:color="auto" w:fill="FFFFFF"/>
              </w:rPr>
              <w:t xml:space="preserve"> </w:t>
            </w:r>
            <w:r>
              <w:rPr>
                <w:rFonts w:ascii="Times New Roman" w:hAnsi="Times New Roman"/>
                <w:noProof/>
                <w:sz w:val="24"/>
              </w:rPr>
              <w:t>(t. y. taksonominės veiklos turto), dalį, palyginti su visomis įtraukto turto atsargomis. Šis punktas išreiškiamas procentais.</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turto, kuriuo finansuojami Reglamente (ES) 2020/852 nurodyti taksonominiai sektoriai</w:t>
            </w:r>
            <w:r>
              <w:rPr>
                <w:rFonts w:ascii="Helvetica" w:hAnsi="Helvetica"/>
                <w:noProof/>
                <w:color w:val="666666"/>
                <w:sz w:val="21"/>
                <w:shd w:val="clear" w:color="auto" w:fill="FFFFFF"/>
              </w:rPr>
              <w:t xml:space="preserve"> </w:t>
            </w:r>
            <w:r>
              <w:rPr>
                <w:rFonts w:ascii="Times New Roman" w:hAnsi="Times New Roman"/>
                <w:noProof/>
                <w:sz w:val="24"/>
              </w:rPr>
              <w:t>siekiant klimato kaitos švelninimo tikslo, bendra balansinė vertė, kaip nurodyta 7 šablono b skilties pildymo nurodymuose.</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 aplinkos atžvilgiu tvari veikla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kuriomis finansuojama aplinkos atžvilgiu tvari veikla (t. y. kriterijus atitinkančio turto), dalį, palyginti su visomis taksonominės veiklos turto atsargomis. Šis punktas išreiškiamas procentais.</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turto, kuriuo finansuojama aplinkos atžvilgiu tvari veikla siekiant klimato kaitos švelninimo tikslo, bendra balansinė vertė, kaip nurodyta 7 šablono c skilties pildymo nurodymuose.</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įtrauktų pozicijų bendra balansinė vertė, kaip nurodyta 7 šablono a skilties pildymo nurodymuose.</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specializuoto skolinimo kategorijai priskiriamo turto atsargų, kuriomis finansuojama aplinkos atžvilgiu tvari veikla siekiant klimato kaitos švelninimo tikslo, dalį, palyginti su visomis turto atsargomis, kuriomis finansuojama aplinkos atžvilgiu tvari veikla. Šis punktas išreiškiamas procentais.</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7 šablono d skilties pildymo nurodymuose.</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perėjimo veikla</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10 straipsnis.</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susijusių su perėjimo veikla siekiant klimato kaitos švelninimo tikslo, dalį, palyginti su visomis turto atsargomis, kuriomis finansuojama aplinkos atžvilgiu tvari veikla. Šis punktas išreiškiamas procentais.</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8 šablono e skilties pildymo nurodymuose.</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susijusių su sąlygas sudarančia veikla siekiant klimato kaitos švelninimo tikslo, dalį, palyginti su visomis turto atsargomis, kuriomis finansuojama aplinkos atžvilgiu tvari veikla. Šis punktas išreiškiamas procentais.</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7 šablono f skilties pildymo nurodymuose.</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PVRR vardiklis yra įtraukto turto bendra balansinė vertė, kaip nurodyta 7 šablono a skilties pildymo nurodymuose.</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Turto, kuriuo finansuojami taksonominiai sektoriai, dalis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kuriomis finansuojama taksonominė veikla (t. y. taksonominės veiklos turto), dalį, palyginti su visomis įtraukto turto atsargomis. Šis punktas išreiškiamas procentais.</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turto, kuriuo finansuojami taksonominiai sektoriai siekiant pritaikymo prie klimato kaitos tikslo, bendra balansinė vertė, kaip nurodyta 7 šablono g skilties pildymo nurodymuose.</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 aplinkos atžvilgiu tvari veikla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kuriomis finansuojama aplinkos atžvilgiu tvari veikla (t. y. kriterijus atitinkančio turto), dalį, palyginti su visomis taksonominės veiklos turto atsargomis. Šis punktas išreiškiamas procentais.</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turto, kuriuo finansuojama aplinkos atžvilgiu tvari veikla siekiant prisitaikymo prie klimato kaitos tikslo, bendra balansinė vertė, kaip nurodyta 7 šablono h skilties pildymo nurodymuose.</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PVRR vardiklis yra įtrauktų pozicijų bendra balansinė vertė, kaip nurodyta 7 šablono a skilties pildymo nurodymuose.</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specializuoto skolinimo kategorijai priskiriamo turto atsargų, kuriomis finansuojama aplinkos atžvilgiu tvari veikla siekiant prisitaikymo prie klimato kaitos tikslo, dalį, palyginti su visomis turto atsargomis, kuriomis finansuojama aplinkos atžvilgiu tvari veikla. Šis punktas išreiškiamas procentais.</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7 šablono i skilties pildymo nurodymuose.</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prisitaikymo veikla</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Reglamento (ES) 2020/852 11 straipsnis.</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susijusių su prisitaikymo veikla siekiant prisitaikymo prie klimato kaitos tikslo, dalį, palyginti su visomis turto atsargomis, kuriomis finansuojama aplinkos atžvilgiu tvari veikla. Šis punktas išreiškiamas procentais.</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7 šablono j skilties pildymo nurodymuose.</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PVRR vardiklis yra įtraukto turto bendra balansinė vertė, kaip nurodyta 7 šablono a skilties pildymo nurodymuose.</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susijusių su sąlygas sudarančia veikla siekiant prisitaikymo prie klimato kaitos tikslo, dalį, palyginti su visomis turto atsargomis, kuriomis finansuojama aplinkos atžvilgiu tvari veikla. Šis punktas išreiškiamas procentais.</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7 šablono k skilties pildymo nurodymuose.</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PVRR vardiklis yra įtraukto turto bendra balansinė vertė, kaip nurodyta 7 šablono a skilties pildymo nurodymuose.</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Turto, kuriuo finansuojami taksonominiai sektoriai, dalis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kuriomis finansuojama taksonominė veikla (t. y. taksonominės veiklos turto) siekiant klimato kaitos švelninimo ir prisitaikymo prie klimato kaitos tikslų, dalį, palyginti su visomis įtraukto turto atsargomis. Šis punktas išreiškiamas procentais.</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turto, kuriuo finansuojami taksonominiai sektoriai, bendra balansinė vertė, kaip nurodyta 7 šablono l skilties pildymo nurodymuose.</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 aplinkos atžvilgiu tvari veikla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turto atsargų, kuriomis finansuojama aplinkos atžvilgiu tvari veikla siekiant klimato kaitos švelninimo ir prisitaikymo prie klimato kaitos tikslų, dalį, palyginti su visomis taksonominės veiklos turto atsargomis. Šis punktas išreiškiamas procentais.</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turto, kuriuo finansuojama aplinkos atžvilgiu tvari veikla, bendra balansinė vertė, kaip nurodyta 7 šablono m skilties pildymo nurodymuose.</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įtrauktų pozicijų bendra balansinė vertė, kaip nurodyta 7 šablono a skilties pildymo nurodymuose.</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specializuoto skolinimo kategorijai priskiriamo turto atsargų, kuriomis finansuojama aplinkos atžvilgiu tvari veikla siekiant klimato kaitos švelninimo ir prisitaikymo prie klimato kaitos tikslų, dalį, palyginti su visomis turto atsargomis, kuriomis finansuojama aplinkos atžvilgiu tvari veikla. Šis punktas išreiškiamas procentais.</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turto bendra balansinė vertė, kaip nurodyta 7 šablono n skilties pildymo nurodymuose.</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įtraukto turto bendra balansinė vertė, kaip nurodyta 7 šablono a skilties pildymo nurodymuose.</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perėjimo / prisitaikymo veikla</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10 ir 11 straipsniai.</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Procentinė dalis atitinka d ir i skilčių vertes.</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Procentinė dalis atitinka e ir j skilčių vertes.</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Įtraukta viso turto dalis</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viso turto dalį, įtrauktą į ŽTR. Šis punktas išreiškiamas procentais.</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įtraukto turto atsargų bendra balansinė vertė, kaip nurodyta 7 šablono 1 skilties pildymo nurodymuose.</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PVRR vardiklis yra įstaigos balanse nurodyto viso turto bendra balansinė vertė, kaip nurodyta 7 šablono 50 eilutės pildymo nurodymuose.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Naujo turto, kuriuo finansuojami taksonominiai sektoriai, dalis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kuriuo finansuojama taksonominė veikla (t. y. taksonominės veiklos turto) siekiant klimato kaitos švelninimo tikslo, dalį, palyginti su visu nauju taksonominės veiklos turtu (t. y. per einamąjį informacijos atskleidimo laikotarpį sukurtu taksonominės veiklos turtu). Naujas turtas apskaičiuojamas atėmus grąžinimus ir kitus sumažinimus.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kuriuo finansuojami taksonominiai sektoriai, bendra balansinė vertė, kaip nurodyta 7 šablono b skilties pildymo nurodymuose.</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 aplinkos atžvilgiu tvari veikla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kuriuo finansuojama aplinkos atžvilgiu tvari veikla siekiant klimato kaitos švelninimo tikslo, dalį, palyginti su visu nauju taksonominės veiklos turtu (t. y. per einamąjį informacijos atskleidimo laikotarpį sukurtu taksonominės veiklos turtu). Naujas turtas apskaičiuojamas atėmus grąžinimus ir kitus sumažinimus.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taksonominės veiklos naujo turto bendra balansinė vertė, kaip nurodyta 7 šablono c skilties pildymo nurodymuose.</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prie specializuoto skolinimo kategorijos priskiriamo naujo turto (t. y. per einamąjį informacijos atskleidimo laikotarpį sukurto turto), kuriuo finansuojama aplinkos atžvilgiu tvari veikla siekiant klimato kaitos švelninimo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8 šablono d skilties pildymo nurodymuose.</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perėjimo veikla</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Reglamento (ES) 2020/852 10 straipsnis.</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susijusio su perėjimo veikla siekiant klimato kaitos švelninimo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8 šablono e skilties pildymo nurodymuose.</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įtraukto naujo turto iš to turto bendra balansinė vertė, kaip nurodyta 7 šablono a skilties pildymo nurodymuose.</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susijusio su sąlygas sudarančia veikla siekiant klimato kaitos švelninimo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8 šablono f skilties pildymo nurodymuose.</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įtraukto naujo turto iš to turto bendra balansinė vertė, kaip nurodyta 7 šablono a skilties pildymo nurodymuose.</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Naujo turto, kuriuo finansuojami taksonominiai sektoriai, dalis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kuriuo finansuojama į Reglamento (ES) 2020/852 taikymo sritį įtraukta veikla siekiant prisitaikymo prie klimato kaitos tikslo, dalį, palyginti su visu nauju taksonominės veiklos turtu (t. y. per einamąjį informacijos atskleidimo laikotarpį sukurtu taksonominės veiklos turtu). Naujas turtas apskaičiuojamas atėmus grąžinimus ir kitus sumažinimus.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kuriuo finansuojami taksonominiai sektoriai, bendra balansinė vertė, kaip nurodyta 7 šablono g skilties pildymo nurodymuose.</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 aplinkos atžvilgiu tvari veikla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kuriuo finansuojama aplinkos atžvilgiu tvari veikla siekiant prisitaikymo prie klimato kaitos tikslo, dalį, palyginti su visu nauju taksonominės veiklos turtu (t. y. per einamąjį informacijos atskleidimo laikotarpį sukurtu taksonominės veiklos turtu). Naujas turtas apskaičiuojamas atėmus grąžinimus ir kitus sumažinimus.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7 šablono h skilties pildymo nurodymuose.</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prie specializuoto skolinimo kategorijos priskiriamo naujo turto (t. y. per einamąjį informacijos atskleidimo laikotarpį sukurto turto), kuriuo finansuojama aplinkos atžvilgiu tvari veikla siekiant prisitaikymo prie klimato kaitos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7 šablono i skilties pildymo nurodymuose.</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prisitaikymo veikla</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11 straipsnis.</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susijusio su perėjimo veikla siekiant prisitaikymo prie klimato kaitos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7 šablono j skilties pildymo nurodymuose.</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susijusio su sąlygas sudarančia veikla siekiant prisitaikymo prie klimato kaitos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7 šablono k skilties pildymo nurodymuose.</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Turto, kuriuo finansuojami taksonominiai sektoriai, dalis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kuriuo finansuojama veikla, kuria siekiama Reglamente (ES) 2020/852 nustatytų klimato kaitos švelninimo ir prisitaikymo prie klimato kaitos tikslų, dalį, palyginti su visu nauju taksonominės veiklos turtu (t. y. per einamąjį informacijos atskleidimo laikotarpį sukurtu taksonominės veiklos turtu). Naujas turtas apskaičiuojamas atėmus grąžinimus ir kitus sumažinimus.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kuriuo finansuojami taksonominiai sektoriai, bendra balansinė vertė, kaip nurodyta 7 šablono l skilties pildymo nurodymuose.</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Iš jo: aplinkos atžvilgiu tvari veikla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turto (t. y. per einamąjį informacijos atskleidimo laikotarpį sukurto turto), kuriuo finansuojama aplinkos atžvilgiu tvari veikla siekiant klimato kaitos švelninimo ir prisitaikymo prie klimato kaitos tikslų, dalį, palyginti su visu nauju taksonominės veiklos turtu (t. y. per einamąjį informacijos atskleidimo laikotarpį sukurtu taksonominės veiklos turtu). Naujas turtas apskaičiuojamas atėmus grąžinimus ir kitus sumažinimus.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7 šablono m skilties pildymo nurodymuose.</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specializuotas skolinimas</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prie specializuoto skolinimo kategorijos priskiriamo naujo turto (t. y. per einamąjį informacijos atskleidimo laikotarpį sukurto turto), kuriuo finansuojama aplinkos atžvilgiu tvari veikla siekiant klimato kaitos švelninimo ir prisitaikymo prie klimato kaitos tikslų, dalį, palyginti su visu nauju turtu (t. y. per einamąjį informacijos atskleidimo laikotarpį sukurtu turtu), kuriuo finansuojama aplinkos atžvilgiu tvari veikla. Naujas turtas apskaičiuojamas atėmus grąžinimus ir kitus sumažinimus.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naujo taksonominės veiklos turto bendra balansinė vertė, kaip nurodyta 7 šablono n skilties pildymo nurodymuose.</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PVRR vardiklis yra naujo įtraukto turto iš to turto bendra balansinė vertė, kaip nurodyta 7 šablono a skilties pildymo nurodymuose.</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perėjimo / prisitaikymo veikla</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10 ir 11 straipsniai.</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Procentinė dalis atitinka t ir y skilčių vertes.</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jos: sąlygas sudaranti veikla</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Reglamento (ES) 2020/852 16 straipsnis.</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Procentinė dalis atitinka u ir z skilčių vertes.</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Įtraukta naujo viso turto dalis</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naujo viso turto dalį, įtrauktą į ŽTR. Naujas turtas apskaičiuojamas atėmus grąžinimus ir kitus sumažinimus.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Šis punktas išreiškiamas procentais.</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PVRR skaitiklis yra einamojo informacijos atskleidimo laikotarpio (t) ir ankstesnio informacijos atskleidimo laikotarpio (t-1) įtraukto turto bendros balansinės vertės, nurodytos 7 formos 1 eilutės pildymo nurodymuose, skirtumas.</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PVRR vardiklis yra einamojo informacijos atskleidimo laikotarpio (t) ir ankstesnio informacijos atskleidimo laikotarpio (t-1) naujo viso turto bendros balansinės vertės, nurodytos 7 formos 53 eilutės pildymo nurodymuose, skirtumas.</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Eilutės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Nurodymai</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Deleguotajame reglamente (ES) 2021/2178 nurodytas </w:t>
            </w:r>
            <w:r>
              <w:rPr>
                <w:rFonts w:ascii="Times New Roman" w:hAnsi="Times New Roman"/>
                <w:b/>
                <w:noProof/>
                <w:sz w:val="24"/>
                <w:u w:val="single"/>
              </w:rPr>
              <w:t>ŽTR</w:t>
            </w:r>
            <w:r>
              <w:rPr>
                <w:rFonts w:ascii="Times New Roman" w:hAnsi="Times New Roman"/>
                <w:noProof/>
                <w:sz w:val="24"/>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Apskaičiuojant ŽTR įtraukiamos prekybai nelaikomos paskolos ir išankstiniai mokėjimai, skolos vertybiniai popieriai ir nuosavybės priemonės.</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7 šablono 1 eilutėje nurodytų pozicijų ŽTR (%).</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Finansų bendrovės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 eilutėje nurodytų pozicijų ŽTR (%).</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Kredito įstaigos</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3 eilutėje nurodytų pozicijų ŽTR (%).</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Kitos finansų bendrovės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7 eilutėje nurodytų pozicijų ŽTR (%).</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investicinės įmonės</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8 eilutėje nurodytų pozicijų ŽTR (%).</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valdymo bendrovės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12 eilutėje nurodytų pozicijų ŽTR (%).</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draudimo įmonės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16 eilutėje nurodytų pozicijų ŽTR (%).</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 finansų įmonės, kurioms taikomos Nefinansinės informacijos atskleidimo direktyvos (NIAD) informacijos atskleidimo prievolės</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7 šablono 20 eilutėje nurodytų pozicijų ŽTR (%).</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Namų ūkiai</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24 eilutėje nurodytų pozicijų ŽTR (%).</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paskolos, užtikrintos gyvenamosios paskirties nekilnojamuoju turtu</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25 eilutėje nurodytų pozicijų ŽTR (%).</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pastatų renovacijos paskolos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26 eilutėje nurodytų pozicijų ŽTR (%).</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motorinių transporto priemonių paskolos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27 eilutėje nurodytų pozicijų ŽTR (%).</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Vietos valdžios finansavimas</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28 eilutėje nurodytų pozicijų ŽTR (%).</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Būsto finansavimas</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29 eilutėje nurodytų pozicijų ŽTR (%).</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Kitas vietos valdžios institucijų finansavimas</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30 eilutėje nurodytų pozicijų ŽTR (%).</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Užtikrinimo priemonės, perimtos realizuojant nuosavybės teisę: gyvenamosios ir komercinės paskirties nekilnojamasis turtas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7 šablono 31 eilutėje nurodytų pozicijų ŽTR (%).</w:t>
            </w:r>
          </w:p>
        </w:tc>
      </w:tr>
    </w:tbl>
    <w:p w14:paraId="3F4B68A1" w14:textId="77777777" w:rsidR="00E77292" w:rsidRPr="00D3422E"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9 šablonas. Švelninimo veiksmai: BATR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Įgyvendinimo reglamento (ES) 2021/2178 9 straipsnyje nustatyta, kad ne vėliau kaip 2024 m. birželio 30 d. Komisija peržiūri to reglamento taikymą. Visų pirma Komisija turi įvertinti papildomų pakeitimų poreikį, jei prireiktų įtraukti:</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centrinės valdžios ir centrinių bankų pozicijas į finansų įmonių pagrindinių veiklos rezultatų rodiklių skaitiklį ir vardiklį;</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įmonių, kurios pagal Direktyvos 2013/34/ES 19a arba 29a straipsnį neskelbia nefinansinės ataskaitos, pozicijas į finansų įmonių pagrindinių veiklos rezultatų rodiklių skaitiklį.</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Įstaigos gali pasirinkti į šį šabloną įtraukti toliau nurodytą informaciją. Jei sandorio šalys yra ne finansų bendrovės ir neturi informacijos atskleidimo prievolių, įstaigos, dėdamos pagrįstas pastangas ir remdamosi jau turima ir savanorišku bei dvišaliu pagrindu iš savo sandorio šalių surinkta arba naudojant įverčius apskaičiuota informacija, gali atskleisti išsamesnę informaciją apie taksonominės veiklos ir kriterijus atitinkančios taksonominės veiklos, kaip nurodyta Reglamente (ES) 2020/852, kiek tai susiję su klimato kaitos švelninimo ir prisitaikymo prie klimato kaitos tikslais, nurodytais Reglamento (ES) 2020/852 9 straipsnio a ir b punktuose, pozicijas Europos ne finansų bendrovių, kurioms Direktyvoje 2013/34/ES nustatytos informacijos atskleidimo prievolės netaikomos, atžvilgiu ir pozicijas ne Europos ne finansų bendrovių, kurioms Direktyvoje 2013/34/ES nustatytos informacijos atskleidimo prievolės netaikomos, atžvilgiu. Ta informacija gali būti atskleista tik kartą, remiantis sandorio šalių kriterijus atitinkančios taksonominės veiklos apyvarta bendrosios paskirties skolinimo paskolų atveju, kaip ir ŽTR atveju.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Pirmoji šiame šablone reikalaujamos informacijos atskleidimo ataskaitinė data yra 2024 m. gruodžio 31 d. Iš įstaigų nereikalaujama šią informaciją atskleisti iki 2025 m. sausio 1 d.</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9.1 šablonas. Švelninimo veiksmai: apskaičiuojant BATR aktualus turtas</w:t>
      </w:r>
    </w:p>
    <w:p w14:paraId="72F939F1" w14:textId="77777777" w:rsidR="002812BA" w:rsidRPr="00D3422E"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Šiame šablone įstaigos gali atskleisti turto, kuris yra svarbus apskaičiuojant BATR, bendrą balansinę vertę. Šis šablonas taikomas tik toms sandorio šalims, kurioms informacijos atskleidimo prievolės netaikomos.</w:t>
      </w:r>
    </w:p>
    <w:p w14:paraId="133CFA6A" w14:textId="77777777" w:rsidR="00EF63C8" w:rsidRPr="00D3422E"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VISAS ŽTR TURTAS</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Kaip atskleista 7 šablono 32 eilutėje.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ES ne finansų bendrovės (kurioms netaikomos Nefinansinės informacijos atskleidimo direktyvos (NIAD) informacijos atskleidimo prievolės)</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pozicijas ne finansų bendrovių, apibrėžtų Įgyvendinimo reglamento (ES) 2021/451 V priedo 1 dalies 42 punkto e papunktyje, kurios yra Sąjungoje ir kurioms informacijos atskleidimo prievolės pagal Direktyvą 2013/34/ES netaikomos, atžvilgiu.</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Jeigu sandorio šaliai atskleidimo reikalavimai pagal Reglamento (ES) 2020/852 8 straipsnį netaikomi, siekdamos apskaičiuoti kriterijus atitinkančios taksonominės veiklos pozicijų procentinę dalį, kaip nurodyta Reglamente (ES) 2020/852, įstaigos gali, dėdamos pagrįstas pastangas, rinkti informaciją iš savo sandorio šalių savanorišku ir dvišaliu pagrindu per paskolos išdavimo procesą ir reguliarios kredito peržiūros ir stebėsenos procesą. Tik tuomet, kai sandorio šalis negali arba nenori pateikti atitinkamų duomenų, kredito įstaigos naudoja vidaus įverčius ir pakaitinius duomenis ir prie šablono pridedamame aiškinamajame rašte paaiškina, kokiu mastu tie įverčiai naudojami ir kokios rūšies įverčiai taikomi. Jei įstaigos negali savanorišku ir dvišaliu pagrindu surinkti ar įvertinti atitinkamos informacijos arba negali to padaryti pagrįstu būdu taip, kad nesukeltų per didelės naštos sau ir savo sandorio šalims, jos paaiškina tą faktą prie šablono pridedamame aiškinamajame rašte, nurodydamos priežastis ir susijusias sandorio šalis.</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Kai atskleidžiama informacija susijusi su įmonėmis, kurioms pagal Direktyvą 2013/34/ES informacijos atskleidimo prievolės netaikomos, įskaitant mažąsias ir vidutines įmones (MVĮ), vertindamos bendrosios paskirties skolinimą ir (arba) finansavimą, kurio pajamų panaudojimas nežinomas, įstaigos taiko supaprastintą metodą ir daugiausia dėmesio skiria įmonės pagrindinei ekonominei veiklai, tai yra, pagrindiniam apyvartos šaltiniui, kad nustatytų bendrą pozicijų atitiktį Reglamentui (ES) 2020/852. Specializuoto skolinimo atveju vertinimas grindžiamas tuo, kokiu mastu konkretus finansuojamas projektas laikomas svariai prisidedančiu prie klimato kaitos švelninimo ar prisitaikymo prie jos (konkretaus projekto informacija). </w:t>
            </w:r>
          </w:p>
          <w:p w14:paraId="0069EE67" w14:textId="77777777" w:rsidR="00EF3EEA" w:rsidRPr="00D3422E"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paskolos, užtikrintos komercinės paskirties nekilnojamuoju turtu</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Pozicijos, nurodytos Įgyvendinimo reglamento (ES) 2021/451 V priedo 2 dalies 173 punkto a papunktyje ir 239ix punkte.</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Tų pozicijų atitiktis taksonomijai, kaip nurodyta Reglamente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w:t>
            </w:r>
          </w:p>
          <w:p w14:paraId="15327AF8" w14:textId="77777777" w:rsidR="00EF3EEA" w:rsidRPr="00D3422E"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Iš jų: pastatų renovacijos paskolos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Pastatui renovuoti skirtos paskolos, suteiktos MVĮ ir kitoms ne finansų bendrovėms, kurioms informacijos atskleidimo prievolės pagal Direktyvą 2014/95/ES netaikomos.</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Šių pozicijų atitiktis taksonomijai, kaip nurodyta Reglamente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w:t>
            </w:r>
          </w:p>
          <w:p w14:paraId="72281082" w14:textId="77777777" w:rsidR="00EF3EEA" w:rsidRPr="00D3422E"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 ES ne finansų bendrovės (kurioms netaikomos NIAD informacijos atskleidimo prievolės)</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Pozicijos ne finansų bendrovių, kaip nurodyta Įgyvendinimo reglamento (ES) 2021/451 V priedo 1 dalies 42 punkto e papunktyje, kurios yra ne Sąjungoje ir kurioms informacijos atskleidimo prievolės pagal Direktyvą 2014/95/ES netaikomos, atžvilgiu.</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Kai įstaigos tą informaciją teikia vykdydamos informacijos atskleidimo prievoles pagal Reglamento (ES) 2020/852 8 straipsnį, laikydamosi Deleguotojo reglamento (ES) 2021/2178 7 straipsnio 7 dalies, jos čia atskleidžia tą pačią informaciją. Kitu atveju įstaigos renka informaciją iš savo sandorio šalių dvišaliu pagrindu per paskolos išdavimo procesą ir reguliarios kredito peržiūros ir stebėsenos procesą arba naudoja toliau nurodytus pakaitinius duomenis siekdamos atskleisti informaciją apie ne ES pozicijas, dėdamos visas pastangas:</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savo pačių modelius ir pozicijų klasifikaciją pagal juos; šiuo atveju įstaigos paaiškina pagrindines taikomų modelių ypatybes;</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kai yra, sandorio šalių viešai atskleistą informaciją pagal tarptautinius standartus (įskaitant TCFD); tuo atveju įstaigos paaiškina, kokios rūšies informacija yra prieinama ir kokie standartai taikomi;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kitus viešai prieinamus duomenis.</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Prie šio šablono pridedamame aiškinamajame rašte įstaigos turi paaiškinti, kokius šaltinius naudojo šiai informacijai atskleisti. Jei įstaigos negali dvišaliu pagrindu surinkti ar įvertinti atitinkamos informacijos arba negali to padaryti pagrįstu būdu taip, kad nesukeltų per didelės naštos sau ir savo sandorio šalims, jos paaiškina tą faktą prie šablono pridedamame aiškinamajame rašte, nurodydamos priežastis ir susijusias sandorio šalis.</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Šios rūšies sandorio šalių atveju vertindamos bendrosios paskirties skolinimą ir (arba) finansavimą, kurio pajamų panaudojimas nežinomas, įstaigos taiko supaprastintą metodą ir daugiausia dėmesio skiria įmonės pagrindinei ekonominei veiklai, tai yra, pagrindiniam apyvartos šaltiniui, kad nustatytų bendrą pozicijų atitiktį Reglamentui (ES) 2020/852. Specializuoto skolinimo atveju vertinimas grindžiamas tuo, kokiu mastu ir kokia dalimi konkretus finansuojamas projektas laikomas svariai prisidedančiu prie klimato kaitos švelninimo ar prisitaikymo prie jos (konkretaus projekto informacija), o nekilnojamojo turto portfelio vertinimas atliekamas klimato kaitos švelninimo tikslo atžvilgiu remiantis pagrindinės užtikrinimo priemonės energijos vartojimo efektyvumu ir jos atitiktimi Reglamente (ES) 2020/852 atitinkamai veiklai nustatytais kriterijais.</w:t>
            </w:r>
          </w:p>
          <w:p w14:paraId="358D71B0" w14:textId="77777777" w:rsidR="00EF3EEA" w:rsidRPr="00D3422E"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12 eilutė</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VISAS BATR TURTAS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1, 2 ir 8 eilučių suma</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13–19 eilutės</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Žr. apibrėžtis 7 šablone (41–50 eilutės)</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9.2 šablonas. BATR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Šiame šablone įstaigos gali atskleisti BATR turto, atskleisto 1 šablone, procentinę dalį, palyginti su visu turtu BATR vardiklyje, atskleistu 9.1. šablono 17 eilutėje.</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9.3 šablonas. BATR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Šiame šablone pateikiama BATR PVRR santrauka, išskaidant duomenis pagal klimato kaitos aplinkos tikslą, taip pat bendra suma, ir išskaidant atsargų ir srautų duomenis.</w:t>
      </w:r>
    </w:p>
    <w:p w14:paraId="66911CDE" w14:textId="77777777" w:rsidR="006C4055" w:rsidRPr="00D3422E"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10 šablonas. Kiti klimato kaitos švelninimo veiksmai, neįtraukti į Reglamentą (ES) 2020/852</w:t>
      </w:r>
    </w:p>
    <w:p w14:paraId="62FA978B" w14:textId="77777777" w:rsidR="00E77292" w:rsidRPr="00D3422E"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Šis šablonas apima kitus klimato kaitos švelninimo veiksmus ir įstaigų pozicijas, kurie Reglamente (ES) 2020/852 nurodytų taksonominės veiklos kriterijų neatitinka ir nėra įtraukti į 7 ir 8 šablonus, tačiau vis tiek padeda sandorio šalims perėjimo ir prisitaikymo procese siekiant klimato kaitos švelninimo ir prisitaikymo prie klimato kaitos tikslų. Tie švelninimo veiksmai apima obligacijas ir paskolas, išleistas ir suteiktas pagal kitus standartus nei Sąjungos standartai, įskaitant žaliąsias obligacijas; tvarias obligacijas, susietas su klimato kaitos aspektais; su tvarumu susijusias obligacijas, susietas su klimato kaitos aspektais; žaliąsias paskolas; su tvarumu susijusias paskolas, susietas su klimato kaitos aspektais; su tvarumu susijusias paskolas, susietas su klimato kaitos aspektais.</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į aiškinamąjį raštą, pridedamą prie šio šablono, įtraukia išsamų paaiškinimą apie šiame šablone nurodytų švelninimo veiksmų pobūdį ir rūšį, įskaitant informaciją apie rizikos, kurią jos siekia mažinti, rūšį, klimato kaitos tikslus, kuriuos jos remia, ir informaciją apie susijusias sandorio šalis ir veiksmų laiką. Jos taip pat paaiškina, kodėl tos pozicijos ne visiškai atitinka Reglamente (ES) 2020/852 nustatytus kriterijus ir nėra tvarios pagal Reglamentą (ES) 2020/852, tačiau vis tiek prisideda prie su klimato kaita susijusios pertvarkos rizikos arba fizinės rizikos mažinimo, taip pat pateikia visą kitą svarbią informaciją, kuri gali padėti suprasti įstaigos rizikos valdymo sistemą.</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Įstaigos pradeda atskleisti į šablonus įtrauktą informaciją, kurios pirmoji informacijos atskleidimo ataskaitinė data yra 2022 m. gruodžio 31 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Nurodymai</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Finansinės priemonės rūšis</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finansinių priemonių rūšį, kaip nurodyta Įgyvendinimo reglamento (ES) 2021/451 V priede.</w:t>
            </w:r>
          </w:p>
          <w:p w14:paraId="78119A27" w14:textId="59D14990" w:rsidR="00892F35" w:rsidRPr="00D3422E"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Sandorio šalies rūšis</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sandorio šalies rūšį, kaip nurodyta Įgyvendinimo reglamento (ES) 2021/451 V priedo 1 dalies 42 punkte.</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Bendra balansinė vertė (mln.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Įstaigos atskleidžia bendrą balansinę vertę, kaip nurodyta Įgyvendinimo reglamento (ES) 2021/451 V priedo 1 dalies 34 punkte.</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Mažinamos rizikos rūšis (su klimato kaita susijusi pertvarkos rizika)</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Įstaigos atskleidžia rizikos, kuri mažinama tuo veiksmu, rūšį: su klimato kaita susijusi pertvarkos rizika.</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Mažinamos rizikos rūšis (su klimato kaita susijusi fizinė rizika)</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Įstaigos atskleidžia rizikos, kuri mažinama tuo veiksmu, rūšį: su klimato kaita susijusi fizinė rizika.</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Kokybinė informacija apie švelninimo veiksmų pobūdį</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Įstaigos aprašo švelninimo veiksmų, kuriais prisidedama prie klimato kaitos švelninimo, kaip nurodyta Reglamento (ES) 2020/852 10 straipsnyje, ir prie prisitaikymo prie klimato kaitos, kaip nurodyta to reglamento 11 straipsnyje, pobūdį ir priežastis, kodėl pozicijos nelaikomos atitinkančiomis taksonominės veiklos kriterijus ŽTR tikslu.</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OL L 282, 2016 10 19, p.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 xml:space="preserve">COM(2019) 640 </w:t>
      </w:r>
      <w:r>
        <w:rPr>
          <w:rFonts w:ascii="Times New Roman" w:hAnsi="Times New Roman"/>
          <w:i/>
          <w:noProof/>
          <w:sz w:val="20"/>
        </w:rPr>
        <w:t>final</w:t>
      </w:r>
      <w:r>
        <w:rPr>
          <w:rFonts w:ascii="Times New Roman" w:hAnsi="Times New Roman"/>
          <w:noProof/>
          <w:sz w:val="20"/>
        </w:rPr>
        <w:t>.</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2014 m. spalio 22 d. Europos Parlamento ir Tarybos direktyva 2014/95/ES, kuria iš dalies keičiamos Direktyvos 2013/34/ES nuostatos dėl tam tikrų didžiųjų įmonių ir grupių nefinansinės ir įvairovės informacijos atskleidimo (OL L 330, 2014 11 15, p.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(OL C 209, 2019 6 20, p.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Su klimatu susijusios finansinės informacijos atskleidimo darbo grupės rekomendacijos,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Jungtinių Tautų aplinkos programos finansų iniciatyva (angl.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Pasaulinės atsiskaitymo iniciatyvos informacijos apie tvarumą teikimo standartai,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Jungtinių Tautų atsakingo investavimo principai (angl.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2006 m. gruodžio 20 d. Europos Parlamento ir Tarybos reglamentas (EB) Nr. 1893/2006, nustatantis statistinį ekonominės veiklos rūšių klasifikatorių NACE 2 red. ir iš dalies keičiantis Tarybos reglamentą (EEB) Nr. 3037/90 bei tam tikrus EB reglamentus dėl konkrečių statistikos sričių (OL L 393, 2006 12 30, p.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2020 m. liepos 17 d. Komisijos deleguotasis reglamentas (ES) 2020/1818, kuriuo Europos Parlamento ir Tarybos reglamentas (ES) 2016/1011 papildomas ES prisitaikymo prie klimato kaitos lyginamųjų indeksų ir ES su Paryžiaus susitarimu suderintų lyginamųjų indeksų minimaliaisiais standartais (OL L 406, 2020 12 3, p.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1986 m. gruodžio 8 d. Tarybos direktyva 86/635/EEB dėl bankų ir kitų finansų įstaigų metinės finansinės atskaitomybės ir konsoliduotos finansinės atskaitomybės (OL L 372, 1986 12 31,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2010 m. gegužės 19 d. Europos Parlamento ir Tarybos direktyva 2010/31/ES dėl pastatų energinio naudingumo (OL L 153, 2010 6 18, p.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2012 m. spalio 25 d. Europos Parlamento ir Tarybos direktyva 2012/27/ES dėl energijos vartojimo efektyvumo, kuria iš dalies keičiamos direktyvos 2009/125/EB ir 2010/30/ES bei kuria panaikinamos direktyvos 2004/8/EB ir 2006/32/EB (OL L 315, 2012 11 14, p.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 IEA (2021), World Energy Model, IEA, Paryžius,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2021 m. ataskaitą galima rasti paspaudus šią </w:t>
      </w:r>
      <w:hyperlink r:id="rId21" w:history="1">
        <w:r>
          <w:rPr>
            <w:rStyle w:val="Hyperlink"/>
            <w:rFonts w:ascii="Times New Roman" w:hAnsi="Times New Roman"/>
            <w:noProof/>
            <w:sz w:val="20"/>
          </w:rPr>
          <w:t>nuorodą</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Daugiau pavyzdžių pateikta UNEP FI ir </w:t>
      </w:r>
      <w:r>
        <w:rPr>
          <w:rFonts w:ascii="Times New Roman" w:hAnsi="Times New Roman"/>
          <w:i/>
          <w:noProof/>
          <w:sz w:val="20"/>
        </w:rPr>
        <w:t>Acclimatise</w:t>
      </w:r>
      <w:r>
        <w:rPr>
          <w:rFonts w:ascii="Times New Roman" w:hAnsi="Times New Roman"/>
          <w:noProof/>
          <w:sz w:val="20"/>
        </w:rPr>
        <w:t xml:space="preserve"> ataskaitoje „Chartering New Climate. State-of-the-art tools and data for banks to assess credit risks and opportunities from physical climate change impacts“, 2020 m. rugsėjo mėn.,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xml:space="preserve"> Ataskaitoje pateikiama išsami informacija apie apimamus laikotarpius, ateities scenarijų naudojimą, erdvinę skiriamąją gebą ir aprėptį, iš atitinkamų duomenų rinkinių gautinų rezultatų formatą, taip pat licencijavimą ir išlaidas (atkreipkite dėmesį, kad dauguma portalų ir duomenų bazių yra laisvai prieinami). Be to, ataskaitoje išsamiau aprašomi skirtingi fizinės rizikos vertinimo ir matavimo metodai, kaip antai spalvų intensyvumo žemėlapis, koreliacijos analizė, specialios priemonės ir analizės.</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2021 m. liepos 6 d. Komisijos deleguotasis reglamentas (ES) 2021/2178, kuriuo Europos Parlamento ir Tarybos reglamentas (ES) 2020/852 papildomas nustatant įmonių, kurioms taikomas Direktyvos 2013/34/ES 19a arba 29a straipsnis, atskleistinos informacijos apie aplinkos atžvilgiu tvarią veiklą turinį bei pateikimą ir nustatant metodiką, taikytiną vykdant tą informacijos atskleidimo prievolę (OL L 443, 2021 12 10, p.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2021 m. birželio 4 d. Komisijos deleguotasis reglamentas (ES) 2021/2139, kuriuo Europos Parlamento ir Tarybos reglamentas (ES) 2020/852 papildomas nustatant techninės analizės kriterijus, pagal kuriuos nustatoma, kokiomis sąlygomis ekonominė veikla laikoma svariai prisidedančia prie klimato kaitos švelninimo arba prisitaikymo prie jos ir ar ta ekonominė veikla nedaro reikšmingos žalos kitiems aplinkos tikslams (OL L 442, 2021 12 9, p.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D3422E" w:rsidRDefault="00D3422E" w:rsidP="00A00E34">
      <w:r>
        <w:separator/>
      </w:r>
    </w:p>
    <w:p w14:paraId="4CEB7E4C" w14:textId="77777777" w:rsidR="00D3422E" w:rsidRDefault="00D3422E"/>
  </w:endnote>
  <w:endnote w:type="continuationSeparator" w:id="0">
    <w:p w14:paraId="505613E5" w14:textId="77777777" w:rsidR="00D3422E" w:rsidRDefault="00D3422E" w:rsidP="00A00E34">
      <w:r>
        <w:continuationSeparator/>
      </w:r>
    </w:p>
    <w:p w14:paraId="11461B2D" w14:textId="77777777" w:rsidR="00D3422E" w:rsidRDefault="00D3422E"/>
  </w:endnote>
  <w:endnote w:type="continuationNotice" w:id="1">
    <w:p w14:paraId="3B61BFD7" w14:textId="77777777" w:rsidR="00D3422E" w:rsidRDefault="00D34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3FDC7" w14:textId="77777777" w:rsidR="00880D31" w:rsidRPr="00880D31" w:rsidRDefault="00880D31" w:rsidP="00880D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6017E" w14:textId="7CDC7C6D" w:rsidR="00D3422E" w:rsidRPr="00880D31" w:rsidRDefault="00880D31" w:rsidP="00880D31">
    <w:pPr>
      <w:pStyle w:val="FooterCoverPage"/>
      <w:rPr>
        <w:rFonts w:ascii="Arial" w:hAnsi="Arial" w:cs="Arial"/>
        <w:b/>
        <w:sz w:val="48"/>
      </w:rPr>
    </w:pPr>
    <w:r w:rsidRPr="00880D31">
      <w:rPr>
        <w:rFonts w:ascii="Arial" w:hAnsi="Arial" w:cs="Arial"/>
        <w:b/>
        <w:sz w:val="48"/>
      </w:rPr>
      <w:t>LT</w:t>
    </w:r>
    <w:r w:rsidRPr="00880D31">
      <w:rPr>
        <w:rFonts w:ascii="Arial" w:hAnsi="Arial" w:cs="Arial"/>
        <w:b/>
        <w:sz w:val="48"/>
      </w:rPr>
      <w:tab/>
    </w:r>
    <w:r w:rsidRPr="00880D31">
      <w:rPr>
        <w:rFonts w:ascii="Arial" w:hAnsi="Arial" w:cs="Arial"/>
        <w:b/>
        <w:sz w:val="48"/>
      </w:rPr>
      <w:tab/>
    </w:r>
    <w:r w:rsidRPr="00880D31">
      <w:tab/>
    </w:r>
    <w:r w:rsidRPr="00880D31">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04A3" w14:textId="77777777" w:rsidR="00880D31" w:rsidRPr="00880D31" w:rsidRDefault="00880D31" w:rsidP="00880D3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D3422E" w:rsidRDefault="00D3422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095B1F8F" w:rsidR="00D3422E" w:rsidRDefault="00D3422E" w:rsidP="001B2797">
        <w:pPr>
          <w:pStyle w:val="Footer"/>
          <w:ind w:left="7938"/>
        </w:pPr>
        <w:r>
          <w:fldChar w:fldCharType="begin"/>
        </w:r>
        <w:r>
          <w:instrText xml:space="preserve"> PAGE   \* MERGEFORMAT </w:instrText>
        </w:r>
        <w:r>
          <w:fldChar w:fldCharType="separate"/>
        </w:r>
        <w:r w:rsidR="00880D31">
          <w:rPr>
            <w:noProof/>
          </w:rPr>
          <w:t>1</w:t>
        </w:r>
        <w:r>
          <w:fldChar w:fldCharType="end"/>
        </w:r>
      </w:p>
    </w:sdtContent>
  </w:sdt>
  <w:p w14:paraId="2113419C" w14:textId="77777777" w:rsidR="00D3422E" w:rsidRDefault="00D342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D3422E" w:rsidRDefault="00D34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D3422E" w:rsidRPr="00DB5E8F" w:rsidRDefault="00D3422E">
      <w:pPr>
        <w:rPr>
          <w:sz w:val="12"/>
          <w:szCs w:val="12"/>
        </w:rPr>
      </w:pPr>
      <w:r>
        <w:rPr>
          <w:sz w:val="12"/>
          <w:szCs w:val="12"/>
        </w:rPr>
        <w:separator/>
      </w:r>
    </w:p>
  </w:footnote>
  <w:footnote w:type="continuationSeparator" w:id="0">
    <w:p w14:paraId="6395A9F8" w14:textId="77777777" w:rsidR="00D3422E" w:rsidRDefault="00D3422E" w:rsidP="00A00E34">
      <w:r>
        <w:continuationSeparator/>
      </w:r>
    </w:p>
    <w:p w14:paraId="7FA67525" w14:textId="77777777" w:rsidR="00D3422E" w:rsidRDefault="00D3422E"/>
  </w:footnote>
  <w:footnote w:type="continuationNotice" w:id="1">
    <w:p w14:paraId="1A8E4801" w14:textId="77777777" w:rsidR="00D3422E" w:rsidRDefault="00D342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787B" w14:textId="77777777" w:rsidR="00880D31" w:rsidRPr="00880D31" w:rsidRDefault="00880D31" w:rsidP="00880D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9A912" w14:textId="77777777" w:rsidR="00880D31" w:rsidRPr="00880D31" w:rsidRDefault="00880D31" w:rsidP="00880D3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955A1" w14:textId="77777777" w:rsidR="00880D31" w:rsidRPr="00880D31" w:rsidRDefault="00880D31" w:rsidP="00880D3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D3422E" w:rsidRDefault="00D3422E">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D3422E" w:rsidRPr="00245103" w:rsidRDefault="00D3422E">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D3422E" w:rsidRPr="00245103" w:rsidRDefault="00D3422E">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D3422E" w:rsidRDefault="00D342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D3422E" w:rsidRDefault="00D3422E">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D3422E" w:rsidRPr="00245103" w:rsidRDefault="00D3422E">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D3422E" w:rsidRPr="00245103" w:rsidRDefault="00D3422E">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prie"/>
    <w:docVar w:name="LW_ANNEX_NBR_FIRST" w:val="2"/>
    <w:docVar w:name="LW_ANNEX_NBR_LAST" w:val="2"/>
    <w:docVar w:name="LW_ANNEX_UNIQUE" w:val="0"/>
    <w:docVar w:name="LW_CORRIGENDUM" w:val="&lt;UNUSED&gt;"/>
    <w:docVar w:name="LW_COVERPAGE_EXISTS" w:val="True"/>
    <w:docVar w:name="LW_COVERPAGE_GUID" w:val="AE18F518-2CFB-473C-AC08-2F7177DC97CA"/>
    <w:docVar w:name="LW_COVERPAGE_TYPE" w:val="1"/>
    <w:docVar w:name="LW_CROSSREFERENCE" w:val="&lt;UNUSED&gt;"/>
    <w:docVar w:name="LW_DocType" w:val="EBA GL-REC 20XX XX (FINAL GLS-REC ON"/>
    <w:docVar w:name="LW_EMISSION" w:val="2022 11 30"/>
    <w:docVar w:name="LW_EMISSION_ISODATE" w:val="2022-11-30"/>
    <w:docVar w:name="LW_EMISSION_LOCATION" w:val="BRX"/>
    <w:docVar w:name="LW_EMISSION_PREFIX" w:val="Briuselis, "/>
    <w:docVar w:name="LW_EMISSION_SUFFIX" w:val=" "/>
    <w:docVar w:name="LW_ID_DOCTYPE_NONLW" w:val="CP-038"/>
    <w:docVar w:name="LW_LANGUE" w:val="LT"/>
    <w:docVar w:name="LW_LEVEL_OF_SENSITIVITY" w:val="Standard treatment"/>
    <w:docVar w:name="LW_NOM.INST" w:val="EUROPOS KOMISIJA"/>
    <w:docVar w:name="LW_NOM.INST_JOINTDOC" w:val="&lt;EMPTY&gt;"/>
    <w:docVar w:name="LW_OBJETACTEPRINCIPAL.CP" w:val="kuriuo dėl informacijos apie aplinkosauginę, socialinę ir valdymo riziką atskleidimo iš dalies keičiami Įgyvendinimo reglamente (ES) 2021/637 nustatyti techniniai įgyvendinimo standartai_x000d__x000d__x000d__x000d__x000b__x000d__x000d__x000d__x000d__x000b__x000d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EDAS_x000b_"/>
    <w:docVar w:name="LW_TYPEACTEPRINCIPAL.CP" w:val="Komisijos įgyvendinimo reglamento (ES)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24D"/>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4598"/>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3FEA"/>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0D31"/>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74C"/>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1E1D"/>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2C5"/>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422E"/>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1CC1"/>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t-LT"/>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lt-LT"/>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lt-LT"/>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lt-LT"/>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lt-LT"/>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lt-LT"/>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lt-LT"/>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6C09-4E9E-472E-AEAE-85FE2FB4E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30</Pages>
  <Words>18417</Words>
  <Characters>104983</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16</cp:revision>
  <dcterms:created xsi:type="dcterms:W3CDTF">2022-11-17T09:22:00Z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