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9D01F9" w:rsidRDefault="001D1628" w:rsidP="001D1628">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EEDCF97A-6530-44E5-B3B3-26BDA3E315D3" style="width:455.25pt;height:414pt">
            <v:imagedata r:id="rId8" o:title=""/>
          </v:shape>
        </w:pict>
      </w:r>
    </w:p>
    <w:p w:rsidR="003C122C" w:rsidRPr="009D01F9" w:rsidRDefault="003C122C">
      <w:pPr>
        <w:rPr>
          <w:noProof/>
        </w:rPr>
        <w:sectPr w:rsidR="003C122C" w:rsidRPr="009D01F9" w:rsidSect="001D1628">
          <w:footerReference w:type="default" r:id="rId9"/>
          <w:pgSz w:w="11907" w:h="16839"/>
          <w:pgMar w:top="1134" w:right="1417" w:bottom="1134" w:left="1417" w:header="709" w:footer="709" w:gutter="0"/>
          <w:pgNumType w:start="0"/>
          <w:cols w:space="720"/>
          <w:docGrid w:linePitch="360"/>
        </w:sectPr>
      </w:pPr>
    </w:p>
    <w:p w:rsidR="003C122C" w:rsidRPr="009D01F9" w:rsidRDefault="009D01F9" w:rsidP="009D01F9">
      <w:pPr>
        <w:pStyle w:val="Typedudocument"/>
        <w:rPr>
          <w:noProof/>
        </w:rPr>
      </w:pPr>
      <w:bookmarkStart w:id="0" w:name="_GoBack"/>
      <w:bookmarkEnd w:id="0"/>
      <w:r w:rsidRPr="009D01F9">
        <w:rPr>
          <w:noProof/>
        </w:rPr>
        <w:lastRenderedPageBreak/>
        <w:t>DURCHFÜHRUNGSVERORDNUNG (EU) .../... DER KOMMISSION</w:t>
      </w:r>
    </w:p>
    <w:p w:rsidR="003C122C" w:rsidRPr="009D01F9" w:rsidRDefault="00D44778" w:rsidP="009D01F9">
      <w:pPr>
        <w:pStyle w:val="Datedadoption"/>
        <w:rPr>
          <w:noProof/>
        </w:rPr>
      </w:pPr>
      <w:r>
        <w:t>vom 30.11.2022</w:t>
      </w:r>
    </w:p>
    <w:p w:rsidR="003C122C" w:rsidRPr="009D01F9" w:rsidRDefault="009D01F9" w:rsidP="009D01F9">
      <w:pPr>
        <w:pStyle w:val="Titreobjet"/>
        <w:rPr>
          <w:noProof/>
        </w:rPr>
      </w:pPr>
      <w:r w:rsidRPr="009D01F9">
        <w:rPr>
          <w:noProof/>
        </w:rPr>
        <w:t xml:space="preserve">zur Änderung der in der Durchführungsverordnung (EU) 2021/637 festgelegten technischen Durchführungsstandards im Hinblick auf die Offenlegung der Umwelt-, Sozial- und Unternehmensführungsrisiken </w:t>
      </w:r>
      <w:r w:rsidRPr="009D01F9">
        <w:rPr>
          <w:noProof/>
        </w:rPr>
        <w:br/>
      </w:r>
    </w:p>
    <w:p w:rsidR="003C122C" w:rsidRPr="009D01F9" w:rsidRDefault="009D01F9" w:rsidP="009D01F9">
      <w:pPr>
        <w:pStyle w:val="IntrtEEE"/>
        <w:rPr>
          <w:noProof/>
        </w:rPr>
      </w:pPr>
      <w:r w:rsidRPr="009D01F9">
        <w:rPr>
          <w:noProof/>
        </w:rPr>
        <w:t>(Text von Bedeutung für den EWR)</w:t>
      </w:r>
    </w:p>
    <w:p w:rsidR="003C122C" w:rsidRPr="009D01F9" w:rsidRDefault="003C122C" w:rsidP="004E1EF9">
      <w:pPr>
        <w:pStyle w:val="Institutionquiagit"/>
        <w:rPr>
          <w:noProof/>
        </w:rPr>
      </w:pPr>
      <w:r w:rsidRPr="009D01F9">
        <w:rPr>
          <w:noProof/>
        </w:rPr>
        <w:t>DIE EUROPÄISCHE KOMMISSION —</w:t>
      </w:r>
    </w:p>
    <w:p w:rsidR="003C122C" w:rsidRPr="009D01F9" w:rsidRDefault="003C122C" w:rsidP="003C122C">
      <w:pPr>
        <w:rPr>
          <w:noProof/>
          <w:color w:val="000000"/>
        </w:rPr>
      </w:pPr>
      <w:r w:rsidRPr="009D01F9">
        <w:rPr>
          <w:noProof/>
          <w:color w:val="000000"/>
        </w:rPr>
        <w:t>gestützt auf den Vertrag über die Arbeitsweise der Europäischen Union,</w:t>
      </w:r>
    </w:p>
    <w:p w:rsidR="003C122C" w:rsidRPr="009D01F9" w:rsidRDefault="003C122C" w:rsidP="003C122C">
      <w:pPr>
        <w:rPr>
          <w:noProof/>
          <w:color w:val="000000"/>
        </w:rPr>
      </w:pPr>
      <w:r w:rsidRPr="009D01F9">
        <w:rPr>
          <w:noProof/>
          <w:color w:val="000000"/>
        </w:rPr>
        <w:t>gestützt auf die Verordnung (EU) Nr. 575/2013 des Europäischen Parlaments und des Rates vom 26. Juni 2013 über Aufsichtsanforderungen an Kreditinstitute und zur Änderung der Verordnung (EU) Nr. 648/2012</w:t>
      </w:r>
      <w:r w:rsidRPr="009D01F9">
        <w:rPr>
          <w:rStyle w:val="FootnoteReference"/>
          <w:noProof/>
        </w:rPr>
        <w:footnoteReference w:id="1"/>
      </w:r>
      <w:r w:rsidRPr="009D01F9">
        <w:rPr>
          <w:noProof/>
          <w:color w:val="000000"/>
        </w:rPr>
        <w:t>, insbesondere auf Artikel 434a,</w:t>
      </w:r>
    </w:p>
    <w:p w:rsidR="003C122C" w:rsidRPr="009D01F9" w:rsidRDefault="003C122C" w:rsidP="004E1EF9">
      <w:pPr>
        <w:rPr>
          <w:noProof/>
        </w:rPr>
      </w:pPr>
      <w:r w:rsidRPr="009D01F9">
        <w:rPr>
          <w:noProof/>
        </w:rPr>
        <w:t>in Erwägung nachstehender Gründe:</w:t>
      </w:r>
    </w:p>
    <w:p w:rsidR="00410340" w:rsidRPr="009D01F9" w:rsidRDefault="001C79AD" w:rsidP="001C79AD">
      <w:pPr>
        <w:pStyle w:val="ManualConsidrant"/>
        <w:rPr>
          <w:noProof/>
          <w:color w:val="000000"/>
        </w:rPr>
      </w:pPr>
      <w:r w:rsidRPr="001C79AD">
        <w:t>(1)</w:t>
      </w:r>
      <w:r w:rsidRPr="001C79AD">
        <w:tab/>
      </w:r>
      <w:r w:rsidR="007067A9" w:rsidRPr="009D01F9">
        <w:rPr>
          <w:noProof/>
        </w:rPr>
        <w:t>In der Durchführungsverordnung (EU) 2021/637</w:t>
      </w:r>
      <w:r w:rsidR="007067A9" w:rsidRPr="009D01F9">
        <w:rPr>
          <w:rStyle w:val="FootnoteReference"/>
          <w:noProof/>
        </w:rPr>
        <w:footnoteReference w:id="2"/>
      </w:r>
      <w:r w:rsidR="007067A9" w:rsidRPr="009D01F9">
        <w:rPr>
          <w:noProof/>
        </w:rPr>
        <w:t xml:space="preserve"> der Kommission sind einheitliche Offenlegungsformate und zugehörige Erläuterungen für die nach Maßgabe der Titel II und III der Verordnung (EU) Nr. 575/2013 geforderten Offenlegungen festgelegt. Die Verordnung (EU) Nr. 575/2013 wurde durch die Verordnung (EU) 2019/876</w:t>
      </w:r>
      <w:r w:rsidR="007067A9" w:rsidRPr="009D01F9">
        <w:rPr>
          <w:rStyle w:val="FootnoteReference"/>
          <w:noProof/>
        </w:rPr>
        <w:footnoteReference w:id="3"/>
      </w:r>
      <w:r w:rsidR="007067A9" w:rsidRPr="009D01F9">
        <w:rPr>
          <w:noProof/>
        </w:rPr>
        <w:t xml:space="preserve"> geändert, wobei unter anderem ein neuer Artikel 449a aufgenommen wurde. Nach diesem Artikel müssen große Institute, die Wertpapiere emittiert haben, die zum Handel auf einem geregelten Markt eines Mitgliedstaats zugelassen sind, ab dem 28. Juni 2022 Informationen zu Umwelt-, Sozial- und Unternehmensführungsrisiken (environmental, social and governance risks – ESG-Risiken) einschließlich physischer Risiken und Transitionsrisiken offenlegen. Dieser Änderung der Verordnung (EU) Nr. 575/2013 sollte in der Durchführungsverordnung (EU) 2021/637 der Kommission Rechnung getragen werden, indem über die bestehenden einheitlichen Offenlegungsformate und zugehörigen Erläuterungen hinaus zusätzliche einheitliche Offenlegungsformate und zugehörige Erläuterungen für die Offenlegung von ESG-Risiken festgelegt werden.</w:t>
      </w:r>
    </w:p>
    <w:p w:rsidR="00410340" w:rsidRPr="009D01F9" w:rsidRDefault="001C79AD" w:rsidP="001C79AD">
      <w:pPr>
        <w:pStyle w:val="ManualConsidrant"/>
        <w:rPr>
          <w:noProof/>
        </w:rPr>
      </w:pPr>
      <w:r w:rsidRPr="001C79AD">
        <w:t>(2)</w:t>
      </w:r>
      <w:r w:rsidRPr="001C79AD">
        <w:tab/>
      </w:r>
      <w:r w:rsidR="00410340" w:rsidRPr="009D01F9">
        <w:rPr>
          <w:noProof/>
        </w:rPr>
        <w:t>Bei der Festlegung einheitlicher Offenlegungsformate sollte die vollständige Wesentlichkeit der offenzulegenden Informationen berücksichtigt werden. Dies bedeutet, dass die Offenlegungen der Institute sowohl die finanziellen Auswirkungen von ESG-Faktoren auf die Wirtschafts- und Finanztätigkeiten der Institute (Perspektive von außen nach innen) abdecken sollten als auch die ESG-Faktoren, die durch die Tätigkeiten der Institute selbst ausgelöst werden können, wodurch diese Tätigkeiten finanziell wesentlich werden, wenn sie die Interessenträger der Institute betreffen (Perspektive von innen nach außen). Infolgedessen sollten die für diese Offenlegungen verwendeten Tabellen und Meldebögen ausreichend umfassende und vergleichbare Informationen über ESG-Risiken enthalten, damit die Nutzer dieser Informationen das Risikoprofil von Instituten beurteilen können.</w:t>
      </w:r>
    </w:p>
    <w:p w:rsidR="00410340" w:rsidRPr="009D01F9" w:rsidRDefault="001C79AD" w:rsidP="001C79AD">
      <w:pPr>
        <w:pStyle w:val="ManualConsidrant"/>
        <w:rPr>
          <w:noProof/>
        </w:rPr>
      </w:pPr>
      <w:r w:rsidRPr="001C79AD">
        <w:t>(3)</w:t>
      </w:r>
      <w:r w:rsidRPr="001C79AD">
        <w:tab/>
      </w:r>
      <w:r w:rsidR="00A525E2" w:rsidRPr="009D01F9">
        <w:rPr>
          <w:noProof/>
        </w:rPr>
        <w:t>Es muss für Kohärenz und Stimmigkeit mit anderen Rechtsvorschriften der Union im Bereich ESG-Risiken gesorgt werden. Bei den Vorschriften über die Offenlegung von ESG-Risiken sollten daher die in diesen anderen Rechtsvorschriften der Union festgelegten Kriterien, Einstufungen und Definitionen berücksichtigt werden. Diese Vorschriften sollten insbesondere den Kriterien für die Ermittlung und Klassifikation ökologisch nachhaltiger Wirtschaftstätigkeiten gemäß der Verordnung (EU) 2020/852 des Europäischen Parlaments und des Rates</w:t>
      </w:r>
      <w:r w:rsidR="00A525E2" w:rsidRPr="009D01F9">
        <w:rPr>
          <w:rStyle w:val="FootnoteReference"/>
          <w:noProof/>
        </w:rPr>
        <w:footnoteReference w:id="4"/>
      </w:r>
      <w:r w:rsidR="00A525E2" w:rsidRPr="009D01F9">
        <w:rPr>
          <w:noProof/>
        </w:rPr>
        <w:t xml:space="preserve"> und der Delegierten Verordnung (EU) 2020/1818 der Kommission</w:t>
      </w:r>
      <w:r w:rsidR="00A525E2" w:rsidRPr="009D01F9">
        <w:rPr>
          <w:rStyle w:val="FootnoteReference"/>
          <w:noProof/>
        </w:rPr>
        <w:footnoteReference w:id="5"/>
      </w:r>
      <w:r w:rsidR="00A525E2" w:rsidRPr="009D01F9">
        <w:rPr>
          <w:noProof/>
        </w:rPr>
        <w:t xml:space="preserve"> Rechnung tragen. Bei der Offenlegung von Informationen über die Gesamtenergieeffizienz des Immobilienportfolios von Instituten sollten die Angaben im Ausweis über die Gesamtenergieeffizienz im Sinne des Artikels 2 Nummer 12 der Richtlinie 2010/31/EU des Europäischen Parlaments und des Rates</w:t>
      </w:r>
      <w:r w:rsidR="00A525E2" w:rsidRPr="009D01F9">
        <w:rPr>
          <w:rStyle w:val="FootnoteReference"/>
          <w:noProof/>
        </w:rPr>
        <w:footnoteReference w:id="6"/>
      </w:r>
      <w:r w:rsidR="00A525E2" w:rsidRPr="009D01F9">
        <w:rPr>
          <w:noProof/>
        </w:rPr>
        <w:t xml:space="preserve"> berücksichtigt werden.</w:t>
      </w:r>
    </w:p>
    <w:p w:rsidR="00135CD4" w:rsidRPr="009D01F9" w:rsidRDefault="001C79AD" w:rsidP="001C79AD">
      <w:pPr>
        <w:pStyle w:val="ManualConsidrant"/>
        <w:rPr>
          <w:noProof/>
        </w:rPr>
      </w:pPr>
      <w:r w:rsidRPr="001C79AD">
        <w:t>(4)</w:t>
      </w:r>
      <w:r w:rsidRPr="001C79AD">
        <w:tab/>
      </w:r>
      <w:r w:rsidR="00135CD4" w:rsidRPr="009D01F9">
        <w:rPr>
          <w:noProof/>
        </w:rPr>
        <w:t>Nach den Artikeln 19a und 29a der Richtlinie 2013/34/EU des Europäischen Parlaments und des Rates</w:t>
      </w:r>
      <w:r w:rsidR="00135CD4" w:rsidRPr="009D01F9">
        <w:rPr>
          <w:rStyle w:val="FootnoteReference"/>
          <w:noProof/>
        </w:rPr>
        <w:footnoteReference w:id="7"/>
      </w:r>
      <w:r w:rsidR="00135CD4" w:rsidRPr="009D01F9">
        <w:rPr>
          <w:noProof/>
        </w:rPr>
        <w:t xml:space="preserve"> müssen bestimmte große Unternehmen, bei denen es sich um Unternehmen von öffentlichem Interesse handelt, oder Unternehmen von öffentlichem Interesse, die Mutterunternehmen einer großen Gruppe sind, in ihren Lagebericht oder ihren konsolidierten Lagebericht Informationen über die Auswirkungen ihrer Tätigkeit auf Umwelt-, Sozial- und Arbeitnehmerbelange, auf die Achtung der Menschenrechte und auf die Bekämpfung von Korruption und Bestechung aufnehmen. Diese Verpflichtung gilt jedoch nicht für andere Unternehmen. Folglich sind Unternehmen, die nicht den Artikeln 19a und 29a der Richtlinie 2013/34/EU unterliegen, zur Offenlegung dieser Informationen nicht verpflichtet und möglicherweise nicht in der Lage, Instituten diese Informationen zur Verfügung zu stellen. Von den Unternehmen, die Gegenparteien von Instituten sind, kann daher nur erwartet werden, dass sie diese Informationen und Daten auf freiwilliger Basis bereitstellen. Dennoch ist es angezeigt, diesen Unternehmen Leitlinien für die Berechnung des Prozentsatzes der Risikopositionen aus Tätigkeiten, die als ökologisch nachhaltige Wirtschaftstätigkeiten im Sinne des Artikels 3 der Verordnung (EU) 2020/852 gelten, an die Hand zu geben, damit diese Informationen und Daten in einem standardisierten und vergleichbaren Format dargestellt werden können. Werden diese Informationen und Daten nicht freiwillig bereitgestellt, sollten die Institute in der Lage sein, den Prozentsatz der taxonomiekonformen Risikopositionen anhand von Schätzungen oder Näherungswerten zu berechnen.</w:t>
      </w:r>
    </w:p>
    <w:p w:rsidR="00921483" w:rsidRPr="009D01F9" w:rsidRDefault="001C79AD" w:rsidP="001C79AD">
      <w:pPr>
        <w:pStyle w:val="ManualConsidrant"/>
        <w:rPr>
          <w:noProof/>
        </w:rPr>
      </w:pPr>
      <w:r w:rsidRPr="001C79AD">
        <w:t>(5)</w:t>
      </w:r>
      <w:r w:rsidRPr="001C79AD">
        <w:tab/>
      </w:r>
      <w:r w:rsidR="00A97285" w:rsidRPr="009D01F9">
        <w:rPr>
          <w:noProof/>
        </w:rPr>
        <w:t>Nach Artikel 449a der Verordnung (EU) Nr. 575/2013 müssen die Informationen über ESG-Risiken ab dem 28. Juni 2022 und im ersten Jahr jährlich und danach halbjährlich offengelegt werden. Aus diesen Gründen sollte der erste Stichtag für die jährliche Offenlegung auf den 31. Dezember 2022 festgesetzt werden.</w:t>
      </w:r>
    </w:p>
    <w:p w:rsidR="00ED20D7" w:rsidRPr="009D01F9" w:rsidRDefault="001C79AD" w:rsidP="001C79AD">
      <w:pPr>
        <w:pStyle w:val="ManualConsidrant"/>
        <w:rPr>
          <w:noProof/>
        </w:rPr>
      </w:pPr>
      <w:r w:rsidRPr="001C79AD">
        <w:t>(6)</w:t>
      </w:r>
      <w:r w:rsidRPr="001C79AD">
        <w:tab/>
      </w:r>
      <w:r w:rsidR="00410340" w:rsidRPr="009D01F9">
        <w:rPr>
          <w:noProof/>
        </w:rPr>
        <w:t xml:space="preserve">Die vorliegende Verordnung beruht auf dem Entwurf technischer Durchführungsstandards, den die Europäische Bankenaufsichtsbehörde der Kommission vorgelegt hat. </w:t>
      </w:r>
    </w:p>
    <w:p w:rsidR="00410340" w:rsidRPr="009D01F9" w:rsidRDefault="001C79AD" w:rsidP="001C79AD">
      <w:pPr>
        <w:pStyle w:val="ManualConsidrant"/>
        <w:rPr>
          <w:noProof/>
        </w:rPr>
      </w:pPr>
      <w:r w:rsidRPr="001C79AD">
        <w:t>(7)</w:t>
      </w:r>
      <w:r w:rsidRPr="001C79AD">
        <w:tab/>
      </w:r>
      <w:r w:rsidR="00ED20D7" w:rsidRPr="009D01F9">
        <w:rPr>
          <w:noProof/>
        </w:rPr>
        <w:t>Die Europäische Bankenaufsichtsbehörde hat zu diesem Entwurf technischer Durchführungsstandards öffentliche Konsultationen durchgeführt, die damit verbundenen potenziellen Kosten- und Nutzeneffekte analysiert und die Stellungnahme der nach Artikel 37 der Verordnung (EU) Nr. 1093/2010 des Europäischen Parlaments und des Rates</w:t>
      </w:r>
      <w:r w:rsidR="00ED20D7" w:rsidRPr="009D01F9">
        <w:rPr>
          <w:rStyle w:val="FootnoteReference"/>
          <w:noProof/>
        </w:rPr>
        <w:footnoteReference w:id="8"/>
      </w:r>
      <w:r w:rsidR="00ED20D7" w:rsidRPr="009D01F9">
        <w:rPr>
          <w:noProof/>
        </w:rPr>
        <w:t xml:space="preserve"> eingesetzten Interessengruppe Bankensektor eingeholt.</w:t>
      </w:r>
    </w:p>
    <w:p w:rsidR="00410340" w:rsidRPr="009D01F9" w:rsidRDefault="001C79AD" w:rsidP="001C79AD">
      <w:pPr>
        <w:pStyle w:val="ManualConsidrant"/>
        <w:rPr>
          <w:noProof/>
        </w:rPr>
      </w:pPr>
      <w:r w:rsidRPr="001C79AD">
        <w:t>(8)</w:t>
      </w:r>
      <w:r w:rsidRPr="001C79AD">
        <w:tab/>
      </w:r>
      <w:r w:rsidR="00410340" w:rsidRPr="009D01F9">
        <w:rPr>
          <w:noProof/>
        </w:rPr>
        <w:t>Die Durchführungsverordnung (EU) 2021/637 sollte daher entsprechend geändert werden —</w:t>
      </w:r>
    </w:p>
    <w:p w:rsidR="003C122C" w:rsidRPr="009D01F9" w:rsidRDefault="003C122C" w:rsidP="004E1EF9">
      <w:pPr>
        <w:pStyle w:val="Formuledadoption"/>
        <w:rPr>
          <w:noProof/>
          <w:szCs w:val="24"/>
        </w:rPr>
      </w:pPr>
      <w:r w:rsidRPr="009D01F9">
        <w:rPr>
          <w:noProof/>
        </w:rPr>
        <w:t>HAT FOLGENDE VERORDNUNG ERLASSEN:</w:t>
      </w:r>
    </w:p>
    <w:p w:rsidR="003C122C" w:rsidRPr="009D01F9" w:rsidRDefault="003C122C" w:rsidP="004E1EF9">
      <w:pPr>
        <w:pStyle w:val="Titrearticle"/>
        <w:rPr>
          <w:noProof/>
          <w:szCs w:val="24"/>
        </w:rPr>
      </w:pPr>
      <w:r w:rsidRPr="009D01F9">
        <w:rPr>
          <w:noProof/>
        </w:rPr>
        <w:t>Artikel 1</w:t>
      </w:r>
    </w:p>
    <w:p w:rsidR="007F4F83" w:rsidRPr="009D01F9" w:rsidRDefault="007F4F83" w:rsidP="00D00193">
      <w:pPr>
        <w:pStyle w:val="Titrearticle"/>
        <w:spacing w:before="120"/>
        <w:rPr>
          <w:b/>
          <w:i w:val="0"/>
          <w:noProof/>
          <w:szCs w:val="24"/>
        </w:rPr>
      </w:pPr>
      <w:r w:rsidRPr="009D01F9">
        <w:rPr>
          <w:b/>
          <w:i w:val="0"/>
          <w:noProof/>
        </w:rPr>
        <w:t>Änderung der Durchführungsverordnung (EU) 2021/637</w:t>
      </w:r>
    </w:p>
    <w:p w:rsidR="007F4F83" w:rsidRPr="009D01F9" w:rsidRDefault="007F4F83" w:rsidP="007F4F83">
      <w:pPr>
        <w:pStyle w:val="Titrearticle"/>
        <w:jc w:val="left"/>
        <w:rPr>
          <w:rFonts w:eastAsiaTheme="minorEastAsia"/>
          <w:i w:val="0"/>
          <w:noProof/>
          <w:szCs w:val="24"/>
        </w:rPr>
      </w:pPr>
      <w:r w:rsidRPr="009D01F9">
        <w:rPr>
          <w:i w:val="0"/>
          <w:noProof/>
        </w:rPr>
        <w:t>Die Durchführungsverordnung (EU) 2021/637 wird wie folgt geändert:</w:t>
      </w:r>
    </w:p>
    <w:p w:rsidR="007F4F83" w:rsidRPr="009D01F9" w:rsidRDefault="001C79AD" w:rsidP="001C79AD">
      <w:pPr>
        <w:pStyle w:val="Point0"/>
        <w:rPr>
          <w:noProof/>
        </w:rPr>
      </w:pPr>
      <w:r w:rsidRPr="001C79AD">
        <w:t>(1)</w:t>
      </w:r>
      <w:r w:rsidRPr="001C79AD">
        <w:tab/>
      </w:r>
      <w:r w:rsidR="007F4F83" w:rsidRPr="009D01F9">
        <w:rPr>
          <w:noProof/>
        </w:rPr>
        <w:t>Folgender Artikel 18a wird eingefügt:</w:t>
      </w:r>
    </w:p>
    <w:p w:rsidR="007F4F83" w:rsidRPr="009D01F9" w:rsidRDefault="006542E5" w:rsidP="004046D9">
      <w:pPr>
        <w:pStyle w:val="Titrearticle"/>
        <w:spacing w:before="120"/>
        <w:ind w:left="567" w:right="568"/>
        <w:rPr>
          <w:noProof/>
        </w:rPr>
      </w:pPr>
      <w:r w:rsidRPr="009D01F9">
        <w:rPr>
          <w:noProof/>
        </w:rPr>
        <w:t>„Artikel 18a</w:t>
      </w:r>
    </w:p>
    <w:p w:rsidR="007F4F83" w:rsidRPr="009D01F9" w:rsidRDefault="007F4F83" w:rsidP="004046D9">
      <w:pPr>
        <w:pStyle w:val="Titrearticle"/>
        <w:spacing w:before="120"/>
        <w:ind w:left="567" w:right="568"/>
        <w:rPr>
          <w:b/>
          <w:i w:val="0"/>
          <w:noProof/>
        </w:rPr>
      </w:pPr>
      <w:r w:rsidRPr="009D01F9">
        <w:rPr>
          <w:b/>
          <w:i w:val="0"/>
          <w:noProof/>
        </w:rPr>
        <w:t>Offenlegung der Umwelt-, Sozial- und Unternehmensführungsrisiken (environmental, social and governance risks – ESG-Risiken)</w:t>
      </w:r>
    </w:p>
    <w:p w:rsidR="007F4F83" w:rsidRPr="009D01F9" w:rsidRDefault="009D01F9" w:rsidP="009D01F9">
      <w:pPr>
        <w:pStyle w:val="ManualNumPar1"/>
        <w:rPr>
          <w:noProof/>
        </w:rPr>
      </w:pPr>
      <w:r>
        <w:rPr>
          <w:noProof/>
        </w:rPr>
        <w:t>(1)</w:t>
      </w:r>
      <w:r>
        <w:rPr>
          <w:noProof/>
        </w:rPr>
        <w:tab/>
      </w:r>
      <w:r w:rsidR="007F4F83" w:rsidRPr="009D01F9">
        <w:rPr>
          <w:noProof/>
        </w:rPr>
        <w:t>Die Institute legen die in Artikel 449a der Verordnung (EU) Nr. 575/2013 genannten Informationen wie folgt offen:</w:t>
      </w:r>
    </w:p>
    <w:p w:rsidR="002D1236" w:rsidRPr="009D01F9" w:rsidRDefault="009D01F9" w:rsidP="009D01F9">
      <w:pPr>
        <w:pStyle w:val="Point1"/>
        <w:rPr>
          <w:noProof/>
        </w:rPr>
      </w:pPr>
      <w:r>
        <w:rPr>
          <w:noProof/>
        </w:rPr>
        <w:t>a)</w:t>
      </w:r>
      <w:r w:rsidRPr="009D01F9">
        <w:rPr>
          <w:noProof/>
        </w:rPr>
        <w:tab/>
      </w:r>
      <w:r w:rsidR="002D1236" w:rsidRPr="009D01F9">
        <w:rPr>
          <w:noProof/>
        </w:rPr>
        <w:t>qualitative Angaben über Umwelt-, Sozial- und Unternehmensführungsrisiken unter Verwendung der Tabellen 1, 2 und 3 in Anhang XXXIX der vorliegenden Verordnung und nach Maßgabe der Erläuterungen in deren Anhang XL,</w:t>
      </w:r>
    </w:p>
    <w:p w:rsidR="002D1236" w:rsidRPr="009D01F9" w:rsidRDefault="009D01F9" w:rsidP="009D01F9">
      <w:pPr>
        <w:pStyle w:val="Point1"/>
        <w:rPr>
          <w:noProof/>
        </w:rPr>
      </w:pPr>
      <w:r>
        <w:rPr>
          <w:noProof/>
        </w:rPr>
        <w:t>b)</w:t>
      </w:r>
      <w:r w:rsidRPr="009D01F9">
        <w:rPr>
          <w:noProof/>
        </w:rPr>
        <w:tab/>
      </w:r>
      <w:r w:rsidR="002D1236" w:rsidRPr="009D01F9">
        <w:rPr>
          <w:noProof/>
        </w:rPr>
        <w:t>quantitative Angaben über Transitionsrisiken aus dem Klimawandel unter Verwendung der Meldebögen 1 bis 4 in Anhang XXXIX der vorliegenden Verordnung und nach Maßgabe der Erläuterungen in deren Anhang XL,</w:t>
      </w:r>
    </w:p>
    <w:p w:rsidR="002D1236" w:rsidRPr="009D01F9" w:rsidRDefault="009D01F9" w:rsidP="009D01F9">
      <w:pPr>
        <w:pStyle w:val="Point1"/>
        <w:rPr>
          <w:noProof/>
        </w:rPr>
      </w:pPr>
      <w:r>
        <w:rPr>
          <w:noProof/>
        </w:rPr>
        <w:t>c)</w:t>
      </w:r>
      <w:r w:rsidRPr="009D01F9">
        <w:rPr>
          <w:noProof/>
        </w:rPr>
        <w:tab/>
      </w:r>
      <w:r w:rsidR="002D1236" w:rsidRPr="009D01F9">
        <w:rPr>
          <w:noProof/>
        </w:rPr>
        <w:t>quantitative Angaben über physische Risiken aus dem Klimawandel unter Verwendung von Meldebogen 5 in Anhang XXXIX der vorliegenden Verordnung und nach Maßgabe der Erläuterungen in deren Anhang XL,</w:t>
      </w:r>
    </w:p>
    <w:p w:rsidR="002D1236" w:rsidRPr="009D01F9" w:rsidRDefault="009D01F9" w:rsidP="009D01F9">
      <w:pPr>
        <w:pStyle w:val="Point1"/>
        <w:rPr>
          <w:noProof/>
        </w:rPr>
      </w:pPr>
      <w:r>
        <w:rPr>
          <w:noProof/>
        </w:rPr>
        <w:t>d)</w:t>
      </w:r>
      <w:r w:rsidRPr="009D01F9">
        <w:rPr>
          <w:noProof/>
        </w:rPr>
        <w:tab/>
      </w:r>
      <w:r w:rsidR="002D1236" w:rsidRPr="009D01F9">
        <w:rPr>
          <w:noProof/>
        </w:rPr>
        <w:t xml:space="preserve">quantitative Angaben über risikomindernde Maßnahmen im Zusammenhang mit Wirtschaftstätigkeiten, die im Sinne des Artikels 3 der Verordnung (EU) 2020/852 des Europäischen Parlaments und des Rates*1 als ökologisch nachhaltig gelten, gegenüber Gegenparteien, die den Artikeln 19a oder 29a der Richtlinie 2013/34/EU des Europäischen Parlaments und des Rates*2 unterliegen, </w:t>
      </w:r>
      <w:bookmarkStart w:id="1" w:name="_Hlk92470586"/>
      <w:r w:rsidR="002D1236" w:rsidRPr="009D01F9">
        <w:rPr>
          <w:noProof/>
        </w:rPr>
        <w:t xml:space="preserve">gegenüber </w:t>
      </w:r>
      <w:bookmarkEnd w:id="1"/>
      <w:r w:rsidR="002D1236" w:rsidRPr="009D01F9">
        <w:rPr>
          <w:noProof/>
        </w:rPr>
        <w:t>Haushalten und gegenüber lokalen Gebietskörperschaften gemäß Anhang V Teil 1 Nummer 42 Buchstabe b der Durchführungsverordnung (EU) 2021/451 der Kommission*3 unter Verwendung der Meldebögen 6, 7 und 8 in Anhang XXXIX der vorliegenden Verordnung und nach Maßgabe der Erläuterungen in deren Anhang XL,</w:t>
      </w:r>
    </w:p>
    <w:p w:rsidR="00995098" w:rsidRPr="009D01F9" w:rsidRDefault="009D01F9" w:rsidP="009D01F9">
      <w:pPr>
        <w:pStyle w:val="Point1"/>
        <w:rPr>
          <w:noProof/>
        </w:rPr>
      </w:pPr>
      <w:r>
        <w:rPr>
          <w:noProof/>
        </w:rPr>
        <w:t>e)</w:t>
      </w:r>
      <w:r>
        <w:rPr>
          <w:noProof/>
        </w:rPr>
        <w:tab/>
      </w:r>
      <w:r w:rsidR="00995098" w:rsidRPr="009D01F9">
        <w:rPr>
          <w:noProof/>
        </w:rPr>
        <w:t>quantitative Angaben über andere risikomindernde Maßnahmen und Risikopositionen aus klimawandelbedingten Risiken, die nicht als ökologisch nachhaltige Wirtschaftstätigkeiten im Sinne des Artikels 3 der Verordnung (EU) 2020/852 gelten, aber die Gegenparteien im Übergangs- oder Anpassungsprozess im Hinblick auf die Ziele Klimaschutz und Anpassung an den Klimawandel unterstützen, unter Verwendung des Meldebogens 10 in Anhang XXXIX der vorliegenden Verordnung und nach Maßgabe der Erläuterungen in deren Anhang XL.</w:t>
      </w:r>
    </w:p>
    <w:p w:rsidR="008D2E23" w:rsidRPr="009D01F9" w:rsidRDefault="009D01F9" w:rsidP="009D01F9">
      <w:pPr>
        <w:pStyle w:val="ManualNumPar1"/>
        <w:rPr>
          <w:noProof/>
        </w:rPr>
      </w:pPr>
      <w:r>
        <w:rPr>
          <w:noProof/>
        </w:rPr>
        <w:t>(2)</w:t>
      </w:r>
      <w:r>
        <w:rPr>
          <w:noProof/>
        </w:rPr>
        <w:tab/>
      </w:r>
      <w:r w:rsidR="000941B5" w:rsidRPr="009D01F9">
        <w:rPr>
          <w:noProof/>
        </w:rPr>
        <w:t xml:space="preserve">Die Institute können sich dafür entscheiden, quantitative Angaben über risikomindernde Maßnahmen und Risikopositionen aus klimawandelbedingten Risiken im Zusammenhang mit Wirtschaftstätigkeiten, die im Sinne des Artikels 3 der Verordnung (EU) 2020/852 als ökologisch nachhaltig gelten, gegenüber Gegenparteien, die </w:t>
      </w:r>
      <w:bookmarkStart w:id="2" w:name="_Hlk92470606"/>
      <w:r w:rsidR="000941B5" w:rsidRPr="009D01F9">
        <w:rPr>
          <w:noProof/>
        </w:rPr>
        <w:t>nichtfinanzielle</w:t>
      </w:r>
      <w:bookmarkEnd w:id="2"/>
      <w:r w:rsidR="000941B5" w:rsidRPr="009D01F9">
        <w:rPr>
          <w:noProof/>
        </w:rPr>
        <w:t xml:space="preserve"> Kapitalgesellschaften im Sinne des Anhangs V Teil 1 Nummer 42 Buchstabe e der Durchführungsverordnung (EU) 2021/451 sind und die nicht den Offenlegungspflichten nach den Artikeln 19a oder 29a der Richtlinie 2013/34/EU und nach der Durchführungsverordnung (EU) 2021/2178 der Kommission</w:t>
      </w:r>
      <w:r w:rsidR="000941B5" w:rsidRPr="009D01F9">
        <w:rPr>
          <w:noProof/>
          <w:vertAlign w:val="superscript"/>
        </w:rPr>
        <w:t>*4</w:t>
      </w:r>
      <w:r w:rsidR="000941B5" w:rsidRPr="009D01F9">
        <w:rPr>
          <w:noProof/>
        </w:rPr>
        <w:t xml:space="preserve"> unterliegen, unter Verwendung des Meldebogens 9 in Anhang XXXIX der vorliegenden Verordnung und nach Maßgabe der Erläuterungen in deren Anhang XL offenzulegen. </w:t>
      </w:r>
    </w:p>
    <w:p w:rsidR="002D1236" w:rsidRPr="009D01F9" w:rsidRDefault="002D1236" w:rsidP="00353D88">
      <w:pPr>
        <w:pStyle w:val="Text1"/>
        <w:rPr>
          <w:noProof/>
        </w:rPr>
      </w:pPr>
      <w:r w:rsidRPr="009D01F9">
        <w:rPr>
          <w:noProof/>
        </w:rPr>
        <w:t>Für die Berechnung des Prozentsatzes der Risikopositionen aus Tätigkeiten, die die Anforderungen des Artikels 3 der Verordnung (EU) 2020/852 (taxonomiekonforme Risikopositionen) erfüllen, gegenüber diesen Gegenparteien gilt für die Institute Folgendes:</w:t>
      </w:r>
    </w:p>
    <w:p w:rsidR="00D23734" w:rsidRPr="009D01F9" w:rsidRDefault="009D01F9" w:rsidP="009D01F9">
      <w:pPr>
        <w:pStyle w:val="Point1"/>
        <w:rPr>
          <w:noProof/>
        </w:rPr>
      </w:pPr>
      <w:r>
        <w:rPr>
          <w:noProof/>
        </w:rPr>
        <w:t>a)</w:t>
      </w:r>
      <w:r w:rsidRPr="009D01F9">
        <w:rPr>
          <w:noProof/>
        </w:rPr>
        <w:tab/>
      </w:r>
      <w:r w:rsidR="008E7D06" w:rsidRPr="009D01F9">
        <w:rPr>
          <w:noProof/>
        </w:rPr>
        <w:t xml:space="preserve">Sie können, soweit verfügbar, die Informationen verwenden, die sie von ihren Gegenparteien auf freiwilliger und bilateraler Basis im Rahmen der Kreditvergabe und im Zuge der regelmäßigen Kreditprüfungs- und </w:t>
      </w:r>
      <w:r w:rsidR="008E7D06" w:rsidRPr="009D01F9">
        <w:rPr>
          <w:noProof/>
        </w:rPr>
        <w:noBreakHyphen/>
        <w:t>überwachungsverfahren erheben.</w:t>
      </w:r>
    </w:p>
    <w:p w:rsidR="00D23734" w:rsidRPr="009D01F9" w:rsidRDefault="009D01F9" w:rsidP="009D01F9">
      <w:pPr>
        <w:pStyle w:val="Point1"/>
        <w:rPr>
          <w:noProof/>
        </w:rPr>
      </w:pPr>
      <w:r>
        <w:rPr>
          <w:noProof/>
        </w:rPr>
        <w:t>b)</w:t>
      </w:r>
      <w:r w:rsidRPr="009D01F9">
        <w:rPr>
          <w:noProof/>
        </w:rPr>
        <w:tab/>
      </w:r>
      <w:r w:rsidR="00B25755" w:rsidRPr="009D01F9">
        <w:rPr>
          <w:noProof/>
        </w:rPr>
        <w:t>Ist die Gegenpartei nicht in der Lage oder willens, die betreffenden Daten auf bilateraler Basis bereitzustellen, können die Institute interne Schätzungen und Näherungswerte verwenden und in der begleitenden Beschreibung zu dem Meldebogen erläutern, in welchem Umfang solche internen Schätzungen und Näherungswerte verwendet wurden und welche Art von internen Schätzungen und Näherungswerten angewandt wurde.</w:t>
      </w:r>
    </w:p>
    <w:p w:rsidR="002D1236" w:rsidRPr="009D01F9" w:rsidRDefault="009D01F9" w:rsidP="009D01F9">
      <w:pPr>
        <w:pStyle w:val="Point1"/>
        <w:rPr>
          <w:noProof/>
        </w:rPr>
      </w:pPr>
      <w:r>
        <w:rPr>
          <w:noProof/>
        </w:rPr>
        <w:t>c)</w:t>
      </w:r>
      <w:r w:rsidRPr="009D01F9">
        <w:rPr>
          <w:noProof/>
        </w:rPr>
        <w:tab/>
      </w:r>
      <w:r w:rsidR="00D23734" w:rsidRPr="009D01F9">
        <w:rPr>
          <w:noProof/>
        </w:rPr>
        <w:t>Wenn sie nicht in der Lage sind, die betreffenden Informationen auf bilateraler Basis zu erheben oder interne Schätzungen und Näherungswerte zu verwenden, oder wenn die Erhebung dieser Informationen bzw. die Verwendung dieser Schätzungen und Näherungswerte für sie oder ihre Gegenparteien übermäßig aufwendig wäre, können sie diese Gründe für die Nichterhebung bzw. Nichtverwendung in der begleitenden Beschreibung zu dem Meldebogen erläutern.</w:t>
      </w:r>
    </w:p>
    <w:p w:rsidR="00320B78" w:rsidRPr="009D01F9" w:rsidRDefault="00320B78" w:rsidP="00353D88">
      <w:pPr>
        <w:pStyle w:val="Text1"/>
        <w:rPr>
          <w:noProof/>
        </w:rPr>
      </w:pPr>
      <w:r w:rsidRPr="009D01F9">
        <w:rPr>
          <w:noProof/>
        </w:rPr>
        <w:t>Für die Zwecke von Buchstabe a teilen die Institute ihren Gegenparteien mit, dass die Bereitstellung dieser Informationen freiwillig ist.</w:t>
      </w:r>
    </w:p>
    <w:p w:rsidR="007F4F83" w:rsidRPr="009D01F9" w:rsidRDefault="009D01F9" w:rsidP="009D01F9">
      <w:pPr>
        <w:pStyle w:val="ManualNumPar1"/>
        <w:rPr>
          <w:noProof/>
        </w:rPr>
      </w:pPr>
      <w:r>
        <w:rPr>
          <w:noProof/>
        </w:rPr>
        <w:t>(3)</w:t>
      </w:r>
      <w:r>
        <w:rPr>
          <w:noProof/>
        </w:rPr>
        <w:tab/>
      </w:r>
      <w:r w:rsidR="006B71ED" w:rsidRPr="009D01F9">
        <w:rPr>
          <w:noProof/>
        </w:rPr>
        <w:t>Sofern in den Erläuterungen in Anhang XL der vorliegenden Verordnung nichts anderes angegeben ist, legen die Institute ab dem 31. Dezember 2022 die in Artikel 449a der Verordnung (EU) Nr. 575/2013 genannten Informationen zu folgenden Zeitpunkten offen:</w:t>
      </w:r>
    </w:p>
    <w:p w:rsidR="007F4F83" w:rsidRPr="009D01F9" w:rsidRDefault="009D01F9" w:rsidP="009D01F9">
      <w:pPr>
        <w:pStyle w:val="Point1"/>
        <w:rPr>
          <w:noProof/>
        </w:rPr>
      </w:pPr>
      <w:r>
        <w:rPr>
          <w:noProof/>
        </w:rPr>
        <w:t>a)</w:t>
      </w:r>
      <w:r w:rsidRPr="009D01F9">
        <w:rPr>
          <w:noProof/>
        </w:rPr>
        <w:tab/>
      </w:r>
      <w:r w:rsidR="007F4F83" w:rsidRPr="009D01F9">
        <w:rPr>
          <w:noProof/>
        </w:rPr>
        <w:t>im Falle jährlicher Offenlegungen: am 31. Dezember,</w:t>
      </w:r>
    </w:p>
    <w:p w:rsidR="00D01D57" w:rsidRPr="009D01F9" w:rsidRDefault="009D01F9" w:rsidP="009D01F9">
      <w:pPr>
        <w:pStyle w:val="Point1"/>
        <w:rPr>
          <w:noProof/>
        </w:rPr>
      </w:pPr>
      <w:r>
        <w:rPr>
          <w:noProof/>
        </w:rPr>
        <w:t>b)</w:t>
      </w:r>
      <w:r w:rsidRPr="009D01F9">
        <w:rPr>
          <w:noProof/>
        </w:rPr>
        <w:tab/>
      </w:r>
      <w:r w:rsidR="007F4F83" w:rsidRPr="009D01F9">
        <w:rPr>
          <w:noProof/>
        </w:rPr>
        <w:t>im Falle halbjährlicher Offenlegungen: am 30. Juni und 31. Dezember jedes Jahres.</w:t>
      </w:r>
    </w:p>
    <w:p w:rsidR="00086FAB" w:rsidRPr="009D01F9" w:rsidRDefault="001904B5" w:rsidP="0087679B">
      <w:pPr>
        <w:pStyle w:val="Text2"/>
        <w:rPr>
          <w:noProof/>
        </w:rPr>
      </w:pPr>
      <w:r w:rsidRPr="009D01F9">
        <w:rPr>
          <w:noProof/>
        </w:rPr>
        <w:tab/>
        <w:t>___________</w:t>
      </w:r>
    </w:p>
    <w:p w:rsidR="00086FAB" w:rsidRPr="009D01F9" w:rsidRDefault="00086FAB" w:rsidP="0087679B">
      <w:pPr>
        <w:pStyle w:val="Text3"/>
        <w:rPr>
          <w:noProof/>
          <w:sz w:val="20"/>
          <w:szCs w:val="20"/>
        </w:rPr>
      </w:pPr>
      <w:r w:rsidRPr="009D01F9">
        <w:rPr>
          <w:noProof/>
          <w:sz w:val="20"/>
          <w:vertAlign w:val="superscript"/>
        </w:rPr>
        <w:t>*1</w:t>
      </w:r>
      <w:r w:rsidRPr="009D01F9">
        <w:rPr>
          <w:noProof/>
        </w:rPr>
        <w:tab/>
      </w:r>
      <w:r w:rsidRPr="009D01F9">
        <w:rPr>
          <w:noProof/>
          <w:sz w:val="20"/>
        </w:rPr>
        <w:t>Verordnung (EU) 2020/852 des Europäischen Parlaments und des Rates vom 18. Juni 2020 über die Einrichtung eines Rahmens zur Erleichterung nachhaltiger Investitionen und zur Änderung der Verordnung (EU) 2019/2088 (ABl. L 198 vom 22.6.2020, S. 13).</w:t>
      </w:r>
    </w:p>
    <w:p w:rsidR="00086FAB" w:rsidRPr="009D01F9" w:rsidRDefault="00086FAB" w:rsidP="004F6722">
      <w:pPr>
        <w:pStyle w:val="Text3"/>
        <w:rPr>
          <w:noProof/>
          <w:sz w:val="20"/>
          <w:szCs w:val="20"/>
        </w:rPr>
      </w:pPr>
      <w:r w:rsidRPr="009D01F9">
        <w:rPr>
          <w:noProof/>
          <w:sz w:val="20"/>
          <w:vertAlign w:val="superscript"/>
        </w:rPr>
        <w:t>*2</w:t>
      </w:r>
      <w:r w:rsidRPr="009D01F9">
        <w:rPr>
          <w:noProof/>
        </w:rPr>
        <w:tab/>
      </w:r>
      <w:r w:rsidRPr="009D01F9">
        <w:rPr>
          <w:noProof/>
          <w:sz w:val="20"/>
        </w:rPr>
        <w:t>Richtlinie 2013/34/EU des Europäischen Parlaments und des Rates vom 26. Juni 2013 über den Jahresabschluss, den konsolidierten Abschluss und damit verbundene Berichte von Unternehmen bestimmter Rechtsformen und zur Änderung der Richtlinie 2006/43/EG des Europäischen Parlaments und des Rates und zur Aufhebung der Richtlinien 78/660/EWG und 83/349/EWG des Rates (ABl. L 182 vom 29.6.2013, S. 19).</w:t>
      </w:r>
    </w:p>
    <w:p w:rsidR="00086FAB" w:rsidRPr="009D01F9" w:rsidRDefault="00086FAB" w:rsidP="0087679B">
      <w:pPr>
        <w:pStyle w:val="Text3"/>
        <w:rPr>
          <w:noProof/>
          <w:sz w:val="20"/>
          <w:szCs w:val="20"/>
        </w:rPr>
      </w:pPr>
      <w:r w:rsidRPr="009D01F9">
        <w:rPr>
          <w:noProof/>
          <w:sz w:val="20"/>
          <w:vertAlign w:val="superscript"/>
        </w:rPr>
        <w:t>*3</w:t>
      </w:r>
      <w:r w:rsidRPr="009D01F9">
        <w:rPr>
          <w:noProof/>
        </w:rPr>
        <w:tab/>
      </w:r>
      <w:r w:rsidRPr="009D01F9">
        <w:rPr>
          <w:noProof/>
          <w:sz w:val="20"/>
        </w:rPr>
        <w:t>Durchführungsverordnung (EU) 2021/451 der Kommission vom 17. Dezember 2020 zur Festlegung technischer Durchführungsstandards für die Anwendung der Verordnung (EU) Nr. 575/2013 des Europäischen Parlaments und des Rates auf die aufsichtlichen Meldungen der Institute und zur Aufhebung der Durchführungsverordnung (EU) Nr. 680/2014 (ABl. L 97 vom 19.3.2021, S. 1).</w:t>
      </w:r>
    </w:p>
    <w:p w:rsidR="00086FAB" w:rsidRPr="009D01F9" w:rsidRDefault="00086FAB" w:rsidP="0087679B">
      <w:pPr>
        <w:pStyle w:val="Text3"/>
        <w:rPr>
          <w:noProof/>
          <w:sz w:val="20"/>
          <w:szCs w:val="20"/>
        </w:rPr>
      </w:pPr>
      <w:r w:rsidRPr="009D01F9">
        <w:rPr>
          <w:noProof/>
          <w:sz w:val="20"/>
          <w:vertAlign w:val="superscript"/>
        </w:rPr>
        <w:t>*4</w:t>
      </w:r>
      <w:r w:rsidRPr="009D01F9">
        <w:rPr>
          <w:noProof/>
        </w:rPr>
        <w:tab/>
      </w:r>
      <w:r w:rsidRPr="009D01F9">
        <w:rPr>
          <w:noProof/>
          <w:sz w:val="20"/>
        </w:rPr>
        <w:t>Delegierte Verordnung (EU) 2021/2178 der Kommission vom 6. Juli 2021 zur Ergänzung der Verordnung (EU) 2020/852 des Europäischen Parlaments und des Rates durch Festlegung des Inhalts und der Darstellung der Informationen, die von Unternehmen, die unter Artikel 19a oder Artikel 29a der Richtlinie 2013/34/EU fallen, in Bezug auf ökologisch nachhaltige Wirtschaftstätigkeiten offenzulegen sind, und durch Festlegung der Methode, anhand deren die Einhaltung dieser Offenlegungspflicht zu gewährleisten ist (ABl. L 443 vom 10.12.2021, S. 9).</w:t>
      </w:r>
    </w:p>
    <w:p w:rsidR="007F4F83" w:rsidRPr="009D01F9" w:rsidRDefault="001C79AD" w:rsidP="001C79AD">
      <w:pPr>
        <w:pStyle w:val="Point0"/>
        <w:rPr>
          <w:noProof/>
        </w:rPr>
      </w:pPr>
      <w:r w:rsidRPr="001C79AD">
        <w:t>(2)</w:t>
      </w:r>
      <w:r w:rsidRPr="001C79AD">
        <w:tab/>
      </w:r>
      <w:r w:rsidR="00921483" w:rsidRPr="009D01F9">
        <w:rPr>
          <w:noProof/>
        </w:rPr>
        <w:t xml:space="preserve">Der Wortlaut von Anhang I der vorliegenden Verordnung wird als Anhang XXXIX angefügt. </w:t>
      </w:r>
    </w:p>
    <w:p w:rsidR="007F4F83" w:rsidRPr="009D01F9" w:rsidRDefault="001C79AD" w:rsidP="001C79AD">
      <w:pPr>
        <w:pStyle w:val="Point0"/>
        <w:rPr>
          <w:noProof/>
        </w:rPr>
      </w:pPr>
      <w:r w:rsidRPr="001C79AD">
        <w:t>(3)</w:t>
      </w:r>
      <w:r w:rsidRPr="001C79AD">
        <w:tab/>
      </w:r>
      <w:r w:rsidR="00921483" w:rsidRPr="009D01F9">
        <w:rPr>
          <w:noProof/>
        </w:rPr>
        <w:t>Der Wortlaut von Anhang II der vorliegenden Verordnung wird als Anhang XL angefügt.</w:t>
      </w:r>
    </w:p>
    <w:p w:rsidR="007F4F83" w:rsidRPr="009D01F9" w:rsidRDefault="007F4F83" w:rsidP="004046D9">
      <w:pPr>
        <w:pStyle w:val="Titrearticle"/>
        <w:rPr>
          <w:noProof/>
          <w:szCs w:val="24"/>
        </w:rPr>
      </w:pPr>
      <w:r w:rsidRPr="009D01F9">
        <w:rPr>
          <w:noProof/>
        </w:rPr>
        <w:t>Artikel 2</w:t>
      </w:r>
    </w:p>
    <w:p w:rsidR="007F4F83" w:rsidRPr="009D01F9" w:rsidRDefault="007F4F83" w:rsidP="007F4F83">
      <w:pPr>
        <w:pStyle w:val="Titrearticle"/>
        <w:spacing w:before="120"/>
        <w:rPr>
          <w:b/>
          <w:i w:val="0"/>
          <w:noProof/>
          <w:szCs w:val="24"/>
        </w:rPr>
      </w:pPr>
      <w:r w:rsidRPr="009D01F9">
        <w:rPr>
          <w:b/>
          <w:i w:val="0"/>
          <w:noProof/>
        </w:rPr>
        <w:t>Inkrafttreten</w:t>
      </w:r>
    </w:p>
    <w:p w:rsidR="007F4F83" w:rsidRPr="009D01F9" w:rsidRDefault="007F4F83" w:rsidP="007F4F83">
      <w:pPr>
        <w:rPr>
          <w:noProof/>
          <w:color w:val="000000" w:themeColor="text1"/>
          <w:szCs w:val="24"/>
        </w:rPr>
      </w:pPr>
      <w:r w:rsidRPr="009D01F9">
        <w:rPr>
          <w:noProof/>
        </w:rPr>
        <w:t xml:space="preserve">Diese Verordnung tritt am zwanzigsten Tag nach ihrer Veröffentlichung im </w:t>
      </w:r>
      <w:r w:rsidRPr="009D01F9">
        <w:rPr>
          <w:i/>
          <w:noProof/>
        </w:rPr>
        <w:t>Amtsblatt der Europäischen Union</w:t>
      </w:r>
      <w:r w:rsidRPr="009D01F9">
        <w:rPr>
          <w:noProof/>
        </w:rPr>
        <w:t xml:space="preserve"> in Kraft.</w:t>
      </w:r>
      <w:r w:rsidRPr="009D01F9">
        <w:rPr>
          <w:noProof/>
          <w:color w:val="000000" w:themeColor="text1"/>
        </w:rPr>
        <w:t xml:space="preserve"> </w:t>
      </w:r>
    </w:p>
    <w:p w:rsidR="007F4F83" w:rsidRPr="009D01F9" w:rsidRDefault="007F4F83" w:rsidP="007F4F83">
      <w:pPr>
        <w:pStyle w:val="Applicationdirecte"/>
        <w:rPr>
          <w:noProof/>
          <w:color w:val="000000"/>
          <w:szCs w:val="24"/>
        </w:rPr>
      </w:pPr>
      <w:r w:rsidRPr="009D01F9">
        <w:rPr>
          <w:noProof/>
          <w:color w:val="000000"/>
        </w:rPr>
        <w:t>Diese Verordnung ist in allen ihren Teilen verbindlich und gilt unmittelbar in jedem Mitgliedstaat.</w:t>
      </w:r>
    </w:p>
    <w:p w:rsidR="003C122C" w:rsidRPr="009D01F9" w:rsidRDefault="009020A6" w:rsidP="00574756">
      <w:pPr>
        <w:pStyle w:val="Fait"/>
        <w:rPr>
          <w:noProof/>
        </w:rPr>
      </w:pPr>
      <w:r w:rsidRPr="009020A6">
        <w:t>Brüssel, den 30.11.2022</w:t>
      </w:r>
    </w:p>
    <w:p w:rsidR="003C122C" w:rsidRPr="009D01F9" w:rsidRDefault="003C122C" w:rsidP="00574756">
      <w:pPr>
        <w:pStyle w:val="Institutionquisigne"/>
        <w:rPr>
          <w:noProof/>
          <w:szCs w:val="24"/>
        </w:rPr>
      </w:pPr>
      <w:r w:rsidRPr="009D01F9">
        <w:rPr>
          <w:noProof/>
        </w:rPr>
        <w:tab/>
        <w:t>Für die Kommission</w:t>
      </w:r>
    </w:p>
    <w:p w:rsidR="00C32BCD" w:rsidRPr="009D01F9" w:rsidRDefault="005D2E2A" w:rsidP="00574756">
      <w:pPr>
        <w:pStyle w:val="Personnequisigne"/>
        <w:keepNext/>
        <w:rPr>
          <w:noProof/>
          <w:szCs w:val="24"/>
        </w:rPr>
      </w:pPr>
      <w:r>
        <w:tab/>
        <w:t>Die Präsidentin</w:t>
      </w:r>
      <w:r>
        <w:br/>
      </w:r>
      <w:r>
        <w:tab/>
        <w:t>Ursula VON DER LEYEN</w:t>
      </w:r>
    </w:p>
    <w:p w:rsidR="00C32BCD" w:rsidRPr="009D01F9" w:rsidRDefault="00C32BCD" w:rsidP="00C32BCD">
      <w:pPr>
        <w:pStyle w:val="Personnequisigne"/>
        <w:rPr>
          <w:noProof/>
          <w:szCs w:val="24"/>
        </w:rPr>
      </w:pPr>
    </w:p>
    <w:sectPr w:rsidR="00C32BCD" w:rsidRPr="009D01F9" w:rsidSect="001D1628">
      <w:footerReference w:type="default" r:id="rId10"/>
      <w:footerReference w:type="first" r:id="rId11"/>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5EBEA" w16cex:dateUtc="2022-06-16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37DE51" w16cid:durableId="2655EBCB"/>
  <w16cid:commentId w16cid:paraId="7A29AA4B" w16cid:durableId="2655EBCC"/>
  <w16cid:commentId w16cid:paraId="3433952E" w16cid:durableId="2655EBCD"/>
  <w16cid:commentId w16cid:paraId="6EED3A3E" w16cid:durableId="2655EBCE"/>
  <w16cid:commentId w16cid:paraId="3EE02E5B" w16cid:durableId="2655EBCF"/>
  <w16cid:commentId w16cid:paraId="01A26344" w16cid:durableId="2655EBD0"/>
  <w16cid:commentId w16cid:paraId="39EDADD7" w16cid:durableId="2655EBD1"/>
  <w16cid:commentId w16cid:paraId="3AF162EE" w16cid:durableId="2628F6CF"/>
  <w16cid:commentId w16cid:paraId="6812BB0D" w16cid:durableId="2655EBD3"/>
  <w16cid:commentId w16cid:paraId="62E5038C" w16cid:durableId="2655EBD4"/>
  <w16cid:commentId w16cid:paraId="1F6C8177" w16cid:durableId="2655EBD5"/>
  <w16cid:commentId w16cid:paraId="0AE9DA68" w16cid:durableId="2655EBD6"/>
  <w16cid:commentId w16cid:paraId="596D06C5" w16cid:durableId="2628F6D1"/>
  <w16cid:commentId w16cid:paraId="46A9AA41" w16cid:durableId="2628F6D2"/>
  <w16cid:commentId w16cid:paraId="41CC9094" w16cid:durableId="2655EBD9"/>
  <w16cid:commentId w16cid:paraId="38880244" w16cid:durableId="2655EBDA"/>
  <w16cid:commentId w16cid:paraId="411E34EB" w16cid:durableId="2655EBDB"/>
  <w16cid:commentId w16cid:paraId="40899BBD" w16cid:durableId="2655EBEA"/>
  <w16cid:commentId w16cid:paraId="75EFCE6B" w16cid:durableId="2655EBDC"/>
  <w16cid:commentId w16cid:paraId="4EBEEE40" w16cid:durableId="2655EBDD"/>
  <w16cid:commentId w16cid:paraId="5ED79B6F" w16cid:durableId="2628F6D4"/>
  <w16cid:commentId w16cid:paraId="591736CE" w16cid:durableId="2655EBDF"/>
  <w16cid:commentId w16cid:paraId="1072DCD9" w16cid:durableId="2628F6D5"/>
  <w16cid:commentId w16cid:paraId="025BC4FA" w16cid:durableId="2655EBE1"/>
  <w16cid:commentId w16cid:paraId="218F3D69" w16cid:durableId="2628F6D6"/>
  <w16cid:commentId w16cid:paraId="0D916AAE" w16cid:durableId="2655EBE3"/>
  <w16cid:commentId w16cid:paraId="0F33B10D" w16cid:durableId="2628F6D7"/>
  <w16cid:commentId w16cid:paraId="01546E2B" w16cid:durableId="2655EBE5"/>
  <w16cid:commentId w16cid:paraId="44509D12" w16cid:durableId="2628F6D9"/>
  <w16cid:commentId w16cid:paraId="06BE4C89" w16cid:durableId="2655EBE7"/>
  <w16cid:commentId w16cid:paraId="63A690CE" w16cid:durableId="2628F6DA"/>
  <w16cid:commentId w16cid:paraId="268A51E3" w16cid:durableId="2655EB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F55" w:rsidRDefault="004C7F55" w:rsidP="003C122C">
      <w:pPr>
        <w:spacing w:before="0" w:after="0"/>
      </w:pPr>
      <w:r>
        <w:separator/>
      </w:r>
    </w:p>
  </w:endnote>
  <w:endnote w:type="continuationSeparator" w:id="0">
    <w:p w:rsidR="004C7F55" w:rsidRDefault="004C7F55" w:rsidP="003C12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6ED" w:rsidRPr="001D1628" w:rsidRDefault="001D1628" w:rsidP="001D1628">
    <w:pPr>
      <w:pStyle w:val="Footer"/>
      <w:rPr>
        <w:rFonts w:ascii="Arial" w:hAnsi="Arial" w:cs="Arial"/>
        <w:b/>
        <w:sz w:val="48"/>
      </w:rPr>
    </w:pPr>
    <w:r w:rsidRPr="001D1628">
      <w:rPr>
        <w:rFonts w:ascii="Arial" w:hAnsi="Arial" w:cs="Arial"/>
        <w:b/>
        <w:sz w:val="48"/>
      </w:rPr>
      <w:t>DE</w:t>
    </w:r>
    <w:r w:rsidRPr="001D1628">
      <w:rPr>
        <w:rFonts w:ascii="Arial" w:hAnsi="Arial" w:cs="Arial"/>
        <w:b/>
        <w:sz w:val="48"/>
      </w:rPr>
      <w:tab/>
    </w:r>
    <w:r w:rsidRPr="001D1628">
      <w:rPr>
        <w:rFonts w:ascii="Arial" w:hAnsi="Arial" w:cs="Arial"/>
        <w:b/>
        <w:sz w:val="48"/>
      </w:rPr>
      <w:tab/>
    </w:r>
    <w:r w:rsidRPr="001D1628">
      <w:tab/>
    </w:r>
    <w:r w:rsidRPr="001D1628">
      <w:rPr>
        <w:rFonts w:ascii="Arial" w:hAnsi="Arial" w:cs="Arial"/>
        <w:b/>
        <w:sz w:val="48"/>
      </w:rPr>
      <w:t>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628" w:rsidRPr="001D1628" w:rsidRDefault="001D1628" w:rsidP="001D1628">
    <w:pPr>
      <w:pStyle w:val="Footer"/>
      <w:rPr>
        <w:rFonts w:ascii="Arial" w:hAnsi="Arial" w:cs="Arial"/>
        <w:b/>
        <w:sz w:val="48"/>
      </w:rPr>
    </w:pPr>
    <w:r w:rsidRPr="001D1628">
      <w:rPr>
        <w:rFonts w:ascii="Arial" w:hAnsi="Arial" w:cs="Arial"/>
        <w:b/>
        <w:sz w:val="48"/>
      </w:rPr>
      <w:t>DE</w:t>
    </w:r>
    <w:r w:rsidRPr="001D1628">
      <w:rPr>
        <w:rFonts w:ascii="Arial" w:hAnsi="Arial" w:cs="Arial"/>
        <w:b/>
        <w:sz w:val="48"/>
      </w:rPr>
      <w:tab/>
    </w:r>
    <w:r>
      <w:fldChar w:fldCharType="begin"/>
    </w:r>
    <w:r>
      <w:instrText xml:space="preserve"> PAGE  \* MERGEFORMAT </w:instrText>
    </w:r>
    <w:r>
      <w:fldChar w:fldCharType="separate"/>
    </w:r>
    <w:r w:rsidR="00574756">
      <w:rPr>
        <w:noProof/>
      </w:rPr>
      <w:t>6</w:t>
    </w:r>
    <w:r>
      <w:fldChar w:fldCharType="end"/>
    </w:r>
    <w:r>
      <w:tab/>
    </w:r>
    <w:r w:rsidRPr="001D1628">
      <w:tab/>
    </w:r>
    <w:r w:rsidRPr="001D1628">
      <w:rPr>
        <w:rFonts w:ascii="Arial" w:hAnsi="Arial" w:cs="Arial"/>
        <w:b/>
        <w:sz w:val="48"/>
      </w:rPr>
      <w:t>DE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628" w:rsidRPr="001D1628" w:rsidRDefault="001D1628" w:rsidP="001D16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F55" w:rsidRDefault="004C7F55" w:rsidP="003C122C">
      <w:pPr>
        <w:spacing w:before="0" w:after="0"/>
      </w:pPr>
      <w:r>
        <w:separator/>
      </w:r>
    </w:p>
  </w:footnote>
  <w:footnote w:type="continuationSeparator" w:id="0">
    <w:p w:rsidR="004C7F55" w:rsidRDefault="004C7F55" w:rsidP="003C122C">
      <w:pPr>
        <w:spacing w:before="0" w:after="0"/>
      </w:pPr>
      <w:r>
        <w:continuationSeparator/>
      </w:r>
    </w:p>
  </w:footnote>
  <w:footnote w:id="1">
    <w:p w:rsidR="003C122C" w:rsidRPr="007067A9" w:rsidRDefault="003C122C" w:rsidP="003C122C">
      <w:pPr>
        <w:pStyle w:val="FootnoteText"/>
      </w:pPr>
      <w:r>
        <w:rPr>
          <w:rStyle w:val="FootnoteReference"/>
        </w:rPr>
        <w:footnoteRef/>
      </w:r>
      <w:r>
        <w:tab/>
        <w:t>ABl. L 176 vom 27.6.2013, S. 1.</w:t>
      </w:r>
    </w:p>
  </w:footnote>
  <w:footnote w:id="2">
    <w:p w:rsidR="007067A9" w:rsidRPr="00FC42BE" w:rsidRDefault="007067A9" w:rsidP="007067A9">
      <w:pPr>
        <w:pStyle w:val="FootnoteText"/>
      </w:pPr>
      <w:r>
        <w:rPr>
          <w:rStyle w:val="FootnoteReference"/>
        </w:rPr>
        <w:footnoteRef/>
      </w:r>
      <w:r>
        <w:tab/>
        <w:t>Durchführungsverordnung (EU) 2021/637 der Kommission vom 15. März 2021 zur Festlegung technischer Durchführungsstandards für die Offenlegung der in Teil 8 Titel II und III der Verordnung (EU) Nr. 575/2013 des Europäischen Parlaments und des Rates genannten Informationen durch die Institute und zur Aufhebung der Durchführungsverordnung (EU) Nr. 1423/2013 der Kommission, der Delegierten Verordnung (EU) 2015/1555 der Kommission, der Durchführungsverordnung (EU) 2016/200 der Kommission und der Delegierten Verordnung (EU) 2017/2295 der Kommission (ABl. L 136 vom 21.4.2021, S. 1).</w:t>
      </w:r>
    </w:p>
  </w:footnote>
  <w:footnote w:id="3">
    <w:p w:rsidR="007067A9" w:rsidRPr="007067A9" w:rsidRDefault="007067A9" w:rsidP="007067A9">
      <w:pPr>
        <w:pStyle w:val="FootnoteText"/>
      </w:pPr>
      <w:r>
        <w:rPr>
          <w:rStyle w:val="FootnoteReference"/>
        </w:rPr>
        <w:footnoteRef/>
      </w:r>
      <w:r>
        <w:tab/>
        <w:t>Verordnung (EU) 2019/876 des Europäischen Parlaments und des Rates vom 20. Mai 2019 zur Änderung der Verordnung (EU) Nr. 575/2013 in Bezug auf die Verschuldungsquote, die strukturelle Liquiditätsquote, Anforderungen an Eigenmittel und berücksichtigungsfähige Verbindlichkeiten, das Gegenparteiausfallrisiko, das Marktrisiko, Risikopositionen gegenüber zentralen Gegenparteien, Risikopositionen gegenüber Organismen für gemeinsame Anlagen, Großkredite, Melde- und Offenlegungspflichten und der Verordnung (EU) Nr. 648/2012 (ABl. L 150 vom 7.6.2019, S. 1).</w:t>
      </w:r>
    </w:p>
  </w:footnote>
  <w:footnote w:id="4">
    <w:p w:rsidR="00410340" w:rsidRPr="007067A9" w:rsidRDefault="00410340" w:rsidP="008B3E83">
      <w:pPr>
        <w:pStyle w:val="FootnoteText"/>
      </w:pPr>
      <w:r>
        <w:rPr>
          <w:rStyle w:val="FootnoteReference"/>
        </w:rPr>
        <w:footnoteRef/>
      </w:r>
      <w:r>
        <w:tab/>
        <w:t>Verordnung (EU) 2020/852 des Europäischen Parlaments und des Rates vom 18. Juni 2020 über die Einrichtung eines Rahmens zur Erleichterung nachhaltiger Investitionen und zur Änderung der Verordnung (EU) 2019/2088 (ABl. L 198 vom 22.6.2020, S. 13).</w:t>
      </w:r>
    </w:p>
  </w:footnote>
  <w:footnote w:id="5">
    <w:p w:rsidR="00410340" w:rsidRPr="007067A9" w:rsidRDefault="00410340" w:rsidP="008B3E83">
      <w:pPr>
        <w:pStyle w:val="FootnoteText"/>
        <w:rPr>
          <w:i/>
        </w:rPr>
      </w:pPr>
      <w:r>
        <w:rPr>
          <w:rStyle w:val="FootnoteReference"/>
        </w:rPr>
        <w:footnoteRef/>
      </w:r>
      <w:r>
        <w:tab/>
        <w:t>Delegierte Verordnung (EU) 2020/1818 der Kommission vom 17. Juli 2020 zur Ergänzung der Verordnung (EU) 2016/1011 des Europäischen Parlaments und des Rates im Hinblick auf Mindeststandards für EU-Referenzwerte für den klimabedingten Wandel und für Paris-abgestimmte EU-Referenzwerte (ABl. L 406 vom 3.12.2020, S. 17).</w:t>
      </w:r>
    </w:p>
  </w:footnote>
  <w:footnote w:id="6">
    <w:p w:rsidR="00410340" w:rsidRPr="007067A9" w:rsidRDefault="00410340" w:rsidP="008B3E83">
      <w:pPr>
        <w:pStyle w:val="FootnoteText"/>
        <w:rPr>
          <w:color w:val="444444"/>
        </w:rPr>
      </w:pPr>
      <w:r>
        <w:rPr>
          <w:rStyle w:val="FootnoteReference"/>
        </w:rPr>
        <w:footnoteRef/>
      </w:r>
      <w:r>
        <w:tab/>
        <w:t>Richtlinie 2010/31/EU des Europäischen Parlaments und des Rates vom 19. Mai 2010 über die Gesamtenergieeffizienz von Gebäuden (ABl. L 153 vom 18.6.2010, S. 13).</w:t>
      </w:r>
    </w:p>
  </w:footnote>
  <w:footnote w:id="7">
    <w:p w:rsidR="00135CD4" w:rsidRPr="00135CD4" w:rsidRDefault="00135CD4" w:rsidP="00135CD4">
      <w:pPr>
        <w:pStyle w:val="FootnoteText"/>
      </w:pPr>
      <w:r>
        <w:rPr>
          <w:rStyle w:val="FootnoteReference"/>
        </w:rPr>
        <w:footnoteRef/>
      </w:r>
      <w:r>
        <w:tab/>
        <w:t>Richtlinie 2013/34/EU des Europäischen Parlaments und des Rates vom 26. Juni 2013 über den Jahresabschluss, den konsolidierten Abschluss und damit verbundene Berichte von Unternehmen bestimmter Rechtsformen und zur Änderung der Richtlinie 2006/43/EG des Europäischen Parlaments und des Rates und zur Aufhebung der Richtlinien 78/660/EWG und 83/349/EWG des Rates (ABl. L 182 vom 29.6.2013, S. 19).</w:t>
      </w:r>
    </w:p>
  </w:footnote>
  <w:footnote w:id="8">
    <w:p w:rsidR="00410340" w:rsidRPr="007067A9" w:rsidRDefault="00410340" w:rsidP="00410340">
      <w:pPr>
        <w:pStyle w:val="FootnoteText"/>
      </w:pPr>
      <w:r>
        <w:rPr>
          <w:rStyle w:val="FootnoteReference"/>
        </w:rPr>
        <w:footnoteRef/>
      </w:r>
      <w:r>
        <w:tab/>
        <w:t>Verordnung (EU) Nr. 1093/2010 des Europäischen Parlaments und des Rates vom 24. November 2010 zur Errichtung einer Europäischen Aufsichtsbehörde (Europäische Bankenaufsichtsbehörde), zur Änderung des Beschlusses Nr. 716/2009/EG und zur Aufhebung des Beschlusses 2009/78/EG der Kommission (ABl. L 331 vom 15.12.2010, S.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986377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9F0D1A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2082C4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45AAF27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94EE60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6104F90"/>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25C65D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FE8499E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6947"/>
        </w:tabs>
        <w:ind w:left="6947" w:hanging="28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7"/>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4"/>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1"/>
  </w:num>
  <w:num w:numId="18">
    <w:abstractNumId w:val="13"/>
  </w:num>
  <w:num w:numId="19">
    <w:abstractNumId w:val="23"/>
  </w:num>
  <w:num w:numId="20">
    <w:abstractNumId w:val="11"/>
  </w:num>
  <w:num w:numId="21">
    <w:abstractNumId w:val="14"/>
  </w:num>
  <w:num w:numId="22">
    <w:abstractNumId w:val="15"/>
  </w:num>
  <w:num w:numId="23">
    <w:abstractNumId w:val="9"/>
  </w:num>
  <w:num w:numId="24">
    <w:abstractNumId w:val="22"/>
  </w:num>
  <w:num w:numId="25">
    <w:abstractNumId w:val="8"/>
  </w:num>
  <w:num w:numId="26">
    <w:abstractNumId w:val="16"/>
  </w:num>
  <w:num w:numId="27">
    <w:abstractNumId w:val="19"/>
  </w:num>
  <w:num w:numId="28">
    <w:abstractNumId w:val="20"/>
  </w:num>
  <w:num w:numId="29">
    <w:abstractNumId w:val="10"/>
  </w:num>
  <w:num w:numId="30">
    <w:abstractNumId w:val="18"/>
  </w:num>
  <w:num w:numId="31">
    <w:abstractNumId w:val="24"/>
  </w:num>
  <w:num w:numId="32">
    <w:abstractNumId w:val="21"/>
  </w:num>
  <w:num w:numId="33">
    <w:abstractNumId w:val="13"/>
  </w:num>
  <w:num w:numId="34">
    <w:abstractNumId w:val="23"/>
  </w:num>
  <w:num w:numId="35">
    <w:abstractNumId w:val="11"/>
  </w:num>
  <w:num w:numId="36">
    <w:abstractNumId w:val="14"/>
  </w:num>
  <w:num w:numId="37">
    <w:abstractNumId w:val="15"/>
  </w:num>
  <w:num w:numId="38">
    <w:abstractNumId w:val="9"/>
  </w:num>
  <w:num w:numId="39">
    <w:abstractNumId w:val="22"/>
  </w:num>
  <w:num w:numId="40">
    <w:abstractNumId w:val="8"/>
  </w:num>
  <w:num w:numId="41">
    <w:abstractNumId w:val="16"/>
  </w:num>
  <w:num w:numId="42">
    <w:abstractNumId w:val="19"/>
  </w:num>
  <w:num w:numId="43">
    <w:abstractNumId w:val="20"/>
  </w:num>
  <w:num w:numId="44">
    <w:abstractNumId w:val="10"/>
  </w:num>
  <w:num w:numId="45">
    <w:abstractNumId w:val="18"/>
  </w:num>
  <w:num w:numId="46">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ttachedTemplate r:id="rId1"/>
  <w:revisionView w:markup="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11-27 19:34:08"/>
    <w:docVar w:name="DQCNUMB_1" w:val="33"/>
    <w:docVar w:name="DQCNUMB_2" w:val="34"/>
    <w:docVar w:name="DQCNUMB_3" w:val="35"/>
    <w:docVar w:name="DQCNUMB_4" w:val="30"/>
    <w:docVar w:name="DQCNUMB_5" w:val="31"/>
    <w:docVar w:name="DQCNUMB_6" w:val="32"/>
    <w:docVar w:name="DQCNUMB_7" w:val="44"/>
    <w:docVar w:name="DQCNUMB_8" w:val="45"/>
    <w:docVar w:name="DQCNUMB_9" w:val="4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EEDCF97A-6530-44E5-B3B3-26BDA3E315D3"/>
    <w:docVar w:name="LW_COVERPAGE_TYPE" w:val="1"/>
    <w:docVar w:name="LW_CROSSREFERENCE" w:val="&lt;UNUSED&gt;"/>
    <w:docVar w:name="LW_DATE.ADOPT.CP" w:val="vom 30.11.2022"/>
    <w:docVar w:name="LW_DATE.ADOPT.CP_DATEFORMAT" w:val="vom %DATE%"/>
    <w:docVar w:name="LW_DATE.ADOPT.CP_ISODATE" w:val="2022-11-30"/>
    <w:docVar w:name="LW_DocType" w:val="COM"/>
    <w:docVar w:name="LW_EMISSION" w:val="30.11.2022"/>
    <w:docVar w:name="LW_EMISSION_ISODATE" w:val="2022-11-30"/>
    <w:docVar w:name="LW_EMISSION_LOCATION" w:val="BRX"/>
    <w:docVar w:name="LW_EMISSION_PREFIX" w:val="Brüssel, den "/>
    <w:docVar w:name="LW_EMISSION_SUFFIX" w:val=" "/>
    <w:docVar w:name="LW_ID_DOCMODEL" w:val="SJ-004"/>
    <w:docVar w:name="LW_ID_DOCSIGNATURE" w:val="SJ-004"/>
    <w:docVar w:name="LW_ID_DOCSTRUCTURE" w:val="COM/AA"/>
    <w:docVar w:name="LW_ID_DOCTYPE" w:val="SJ-004"/>
    <w:docVar w:name="LW_INTERETEEE.CP" w:val="(Text von Bedeutung für den EWR)"/>
    <w:docVar w:name="LW_LANGUE" w:val="DE"/>
    <w:docVar w:name="LW_LANGUESFAISANTFOI.CP" w:val="&lt;UNUSED&gt;"/>
    <w:docVar w:name="LW_LEVEL_OF_SENSITIVITY" w:val="Standard treatment"/>
    <w:docVar w:name="LW_NOM.INST" w:val="EUROPÄISCHE KOMMISSION"/>
    <w:docVar w:name="LW_NOM.INST_JOINTDOC" w:val="&lt;EMPTY&gt;"/>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zur Änderung der in der Durchführungsverordnung (EU) 2021/637 festgelegten technischen Durchführungsstandards im Hinblick auf die Offenlegung der Umwelt-, Sozial- und Unternehmensführungsrisiken _x000b_"/>
    <w:docVar w:name="LW_TYPE.DOC.CP" w:val="DURCHFÜHRUNGSVERORDNUNG (EU) .../... DER KOMMISSION"/>
    <w:docVar w:name="LwApiVersions" w:val="LW4CoDe 1.23.2.0; LW 8.0, Build 20211117"/>
  </w:docVars>
  <w:rsids>
    <w:rsidRoot w:val="003C122C"/>
    <w:rsid w:val="000057BA"/>
    <w:rsid w:val="00012369"/>
    <w:rsid w:val="00013965"/>
    <w:rsid w:val="00014B2C"/>
    <w:rsid w:val="000163E0"/>
    <w:rsid w:val="00022FD2"/>
    <w:rsid w:val="00024AB1"/>
    <w:rsid w:val="000337EA"/>
    <w:rsid w:val="0004104A"/>
    <w:rsid w:val="0006070A"/>
    <w:rsid w:val="00066156"/>
    <w:rsid w:val="00083B2C"/>
    <w:rsid w:val="00086FAB"/>
    <w:rsid w:val="00092C7C"/>
    <w:rsid w:val="000941B5"/>
    <w:rsid w:val="00095049"/>
    <w:rsid w:val="000A39E5"/>
    <w:rsid w:val="000A7517"/>
    <w:rsid w:val="000B1F8E"/>
    <w:rsid w:val="000B76A4"/>
    <w:rsid w:val="000C0D47"/>
    <w:rsid w:val="000C2D6F"/>
    <w:rsid w:val="000E198E"/>
    <w:rsid w:val="000F3F2A"/>
    <w:rsid w:val="000F5934"/>
    <w:rsid w:val="00103B22"/>
    <w:rsid w:val="0011495F"/>
    <w:rsid w:val="00135CD4"/>
    <w:rsid w:val="00145996"/>
    <w:rsid w:val="00154CCD"/>
    <w:rsid w:val="001645DB"/>
    <w:rsid w:val="00184181"/>
    <w:rsid w:val="001844EE"/>
    <w:rsid w:val="001904B5"/>
    <w:rsid w:val="001A327A"/>
    <w:rsid w:val="001B18A5"/>
    <w:rsid w:val="001B1CE9"/>
    <w:rsid w:val="001B7BF1"/>
    <w:rsid w:val="001C015A"/>
    <w:rsid w:val="001C2816"/>
    <w:rsid w:val="001C79AD"/>
    <w:rsid w:val="001D1628"/>
    <w:rsid w:val="001E4D6F"/>
    <w:rsid w:val="001E62ED"/>
    <w:rsid w:val="001F0712"/>
    <w:rsid w:val="001F230A"/>
    <w:rsid w:val="001F4DF3"/>
    <w:rsid w:val="002114F8"/>
    <w:rsid w:val="00225284"/>
    <w:rsid w:val="00227B00"/>
    <w:rsid w:val="002314F6"/>
    <w:rsid w:val="00232E98"/>
    <w:rsid w:val="00236D1F"/>
    <w:rsid w:val="00244967"/>
    <w:rsid w:val="0024497F"/>
    <w:rsid w:val="002522BC"/>
    <w:rsid w:val="002815D4"/>
    <w:rsid w:val="00282860"/>
    <w:rsid w:val="00286E16"/>
    <w:rsid w:val="002B16C1"/>
    <w:rsid w:val="002C526A"/>
    <w:rsid w:val="002D1236"/>
    <w:rsid w:val="002E6EC7"/>
    <w:rsid w:val="00301900"/>
    <w:rsid w:val="00303A4B"/>
    <w:rsid w:val="0031532F"/>
    <w:rsid w:val="00317925"/>
    <w:rsid w:val="00320A76"/>
    <w:rsid w:val="00320B78"/>
    <w:rsid w:val="003226A9"/>
    <w:rsid w:val="0032597F"/>
    <w:rsid w:val="003276ED"/>
    <w:rsid w:val="00331719"/>
    <w:rsid w:val="0033740A"/>
    <w:rsid w:val="00353D88"/>
    <w:rsid w:val="003578D1"/>
    <w:rsid w:val="00362239"/>
    <w:rsid w:val="003965B3"/>
    <w:rsid w:val="00396F18"/>
    <w:rsid w:val="00397813"/>
    <w:rsid w:val="003A5DF1"/>
    <w:rsid w:val="003A6D93"/>
    <w:rsid w:val="003C122C"/>
    <w:rsid w:val="003C70D6"/>
    <w:rsid w:val="003D22F0"/>
    <w:rsid w:val="003D5E0A"/>
    <w:rsid w:val="003E1B7D"/>
    <w:rsid w:val="004046D9"/>
    <w:rsid w:val="00410340"/>
    <w:rsid w:val="0041104D"/>
    <w:rsid w:val="00413DA3"/>
    <w:rsid w:val="00414930"/>
    <w:rsid w:val="00414A4D"/>
    <w:rsid w:val="00436E6A"/>
    <w:rsid w:val="004376A0"/>
    <w:rsid w:val="004550A7"/>
    <w:rsid w:val="00490FF5"/>
    <w:rsid w:val="004A6F3E"/>
    <w:rsid w:val="004C0BD0"/>
    <w:rsid w:val="004C21A2"/>
    <w:rsid w:val="004C6D12"/>
    <w:rsid w:val="004C74A9"/>
    <w:rsid w:val="004C7F55"/>
    <w:rsid w:val="004D65D2"/>
    <w:rsid w:val="004E25CB"/>
    <w:rsid w:val="004E41D0"/>
    <w:rsid w:val="004F0D71"/>
    <w:rsid w:val="004F6722"/>
    <w:rsid w:val="004F6DF7"/>
    <w:rsid w:val="00500AC9"/>
    <w:rsid w:val="005103F2"/>
    <w:rsid w:val="00524ADC"/>
    <w:rsid w:val="00530E44"/>
    <w:rsid w:val="00541DBA"/>
    <w:rsid w:val="00543602"/>
    <w:rsid w:val="00547071"/>
    <w:rsid w:val="005708C3"/>
    <w:rsid w:val="005743BA"/>
    <w:rsid w:val="00574756"/>
    <w:rsid w:val="00592619"/>
    <w:rsid w:val="00592E05"/>
    <w:rsid w:val="00595146"/>
    <w:rsid w:val="005B177F"/>
    <w:rsid w:val="005B5751"/>
    <w:rsid w:val="005C5191"/>
    <w:rsid w:val="005D1193"/>
    <w:rsid w:val="005D2409"/>
    <w:rsid w:val="005D2E2A"/>
    <w:rsid w:val="005E5AED"/>
    <w:rsid w:val="00635568"/>
    <w:rsid w:val="00635A91"/>
    <w:rsid w:val="00643DD1"/>
    <w:rsid w:val="006542E5"/>
    <w:rsid w:val="00657F0F"/>
    <w:rsid w:val="0066012A"/>
    <w:rsid w:val="00674F39"/>
    <w:rsid w:val="00686BCA"/>
    <w:rsid w:val="0069084C"/>
    <w:rsid w:val="006973D8"/>
    <w:rsid w:val="006B71ED"/>
    <w:rsid w:val="006C171D"/>
    <w:rsid w:val="006D6422"/>
    <w:rsid w:val="006E41D9"/>
    <w:rsid w:val="006E5628"/>
    <w:rsid w:val="0070128F"/>
    <w:rsid w:val="00701EE8"/>
    <w:rsid w:val="007067A9"/>
    <w:rsid w:val="007117D9"/>
    <w:rsid w:val="00713F5B"/>
    <w:rsid w:val="00715E6A"/>
    <w:rsid w:val="0071695E"/>
    <w:rsid w:val="00720FE7"/>
    <w:rsid w:val="00723CCB"/>
    <w:rsid w:val="00732259"/>
    <w:rsid w:val="00732CCA"/>
    <w:rsid w:val="00737997"/>
    <w:rsid w:val="007438A8"/>
    <w:rsid w:val="00756CA3"/>
    <w:rsid w:val="00763A70"/>
    <w:rsid w:val="00781556"/>
    <w:rsid w:val="00782B92"/>
    <w:rsid w:val="00785CE7"/>
    <w:rsid w:val="00792229"/>
    <w:rsid w:val="007C06F6"/>
    <w:rsid w:val="007C1792"/>
    <w:rsid w:val="007C6A9F"/>
    <w:rsid w:val="007D0388"/>
    <w:rsid w:val="007D62F0"/>
    <w:rsid w:val="007D7DBC"/>
    <w:rsid w:val="007E26C3"/>
    <w:rsid w:val="007F4F83"/>
    <w:rsid w:val="007F5860"/>
    <w:rsid w:val="00804148"/>
    <w:rsid w:val="008062B5"/>
    <w:rsid w:val="00817B8F"/>
    <w:rsid w:val="00821D7F"/>
    <w:rsid w:val="00832DCF"/>
    <w:rsid w:val="00847287"/>
    <w:rsid w:val="00851060"/>
    <w:rsid w:val="0085437D"/>
    <w:rsid w:val="0086052B"/>
    <w:rsid w:val="00865DA1"/>
    <w:rsid w:val="0087679B"/>
    <w:rsid w:val="00884A61"/>
    <w:rsid w:val="008968D2"/>
    <w:rsid w:val="008B3E83"/>
    <w:rsid w:val="008B4EA1"/>
    <w:rsid w:val="008B6B70"/>
    <w:rsid w:val="008B7323"/>
    <w:rsid w:val="008C6F3B"/>
    <w:rsid w:val="008C705E"/>
    <w:rsid w:val="008D169C"/>
    <w:rsid w:val="008D2E23"/>
    <w:rsid w:val="008E08C7"/>
    <w:rsid w:val="008E44ED"/>
    <w:rsid w:val="008E7033"/>
    <w:rsid w:val="008E7D06"/>
    <w:rsid w:val="009020A6"/>
    <w:rsid w:val="00905BE0"/>
    <w:rsid w:val="00911BBB"/>
    <w:rsid w:val="00921483"/>
    <w:rsid w:val="00930B06"/>
    <w:rsid w:val="0093114D"/>
    <w:rsid w:val="00935E8E"/>
    <w:rsid w:val="0094232C"/>
    <w:rsid w:val="00957D55"/>
    <w:rsid w:val="0096046C"/>
    <w:rsid w:val="00973740"/>
    <w:rsid w:val="00973E9E"/>
    <w:rsid w:val="00974379"/>
    <w:rsid w:val="009846A4"/>
    <w:rsid w:val="00986B33"/>
    <w:rsid w:val="00987AD5"/>
    <w:rsid w:val="00992A73"/>
    <w:rsid w:val="00994FD4"/>
    <w:rsid w:val="00995098"/>
    <w:rsid w:val="009A694B"/>
    <w:rsid w:val="009A73D4"/>
    <w:rsid w:val="009B7138"/>
    <w:rsid w:val="009C5D3A"/>
    <w:rsid w:val="009D01F9"/>
    <w:rsid w:val="009D6EB9"/>
    <w:rsid w:val="009E16FF"/>
    <w:rsid w:val="009E62A6"/>
    <w:rsid w:val="009F48FD"/>
    <w:rsid w:val="009F72A3"/>
    <w:rsid w:val="00A03A3E"/>
    <w:rsid w:val="00A11076"/>
    <w:rsid w:val="00A238D6"/>
    <w:rsid w:val="00A34057"/>
    <w:rsid w:val="00A41AD1"/>
    <w:rsid w:val="00A45F9D"/>
    <w:rsid w:val="00A525E2"/>
    <w:rsid w:val="00A6077E"/>
    <w:rsid w:val="00A61544"/>
    <w:rsid w:val="00A87925"/>
    <w:rsid w:val="00A97285"/>
    <w:rsid w:val="00AA5C69"/>
    <w:rsid w:val="00AA6403"/>
    <w:rsid w:val="00AA6D36"/>
    <w:rsid w:val="00AA7317"/>
    <w:rsid w:val="00AD2CD3"/>
    <w:rsid w:val="00AE332F"/>
    <w:rsid w:val="00AE60C7"/>
    <w:rsid w:val="00AF4467"/>
    <w:rsid w:val="00B00A6D"/>
    <w:rsid w:val="00B137D8"/>
    <w:rsid w:val="00B25755"/>
    <w:rsid w:val="00B37F85"/>
    <w:rsid w:val="00B45C88"/>
    <w:rsid w:val="00B555F4"/>
    <w:rsid w:val="00B667EA"/>
    <w:rsid w:val="00B75C81"/>
    <w:rsid w:val="00B76A3B"/>
    <w:rsid w:val="00B8705E"/>
    <w:rsid w:val="00B87C8F"/>
    <w:rsid w:val="00B90FD9"/>
    <w:rsid w:val="00B94522"/>
    <w:rsid w:val="00BB6E75"/>
    <w:rsid w:val="00BC21DD"/>
    <w:rsid w:val="00BE1E9F"/>
    <w:rsid w:val="00BE246D"/>
    <w:rsid w:val="00BF026F"/>
    <w:rsid w:val="00BF0A20"/>
    <w:rsid w:val="00BF17AA"/>
    <w:rsid w:val="00BF7813"/>
    <w:rsid w:val="00C0016D"/>
    <w:rsid w:val="00C24556"/>
    <w:rsid w:val="00C250DE"/>
    <w:rsid w:val="00C30A6B"/>
    <w:rsid w:val="00C32BCD"/>
    <w:rsid w:val="00C436F2"/>
    <w:rsid w:val="00C43ADB"/>
    <w:rsid w:val="00C55C47"/>
    <w:rsid w:val="00C563F0"/>
    <w:rsid w:val="00C72EBC"/>
    <w:rsid w:val="00C73950"/>
    <w:rsid w:val="00C80003"/>
    <w:rsid w:val="00C90F4B"/>
    <w:rsid w:val="00C96986"/>
    <w:rsid w:val="00CA5E0A"/>
    <w:rsid w:val="00CA6131"/>
    <w:rsid w:val="00CB63D6"/>
    <w:rsid w:val="00CD2F69"/>
    <w:rsid w:val="00CD31F7"/>
    <w:rsid w:val="00CD7B29"/>
    <w:rsid w:val="00CF4110"/>
    <w:rsid w:val="00D00193"/>
    <w:rsid w:val="00D01D57"/>
    <w:rsid w:val="00D14E3E"/>
    <w:rsid w:val="00D1768F"/>
    <w:rsid w:val="00D23734"/>
    <w:rsid w:val="00D34B59"/>
    <w:rsid w:val="00D44382"/>
    <w:rsid w:val="00D44778"/>
    <w:rsid w:val="00D56C86"/>
    <w:rsid w:val="00D6695E"/>
    <w:rsid w:val="00D7007A"/>
    <w:rsid w:val="00D753AD"/>
    <w:rsid w:val="00D819E9"/>
    <w:rsid w:val="00DA20D3"/>
    <w:rsid w:val="00DA6EF2"/>
    <w:rsid w:val="00DB337F"/>
    <w:rsid w:val="00DC51F2"/>
    <w:rsid w:val="00DD0951"/>
    <w:rsid w:val="00DD4BB1"/>
    <w:rsid w:val="00DE6779"/>
    <w:rsid w:val="00E02264"/>
    <w:rsid w:val="00E16C32"/>
    <w:rsid w:val="00E227DA"/>
    <w:rsid w:val="00E27B5B"/>
    <w:rsid w:val="00E57103"/>
    <w:rsid w:val="00E621E8"/>
    <w:rsid w:val="00E80A1C"/>
    <w:rsid w:val="00E84919"/>
    <w:rsid w:val="00EB425C"/>
    <w:rsid w:val="00EC304C"/>
    <w:rsid w:val="00EC548B"/>
    <w:rsid w:val="00ED20D7"/>
    <w:rsid w:val="00ED7891"/>
    <w:rsid w:val="00EE27FB"/>
    <w:rsid w:val="00EE28B6"/>
    <w:rsid w:val="00EE4396"/>
    <w:rsid w:val="00F007BC"/>
    <w:rsid w:val="00F170A6"/>
    <w:rsid w:val="00F20062"/>
    <w:rsid w:val="00F233CB"/>
    <w:rsid w:val="00F23798"/>
    <w:rsid w:val="00F45E0C"/>
    <w:rsid w:val="00F50B69"/>
    <w:rsid w:val="00F8179F"/>
    <w:rsid w:val="00F82E44"/>
    <w:rsid w:val="00F87C92"/>
    <w:rsid w:val="00F90B4C"/>
    <w:rsid w:val="00F930AF"/>
    <w:rsid w:val="00F93470"/>
    <w:rsid w:val="00FA40AE"/>
    <w:rsid w:val="00FB5D02"/>
    <w:rsid w:val="00FC42BE"/>
    <w:rsid w:val="00FD14DB"/>
    <w:rsid w:val="00FF14E9"/>
    <w:rsid w:val="00FF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5D75711F-E1C8-47D3-A624-CE1780ED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e-DE"/>
    </w:rPr>
  </w:style>
  <w:style w:type="paragraph" w:styleId="Heading1">
    <w:name w:val="heading 1"/>
    <w:basedOn w:val="Normal"/>
    <w:next w:val="Text1"/>
    <w:link w:val="Heading1Char"/>
    <w:uiPriority w:val="9"/>
    <w:qFormat/>
    <w:pPr>
      <w:keepNext/>
      <w:numPr>
        <w:numId w:val="3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F4F83"/>
    <w:rPr>
      <w:i/>
      <w:iCs/>
    </w:rPr>
  </w:style>
  <w:style w:type="paragraph" w:styleId="NormalWeb">
    <w:name w:val="Normal (Web)"/>
    <w:basedOn w:val="Normal"/>
    <w:uiPriority w:val="99"/>
    <w:unhideWhenUsed/>
    <w:rsid w:val="007F4F83"/>
    <w:pPr>
      <w:spacing w:before="100" w:beforeAutospacing="1" w:after="100" w:afterAutospacing="1"/>
      <w:jc w:val="left"/>
    </w:pPr>
    <w:rPr>
      <w:rFonts w:eastAsia="Times New Roman"/>
      <w:szCs w:val="24"/>
      <w:lang w:eastAsia="en-GB"/>
    </w:rPr>
  </w:style>
  <w:style w:type="paragraph" w:customStyle="1" w:styleId="numberedparagraph">
    <w:name w:val="numbered paragraph"/>
    <w:basedOn w:val="Normal"/>
    <w:qFormat/>
    <w:rsid w:val="007F4F83"/>
    <w:pPr>
      <w:numPr>
        <w:numId w:val="1"/>
      </w:numPr>
      <w:tabs>
        <w:tab w:val="clear" w:pos="6947"/>
        <w:tab w:val="num" w:pos="284"/>
      </w:tabs>
      <w:spacing w:before="240" w:line="276" w:lineRule="auto"/>
      <w:ind w:left="284"/>
    </w:pPr>
    <w:rPr>
      <w:rFonts w:asciiTheme="minorHAnsi" w:eastAsiaTheme="minorEastAsia" w:hAnsiTheme="minorHAnsi" w:cstheme="minorBidi"/>
      <w:sz w:val="22"/>
      <w:szCs w:val="24"/>
    </w:rPr>
  </w:style>
  <w:style w:type="paragraph" w:customStyle="1" w:styleId="sti-art">
    <w:name w:val="sti-art"/>
    <w:basedOn w:val="Normal"/>
    <w:rsid w:val="007F4F83"/>
    <w:pPr>
      <w:spacing w:before="100" w:beforeAutospacing="1" w:after="100" w:afterAutospacing="1"/>
      <w:jc w:val="left"/>
    </w:pPr>
    <w:rPr>
      <w:rFonts w:eastAsia="Times New Roman"/>
      <w:szCs w:val="24"/>
      <w:lang w:eastAsia="en-GB"/>
    </w:rPr>
  </w:style>
  <w:style w:type="paragraph" w:styleId="ListBullet">
    <w:name w:val="List Bullet"/>
    <w:basedOn w:val="Normal"/>
    <w:uiPriority w:val="99"/>
    <w:semiHidden/>
    <w:unhideWhenUsed/>
    <w:rsid w:val="001B7BF1"/>
    <w:pPr>
      <w:numPr>
        <w:numId w:val="2"/>
      </w:numPr>
      <w:contextualSpacing/>
    </w:pPr>
  </w:style>
  <w:style w:type="paragraph" w:styleId="ListBullet2">
    <w:name w:val="List Bullet 2"/>
    <w:basedOn w:val="Normal"/>
    <w:uiPriority w:val="99"/>
    <w:semiHidden/>
    <w:unhideWhenUsed/>
    <w:rsid w:val="001B7BF1"/>
    <w:pPr>
      <w:numPr>
        <w:numId w:val="3"/>
      </w:numPr>
      <w:contextualSpacing/>
    </w:pPr>
  </w:style>
  <w:style w:type="paragraph" w:styleId="ListBullet3">
    <w:name w:val="List Bullet 3"/>
    <w:basedOn w:val="Normal"/>
    <w:uiPriority w:val="99"/>
    <w:semiHidden/>
    <w:unhideWhenUsed/>
    <w:rsid w:val="001B7BF1"/>
    <w:pPr>
      <w:numPr>
        <w:numId w:val="4"/>
      </w:numPr>
      <w:contextualSpacing/>
    </w:pPr>
  </w:style>
  <w:style w:type="paragraph" w:styleId="ListBullet4">
    <w:name w:val="List Bullet 4"/>
    <w:basedOn w:val="Normal"/>
    <w:uiPriority w:val="99"/>
    <w:semiHidden/>
    <w:unhideWhenUsed/>
    <w:rsid w:val="001B7BF1"/>
    <w:pPr>
      <w:numPr>
        <w:numId w:val="5"/>
      </w:numPr>
      <w:contextualSpacing/>
    </w:pPr>
  </w:style>
  <w:style w:type="paragraph" w:styleId="Caption">
    <w:name w:val="caption"/>
    <w:basedOn w:val="Normal"/>
    <w:next w:val="Normal"/>
    <w:uiPriority w:val="35"/>
    <w:semiHidden/>
    <w:unhideWhenUsed/>
    <w:qFormat/>
    <w:rsid w:val="0011495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1495F"/>
    <w:pPr>
      <w:spacing w:after="0"/>
    </w:pPr>
  </w:style>
  <w:style w:type="paragraph" w:styleId="ListNumber">
    <w:name w:val="List Number"/>
    <w:basedOn w:val="Normal"/>
    <w:uiPriority w:val="99"/>
    <w:semiHidden/>
    <w:unhideWhenUsed/>
    <w:rsid w:val="0011495F"/>
    <w:pPr>
      <w:numPr>
        <w:numId w:val="6"/>
      </w:numPr>
      <w:contextualSpacing/>
    </w:pPr>
  </w:style>
  <w:style w:type="paragraph" w:styleId="ListNumber2">
    <w:name w:val="List Number 2"/>
    <w:basedOn w:val="Normal"/>
    <w:uiPriority w:val="99"/>
    <w:semiHidden/>
    <w:unhideWhenUsed/>
    <w:rsid w:val="0011495F"/>
    <w:pPr>
      <w:numPr>
        <w:numId w:val="7"/>
      </w:numPr>
      <w:contextualSpacing/>
    </w:pPr>
  </w:style>
  <w:style w:type="paragraph" w:styleId="ListNumber3">
    <w:name w:val="List Number 3"/>
    <w:basedOn w:val="Normal"/>
    <w:uiPriority w:val="99"/>
    <w:semiHidden/>
    <w:unhideWhenUsed/>
    <w:rsid w:val="0011495F"/>
    <w:pPr>
      <w:numPr>
        <w:numId w:val="8"/>
      </w:numPr>
      <w:contextualSpacing/>
    </w:pPr>
  </w:style>
  <w:style w:type="paragraph" w:styleId="ListNumber4">
    <w:name w:val="List Number 4"/>
    <w:basedOn w:val="Normal"/>
    <w:uiPriority w:val="99"/>
    <w:semiHidden/>
    <w:unhideWhenUsed/>
    <w:rsid w:val="0011495F"/>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de-DE"/>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4ADC"/>
    <w:rPr>
      <w:b/>
      <w:bCs/>
    </w:rPr>
  </w:style>
  <w:style w:type="character" w:customStyle="1" w:styleId="CommentSubjectChar">
    <w:name w:val="Comment Subject Char"/>
    <w:basedOn w:val="CommentTextChar"/>
    <w:link w:val="CommentSubject"/>
    <w:uiPriority w:val="99"/>
    <w:semiHidden/>
    <w:rsid w:val="00524ADC"/>
    <w:rPr>
      <w:rFonts w:ascii="Times New Roman" w:hAnsi="Times New Roman" w:cs="Times New Roman"/>
      <w:b/>
      <w:bCs/>
      <w:sz w:val="20"/>
      <w:szCs w:val="20"/>
      <w:lang w:val="de-DE"/>
    </w:rPr>
  </w:style>
  <w:style w:type="character" w:styleId="Hyperlink">
    <w:name w:val="Hyperlink"/>
    <w:basedOn w:val="DefaultParagraphFont"/>
    <w:uiPriority w:val="99"/>
    <w:unhideWhenUsed/>
    <w:rsid w:val="00524ADC"/>
    <w:rPr>
      <w:color w:val="0000FF" w:themeColor="hyperlink"/>
      <w:u w:val="single"/>
    </w:rPr>
  </w:style>
  <w:style w:type="character" w:customStyle="1" w:styleId="UnresolvedMention1">
    <w:name w:val="Unresolved Mention1"/>
    <w:basedOn w:val="DefaultParagraphFont"/>
    <w:uiPriority w:val="99"/>
    <w:semiHidden/>
    <w:unhideWhenUsed/>
    <w:rsid w:val="00524ADC"/>
    <w:rPr>
      <w:color w:val="605E5C"/>
      <w:shd w:val="clear" w:color="auto" w:fill="E1DFDD"/>
    </w:rPr>
  </w:style>
  <w:style w:type="paragraph" w:styleId="ListParagraph">
    <w:name w:val="List Paragraph"/>
    <w:basedOn w:val="Normal"/>
    <w:uiPriority w:val="34"/>
    <w:qFormat/>
    <w:rsid w:val="004C6D12"/>
    <w:pPr>
      <w:ind w:left="720"/>
      <w:contextualSpacing/>
    </w:pPr>
  </w:style>
  <w:style w:type="paragraph" w:styleId="BalloonText">
    <w:name w:val="Balloon Text"/>
    <w:basedOn w:val="Normal"/>
    <w:link w:val="BalloonTextChar"/>
    <w:uiPriority w:val="99"/>
    <w:semiHidden/>
    <w:unhideWhenUsed/>
    <w:rsid w:val="000F593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934"/>
    <w:rPr>
      <w:rFonts w:ascii="Segoe UI" w:hAnsi="Segoe UI" w:cs="Segoe UI"/>
      <w:sz w:val="18"/>
      <w:szCs w:val="18"/>
      <w:lang w:val="de-DE"/>
    </w:rPr>
  </w:style>
  <w:style w:type="paragraph" w:customStyle="1" w:styleId="title-article-norm">
    <w:name w:val="title-article-norm"/>
    <w:basedOn w:val="Normal"/>
    <w:rsid w:val="00F82E44"/>
    <w:pPr>
      <w:spacing w:before="100" w:beforeAutospacing="1" w:after="100" w:afterAutospacing="1"/>
      <w:jc w:val="left"/>
    </w:pPr>
    <w:rPr>
      <w:rFonts w:eastAsia="Times New Roman"/>
      <w:szCs w:val="24"/>
    </w:rPr>
  </w:style>
  <w:style w:type="paragraph" w:customStyle="1" w:styleId="stitle-article-norm">
    <w:name w:val="stitle-article-norm"/>
    <w:basedOn w:val="Normal"/>
    <w:rsid w:val="00F82E44"/>
    <w:pPr>
      <w:spacing w:before="100" w:beforeAutospacing="1" w:after="100" w:afterAutospacing="1"/>
      <w:jc w:val="left"/>
    </w:pPr>
    <w:rPr>
      <w:rFonts w:eastAsia="Times New Roman"/>
      <w:szCs w:val="24"/>
    </w:rPr>
  </w:style>
  <w:style w:type="paragraph" w:customStyle="1" w:styleId="norm">
    <w:name w:val="norm"/>
    <w:basedOn w:val="Normal"/>
    <w:rsid w:val="00F82E44"/>
    <w:pPr>
      <w:spacing w:before="100" w:beforeAutospacing="1" w:after="100" w:afterAutospacing="1"/>
      <w:jc w:val="left"/>
    </w:pPr>
    <w:rPr>
      <w:rFonts w:eastAsia="Times New Roman"/>
      <w:szCs w:val="24"/>
    </w:rPr>
  </w:style>
  <w:style w:type="character" w:styleId="FollowedHyperlink">
    <w:name w:val="FollowedHyperlink"/>
    <w:basedOn w:val="DefaultParagraphFont"/>
    <w:uiPriority w:val="99"/>
    <w:semiHidden/>
    <w:unhideWhenUsed/>
    <w:rsid w:val="000941B5"/>
    <w:rPr>
      <w:color w:val="800080" w:themeColor="followedHyperlink"/>
      <w:u w:val="single"/>
    </w:rPr>
  </w:style>
  <w:style w:type="paragraph" w:styleId="Revision">
    <w:name w:val="Revision"/>
    <w:hidden/>
    <w:uiPriority w:val="99"/>
    <w:semiHidden/>
    <w:rsid w:val="00AD2CD3"/>
    <w:pPr>
      <w:spacing w:after="0" w:line="240" w:lineRule="auto"/>
    </w:pPr>
    <w:rPr>
      <w:rFonts w:ascii="Times New Roman" w:hAnsi="Times New Roman" w:cs="Times New Roman"/>
      <w:sz w:val="24"/>
    </w:rPr>
  </w:style>
  <w:style w:type="paragraph" w:customStyle="1" w:styleId="LegalNumPar">
    <w:name w:val="LegalNumPar"/>
    <w:basedOn w:val="Normal"/>
    <w:rsid w:val="008C6F3B"/>
    <w:pPr>
      <w:numPr>
        <w:numId w:val="16"/>
      </w:numPr>
      <w:spacing w:line="360" w:lineRule="auto"/>
    </w:pPr>
  </w:style>
  <w:style w:type="paragraph" w:customStyle="1" w:styleId="LegalNumPar2">
    <w:name w:val="LegalNumPar2"/>
    <w:basedOn w:val="Normal"/>
    <w:rsid w:val="008C6F3B"/>
    <w:pPr>
      <w:numPr>
        <w:ilvl w:val="1"/>
        <w:numId w:val="16"/>
      </w:numPr>
      <w:spacing w:line="360" w:lineRule="auto"/>
    </w:pPr>
  </w:style>
  <w:style w:type="paragraph" w:customStyle="1" w:styleId="LegalNumPar3">
    <w:name w:val="LegalNumPar3"/>
    <w:basedOn w:val="Normal"/>
    <w:rsid w:val="008C6F3B"/>
    <w:pPr>
      <w:numPr>
        <w:ilvl w:val="2"/>
        <w:numId w:val="16"/>
      </w:numPr>
      <w:spacing w:line="360" w:lineRule="auto"/>
    </w:pPr>
  </w:style>
  <w:style w:type="paragraph" w:styleId="Header">
    <w:name w:val="header"/>
    <w:basedOn w:val="Normal"/>
    <w:link w:val="HeaderChar"/>
    <w:uiPriority w:val="99"/>
    <w:unhideWhenUsed/>
    <w:rsid w:val="001D1628"/>
    <w:pPr>
      <w:tabs>
        <w:tab w:val="center" w:pos="4535"/>
        <w:tab w:val="right" w:pos="9071"/>
      </w:tabs>
      <w:spacing w:before="0"/>
    </w:pPr>
  </w:style>
  <w:style w:type="character" w:customStyle="1" w:styleId="HeaderChar">
    <w:name w:val="Header Char"/>
    <w:basedOn w:val="DefaultParagraphFont"/>
    <w:link w:val="Header"/>
    <w:uiPriority w:val="99"/>
    <w:rsid w:val="001D1628"/>
    <w:rPr>
      <w:rFonts w:ascii="Times New Roman" w:hAnsi="Times New Roman" w:cs="Times New Roman"/>
      <w:sz w:val="24"/>
      <w:lang w:val="de-DE"/>
    </w:rPr>
  </w:style>
  <w:style w:type="paragraph" w:styleId="Footer">
    <w:name w:val="footer"/>
    <w:basedOn w:val="Normal"/>
    <w:link w:val="FooterChar"/>
    <w:uiPriority w:val="99"/>
    <w:unhideWhenUsed/>
    <w:rsid w:val="001D162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1D1628"/>
    <w:rPr>
      <w:rFonts w:ascii="Times New Roman" w:hAnsi="Times New Roman" w:cs="Times New Roman"/>
      <w:sz w:val="24"/>
      <w:lang w:val="de-D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1D1628"/>
    <w:pPr>
      <w:tabs>
        <w:tab w:val="center" w:pos="7285"/>
        <w:tab w:val="right" w:pos="14003"/>
      </w:tabs>
      <w:spacing w:before="0"/>
    </w:pPr>
  </w:style>
  <w:style w:type="paragraph" w:customStyle="1" w:styleId="FooterLandscape">
    <w:name w:val="FooterLandscape"/>
    <w:basedOn w:val="Normal"/>
    <w:rsid w:val="001D162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1D162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1D1628"/>
    <w:pPr>
      <w:spacing w:before="0"/>
      <w:jc w:val="right"/>
    </w:pPr>
    <w:rPr>
      <w:sz w:val="28"/>
    </w:rPr>
  </w:style>
  <w:style w:type="paragraph" w:customStyle="1" w:styleId="FooterSensitivity">
    <w:name w:val="Footer Sensitivity"/>
    <w:basedOn w:val="Normal"/>
    <w:rsid w:val="001D162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32"/>
      </w:numPr>
    </w:pPr>
  </w:style>
  <w:style w:type="paragraph" w:customStyle="1" w:styleId="Tiret1">
    <w:name w:val="Tiret 1"/>
    <w:basedOn w:val="Point1"/>
    <w:pPr>
      <w:numPr>
        <w:numId w:val="33"/>
      </w:numPr>
    </w:pPr>
  </w:style>
  <w:style w:type="paragraph" w:customStyle="1" w:styleId="Tiret2">
    <w:name w:val="Tiret 2"/>
    <w:basedOn w:val="Point2"/>
    <w:pPr>
      <w:numPr>
        <w:numId w:val="34"/>
      </w:numPr>
    </w:pPr>
  </w:style>
  <w:style w:type="paragraph" w:customStyle="1" w:styleId="Tiret3">
    <w:name w:val="Tiret 3"/>
    <w:basedOn w:val="Point3"/>
    <w:pPr>
      <w:numPr>
        <w:numId w:val="35"/>
      </w:numPr>
    </w:pPr>
  </w:style>
  <w:style w:type="paragraph" w:customStyle="1" w:styleId="Tiret4">
    <w:name w:val="Tiret 4"/>
    <w:basedOn w:val="Point4"/>
    <w:pPr>
      <w:numPr>
        <w:numId w:val="36"/>
      </w:numPr>
    </w:pPr>
  </w:style>
  <w:style w:type="paragraph" w:customStyle="1" w:styleId="Tiret5">
    <w:name w:val="Tiret 5"/>
    <w:basedOn w:val="Point5"/>
    <w:pPr>
      <w:numPr>
        <w:numId w:val="3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8"/>
      </w:numPr>
    </w:pPr>
  </w:style>
  <w:style w:type="paragraph" w:customStyle="1" w:styleId="NumPar2">
    <w:name w:val="NumPar 2"/>
    <w:basedOn w:val="Normal"/>
    <w:next w:val="Text1"/>
    <w:pPr>
      <w:numPr>
        <w:ilvl w:val="1"/>
        <w:numId w:val="38"/>
      </w:numPr>
    </w:pPr>
  </w:style>
  <w:style w:type="paragraph" w:customStyle="1" w:styleId="NumPar3">
    <w:name w:val="NumPar 3"/>
    <w:basedOn w:val="Normal"/>
    <w:next w:val="Text1"/>
    <w:pPr>
      <w:numPr>
        <w:ilvl w:val="2"/>
        <w:numId w:val="38"/>
      </w:numPr>
    </w:pPr>
  </w:style>
  <w:style w:type="paragraph" w:customStyle="1" w:styleId="NumPar4">
    <w:name w:val="NumPar 4"/>
    <w:basedOn w:val="Normal"/>
    <w:next w:val="Text1"/>
    <w:pPr>
      <w:numPr>
        <w:ilvl w:val="3"/>
        <w:numId w:val="38"/>
      </w:numPr>
    </w:pPr>
  </w:style>
  <w:style w:type="paragraph" w:customStyle="1" w:styleId="NumPar5">
    <w:name w:val="NumPar 5"/>
    <w:basedOn w:val="Normal"/>
    <w:next w:val="Text2"/>
    <w:pPr>
      <w:numPr>
        <w:ilvl w:val="4"/>
        <w:numId w:val="38"/>
      </w:numPr>
    </w:pPr>
  </w:style>
  <w:style w:type="paragraph" w:customStyle="1" w:styleId="NumPar6">
    <w:name w:val="NumPar 6"/>
    <w:basedOn w:val="Normal"/>
    <w:next w:val="Text2"/>
    <w:pPr>
      <w:numPr>
        <w:ilvl w:val="5"/>
        <w:numId w:val="38"/>
      </w:numPr>
    </w:pPr>
  </w:style>
  <w:style w:type="paragraph" w:customStyle="1" w:styleId="NumPar7">
    <w:name w:val="NumPar 7"/>
    <w:basedOn w:val="Normal"/>
    <w:next w:val="Text2"/>
    <w:pPr>
      <w:numPr>
        <w:ilvl w:val="6"/>
        <w:numId w:val="3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40"/>
      </w:numPr>
    </w:pPr>
  </w:style>
  <w:style w:type="paragraph" w:customStyle="1" w:styleId="Point1number">
    <w:name w:val="Point 1 (number)"/>
    <w:basedOn w:val="Normal"/>
    <w:pPr>
      <w:numPr>
        <w:ilvl w:val="2"/>
        <w:numId w:val="40"/>
      </w:numPr>
    </w:pPr>
  </w:style>
  <w:style w:type="paragraph" w:customStyle="1" w:styleId="Point2number">
    <w:name w:val="Point 2 (number)"/>
    <w:basedOn w:val="Normal"/>
    <w:pPr>
      <w:numPr>
        <w:ilvl w:val="4"/>
        <w:numId w:val="40"/>
      </w:numPr>
    </w:pPr>
  </w:style>
  <w:style w:type="paragraph" w:customStyle="1" w:styleId="Point3number">
    <w:name w:val="Point 3 (number)"/>
    <w:basedOn w:val="Normal"/>
    <w:pPr>
      <w:numPr>
        <w:ilvl w:val="6"/>
        <w:numId w:val="40"/>
      </w:numPr>
    </w:pPr>
  </w:style>
  <w:style w:type="paragraph" w:customStyle="1" w:styleId="Point0letter">
    <w:name w:val="Point 0 (letter)"/>
    <w:basedOn w:val="Normal"/>
    <w:pPr>
      <w:numPr>
        <w:ilvl w:val="1"/>
        <w:numId w:val="40"/>
      </w:numPr>
    </w:pPr>
  </w:style>
  <w:style w:type="paragraph" w:customStyle="1" w:styleId="Point1letter">
    <w:name w:val="Point 1 (letter)"/>
    <w:basedOn w:val="Normal"/>
    <w:pPr>
      <w:numPr>
        <w:ilvl w:val="3"/>
        <w:numId w:val="40"/>
      </w:numPr>
    </w:pPr>
  </w:style>
  <w:style w:type="paragraph" w:customStyle="1" w:styleId="Point2letter">
    <w:name w:val="Point 2 (letter)"/>
    <w:basedOn w:val="Normal"/>
    <w:pPr>
      <w:numPr>
        <w:ilvl w:val="5"/>
        <w:numId w:val="40"/>
      </w:numPr>
    </w:pPr>
  </w:style>
  <w:style w:type="paragraph" w:customStyle="1" w:styleId="Point3letter">
    <w:name w:val="Point 3 (letter)"/>
    <w:basedOn w:val="Normal"/>
    <w:pPr>
      <w:numPr>
        <w:ilvl w:val="7"/>
        <w:numId w:val="40"/>
      </w:numPr>
    </w:pPr>
  </w:style>
  <w:style w:type="paragraph" w:customStyle="1" w:styleId="Point4letter">
    <w:name w:val="Point 4 (letter)"/>
    <w:basedOn w:val="Normal"/>
    <w:pPr>
      <w:numPr>
        <w:ilvl w:val="8"/>
        <w:numId w:val="40"/>
      </w:numPr>
    </w:pPr>
  </w:style>
  <w:style w:type="paragraph" w:customStyle="1" w:styleId="Bullet0">
    <w:name w:val="Bullet 0"/>
    <w:basedOn w:val="Normal"/>
    <w:pPr>
      <w:numPr>
        <w:numId w:val="41"/>
      </w:numPr>
    </w:pPr>
  </w:style>
  <w:style w:type="paragraph" w:customStyle="1" w:styleId="Bullet1">
    <w:name w:val="Bullet 1"/>
    <w:basedOn w:val="Normal"/>
    <w:pPr>
      <w:numPr>
        <w:numId w:val="42"/>
      </w:numPr>
    </w:pPr>
  </w:style>
  <w:style w:type="paragraph" w:customStyle="1" w:styleId="Bullet2">
    <w:name w:val="Bullet 2"/>
    <w:basedOn w:val="Normal"/>
    <w:pPr>
      <w:numPr>
        <w:numId w:val="43"/>
      </w:numPr>
    </w:pPr>
  </w:style>
  <w:style w:type="paragraph" w:customStyle="1" w:styleId="Bullet3">
    <w:name w:val="Bullet 3"/>
    <w:basedOn w:val="Normal"/>
    <w:pPr>
      <w:numPr>
        <w:numId w:val="44"/>
      </w:numPr>
    </w:pPr>
  </w:style>
  <w:style w:type="paragraph" w:customStyle="1" w:styleId="Bullet4">
    <w:name w:val="Bullet 4"/>
    <w:basedOn w:val="Normal"/>
    <w:pPr>
      <w:numPr>
        <w:numId w:val="4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0970">
      <w:bodyDiv w:val="1"/>
      <w:marLeft w:val="0"/>
      <w:marRight w:val="0"/>
      <w:marTop w:val="0"/>
      <w:marBottom w:val="0"/>
      <w:divBdr>
        <w:top w:val="none" w:sz="0" w:space="0" w:color="auto"/>
        <w:left w:val="none" w:sz="0" w:space="0" w:color="auto"/>
        <w:bottom w:val="none" w:sz="0" w:space="0" w:color="auto"/>
        <w:right w:val="none" w:sz="0" w:space="0" w:color="auto"/>
      </w:divBdr>
    </w:div>
    <w:div w:id="145704158">
      <w:bodyDiv w:val="1"/>
      <w:marLeft w:val="0"/>
      <w:marRight w:val="0"/>
      <w:marTop w:val="0"/>
      <w:marBottom w:val="0"/>
      <w:divBdr>
        <w:top w:val="none" w:sz="0" w:space="0" w:color="auto"/>
        <w:left w:val="none" w:sz="0" w:space="0" w:color="auto"/>
        <w:bottom w:val="none" w:sz="0" w:space="0" w:color="auto"/>
        <w:right w:val="none" w:sz="0" w:space="0" w:color="auto"/>
      </w:divBdr>
    </w:div>
    <w:div w:id="384329967">
      <w:bodyDiv w:val="1"/>
      <w:marLeft w:val="0"/>
      <w:marRight w:val="0"/>
      <w:marTop w:val="0"/>
      <w:marBottom w:val="0"/>
      <w:divBdr>
        <w:top w:val="none" w:sz="0" w:space="0" w:color="auto"/>
        <w:left w:val="none" w:sz="0" w:space="0" w:color="auto"/>
        <w:bottom w:val="none" w:sz="0" w:space="0" w:color="auto"/>
        <w:right w:val="none" w:sz="0" w:space="0" w:color="auto"/>
      </w:divBdr>
    </w:div>
    <w:div w:id="570048077">
      <w:bodyDiv w:val="1"/>
      <w:marLeft w:val="0"/>
      <w:marRight w:val="0"/>
      <w:marTop w:val="0"/>
      <w:marBottom w:val="0"/>
      <w:divBdr>
        <w:top w:val="none" w:sz="0" w:space="0" w:color="auto"/>
        <w:left w:val="none" w:sz="0" w:space="0" w:color="auto"/>
        <w:bottom w:val="none" w:sz="0" w:space="0" w:color="auto"/>
        <w:right w:val="none" w:sz="0" w:space="0" w:color="auto"/>
      </w:divBdr>
    </w:div>
    <w:div w:id="777216793">
      <w:bodyDiv w:val="1"/>
      <w:marLeft w:val="0"/>
      <w:marRight w:val="0"/>
      <w:marTop w:val="0"/>
      <w:marBottom w:val="0"/>
      <w:divBdr>
        <w:top w:val="none" w:sz="0" w:space="0" w:color="auto"/>
        <w:left w:val="none" w:sz="0" w:space="0" w:color="auto"/>
        <w:bottom w:val="none" w:sz="0" w:space="0" w:color="auto"/>
        <w:right w:val="none" w:sz="0" w:space="0" w:color="auto"/>
      </w:divBdr>
    </w:div>
    <w:div w:id="848913542">
      <w:bodyDiv w:val="1"/>
      <w:marLeft w:val="0"/>
      <w:marRight w:val="0"/>
      <w:marTop w:val="0"/>
      <w:marBottom w:val="0"/>
      <w:divBdr>
        <w:top w:val="none" w:sz="0" w:space="0" w:color="auto"/>
        <w:left w:val="none" w:sz="0" w:space="0" w:color="auto"/>
        <w:bottom w:val="none" w:sz="0" w:space="0" w:color="auto"/>
        <w:right w:val="none" w:sz="0" w:space="0" w:color="auto"/>
      </w:divBdr>
    </w:div>
    <w:div w:id="949556650">
      <w:bodyDiv w:val="1"/>
      <w:marLeft w:val="0"/>
      <w:marRight w:val="0"/>
      <w:marTop w:val="0"/>
      <w:marBottom w:val="0"/>
      <w:divBdr>
        <w:top w:val="none" w:sz="0" w:space="0" w:color="auto"/>
        <w:left w:val="none" w:sz="0" w:space="0" w:color="auto"/>
        <w:bottom w:val="none" w:sz="0" w:space="0" w:color="auto"/>
        <w:right w:val="none" w:sz="0" w:space="0" w:color="auto"/>
      </w:divBdr>
    </w:div>
    <w:div w:id="988944312">
      <w:bodyDiv w:val="1"/>
      <w:marLeft w:val="0"/>
      <w:marRight w:val="0"/>
      <w:marTop w:val="0"/>
      <w:marBottom w:val="0"/>
      <w:divBdr>
        <w:top w:val="none" w:sz="0" w:space="0" w:color="auto"/>
        <w:left w:val="none" w:sz="0" w:space="0" w:color="auto"/>
        <w:bottom w:val="none" w:sz="0" w:space="0" w:color="auto"/>
        <w:right w:val="none" w:sz="0" w:space="0" w:color="auto"/>
      </w:divBdr>
    </w:div>
    <w:div w:id="1156654337">
      <w:bodyDiv w:val="1"/>
      <w:marLeft w:val="0"/>
      <w:marRight w:val="0"/>
      <w:marTop w:val="0"/>
      <w:marBottom w:val="0"/>
      <w:divBdr>
        <w:top w:val="none" w:sz="0" w:space="0" w:color="auto"/>
        <w:left w:val="none" w:sz="0" w:space="0" w:color="auto"/>
        <w:bottom w:val="none" w:sz="0" w:space="0" w:color="auto"/>
        <w:right w:val="none" w:sz="0" w:space="0" w:color="auto"/>
      </w:divBdr>
    </w:div>
    <w:div w:id="1385711701">
      <w:bodyDiv w:val="1"/>
      <w:marLeft w:val="0"/>
      <w:marRight w:val="0"/>
      <w:marTop w:val="0"/>
      <w:marBottom w:val="0"/>
      <w:divBdr>
        <w:top w:val="none" w:sz="0" w:space="0" w:color="auto"/>
        <w:left w:val="none" w:sz="0" w:space="0" w:color="auto"/>
        <w:bottom w:val="none" w:sz="0" w:space="0" w:color="auto"/>
        <w:right w:val="none" w:sz="0" w:space="0" w:color="auto"/>
      </w:divBdr>
    </w:div>
    <w:div w:id="212233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D2C0E-D1D3-456E-8E3E-595D492CC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7</Pages>
  <Words>1725</Words>
  <Characters>11493</Characters>
  <Application>Microsoft Office Word</Application>
  <DocSecurity>0</DocSecurity>
  <Lines>205</Lines>
  <Paragraphs>59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45</cp:revision>
  <dcterms:created xsi:type="dcterms:W3CDTF">2022-10-28T13:10:00Z</dcterms:created>
  <dcterms:modified xsi:type="dcterms:W3CDTF">2022-11-27T18:34:00Z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8.1, Build 20220902</vt:lpwstr>
  </property>
  <property fmtid="{D5CDD505-2E9C-101B-9397-08002B2CF9AE}" pid="5" name="Part">
    <vt:lpwstr>1</vt:lpwstr>
  </property>
  <property fmtid="{D5CDD505-2E9C-101B-9397-08002B2CF9AE}" pid="6" name="Total parts">
    <vt:lpwstr>1</vt:lpwstr>
  </property>
  <property fmtid="{D5CDD505-2E9C-101B-9397-08002B2CF9AE}" pid="7" name="Level of sensitivity">
    <vt:lpwstr>Standard treatment</vt:lpwstr>
  </property>
  <property fmtid="{D5CDD505-2E9C-101B-9397-08002B2CF9AE}" pid="8" name="LWTemplateID">
    <vt:lpwstr>SJ-004</vt:lpwstr>
  </property>
  <property fmtid="{D5CDD505-2E9C-101B-9397-08002B2CF9AE}" pid="9" name="MSIP_Label_e66ba66e-8b7b-475b-ae81-4aab15d5f212_Enabled">
    <vt:lpwstr>true</vt:lpwstr>
  </property>
  <property fmtid="{D5CDD505-2E9C-101B-9397-08002B2CF9AE}" pid="10" name="MSIP_Label_e66ba66e-8b7b-475b-ae81-4aab15d5f212_SetDate">
    <vt:lpwstr>2022-01-19T13:29:43Z</vt:lpwstr>
  </property>
  <property fmtid="{D5CDD505-2E9C-101B-9397-08002B2CF9AE}" pid="11" name="MSIP_Label_e66ba66e-8b7b-475b-ae81-4aab15d5f212_Method">
    <vt:lpwstr>Privileged</vt:lpwstr>
  </property>
  <property fmtid="{D5CDD505-2E9C-101B-9397-08002B2CF9AE}" pid="12" name="MSIP_Label_e66ba66e-8b7b-475b-ae81-4aab15d5f212_Name">
    <vt:lpwstr>No Label</vt:lpwstr>
  </property>
  <property fmtid="{D5CDD505-2E9C-101B-9397-08002B2CF9AE}" pid="13" name="MSIP_Label_e66ba66e-8b7b-475b-ae81-4aab15d5f212_SiteId">
    <vt:lpwstr>3bacb4ff-f1a2-4c92-b96c-e99fec826b68</vt:lpwstr>
  </property>
  <property fmtid="{D5CDD505-2E9C-101B-9397-08002B2CF9AE}" pid="14" name="MSIP_Label_e66ba66e-8b7b-475b-ae81-4aab15d5f212_ActionId">
    <vt:lpwstr>c480b887-2e9a-4e7d-8134-419fc2e184a9</vt:lpwstr>
  </property>
  <property fmtid="{D5CDD505-2E9C-101B-9397-08002B2CF9AE}" pid="15" name="MSIP_Label_e66ba66e-8b7b-475b-ae81-4aab15d5f212_ContentBits">
    <vt:lpwstr>0</vt:lpwstr>
  </property>
  <property fmtid="{D5CDD505-2E9C-101B-9397-08002B2CF9AE}" pid="16" name="DQCStatus">
    <vt:lpwstr>Green (DQC version 03)</vt:lpwstr>
  </property>
</Properties>
</file>