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37547D" w:rsidRDefault="00633355" w:rsidP="00633355">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85F74C07-EBF7-40EC-B4B2-F41CD7C9B9A6" style="width:455.25pt;height:399pt">
            <v:imagedata r:id="rId8" o:title=""/>
          </v:shape>
        </w:pict>
      </w:r>
    </w:p>
    <w:p w:rsidR="003C122C" w:rsidRPr="0037547D" w:rsidRDefault="003C122C">
      <w:pPr>
        <w:rPr>
          <w:noProof/>
        </w:rPr>
        <w:sectPr w:rsidR="003C122C" w:rsidRPr="0037547D" w:rsidSect="00633355">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3C122C" w:rsidRPr="0037547D" w:rsidRDefault="0037547D" w:rsidP="0037547D">
      <w:pPr>
        <w:pStyle w:val="Typedudocument"/>
        <w:rPr>
          <w:noProof/>
        </w:rPr>
      </w:pPr>
      <w:bookmarkStart w:id="0" w:name="_GoBack"/>
      <w:bookmarkEnd w:id="0"/>
      <w:r w:rsidRPr="0037547D">
        <w:rPr>
          <w:noProof/>
        </w:rPr>
        <w:lastRenderedPageBreak/>
        <w:t>IZVEDBENA UREDBA KOMISIJE (EU) …/…</w:t>
      </w:r>
    </w:p>
    <w:p w:rsidR="003C122C" w:rsidRPr="0037547D" w:rsidRDefault="00255C11" w:rsidP="0037547D">
      <w:pPr>
        <w:pStyle w:val="Datedadoption"/>
        <w:rPr>
          <w:noProof/>
        </w:rPr>
      </w:pPr>
      <w:r>
        <w:t>z dne 30.11.2022</w:t>
      </w:r>
    </w:p>
    <w:p w:rsidR="003C122C" w:rsidRPr="0037547D" w:rsidRDefault="0037547D" w:rsidP="0037547D">
      <w:pPr>
        <w:pStyle w:val="Titreobjet"/>
        <w:rPr>
          <w:noProof/>
        </w:rPr>
      </w:pPr>
      <w:r w:rsidRPr="0037547D">
        <w:rPr>
          <w:noProof/>
        </w:rPr>
        <w:t xml:space="preserve">o spremembi izvedbenih tehničnih standardov iz Izvedbene uredbe (EU) 2021/637 glede razkritja okoljskih, socialnih in upravljavskih tveganj </w:t>
      </w:r>
      <w:r w:rsidRPr="0037547D">
        <w:rPr>
          <w:noProof/>
        </w:rPr>
        <w:br/>
      </w:r>
    </w:p>
    <w:p w:rsidR="003C122C" w:rsidRPr="0037547D" w:rsidRDefault="0037547D" w:rsidP="0037547D">
      <w:pPr>
        <w:pStyle w:val="IntrtEEE"/>
        <w:rPr>
          <w:noProof/>
        </w:rPr>
      </w:pPr>
      <w:r w:rsidRPr="0037547D">
        <w:rPr>
          <w:noProof/>
        </w:rPr>
        <w:t>(Besedilo velja za EGP)</w:t>
      </w:r>
    </w:p>
    <w:p w:rsidR="003C122C" w:rsidRPr="0037547D" w:rsidRDefault="003C122C" w:rsidP="004E1EF9">
      <w:pPr>
        <w:pStyle w:val="Institutionquiagit"/>
        <w:rPr>
          <w:noProof/>
        </w:rPr>
      </w:pPr>
      <w:r w:rsidRPr="0037547D">
        <w:rPr>
          <w:noProof/>
        </w:rPr>
        <w:t>EVROPSKA KOMISIJA JE –</w:t>
      </w:r>
    </w:p>
    <w:p w:rsidR="003C122C" w:rsidRPr="0037547D" w:rsidRDefault="003C122C" w:rsidP="003C122C">
      <w:pPr>
        <w:rPr>
          <w:noProof/>
          <w:color w:val="000000"/>
        </w:rPr>
      </w:pPr>
      <w:r w:rsidRPr="0037547D">
        <w:rPr>
          <w:noProof/>
          <w:color w:val="000000"/>
        </w:rPr>
        <w:t>ob upoštevanju Pogodbe o delovanju Evropske unije,</w:t>
      </w:r>
    </w:p>
    <w:p w:rsidR="003C122C" w:rsidRPr="0037547D" w:rsidRDefault="003C122C" w:rsidP="003C122C">
      <w:pPr>
        <w:rPr>
          <w:noProof/>
          <w:color w:val="000000"/>
        </w:rPr>
      </w:pPr>
      <w:r w:rsidRPr="0037547D">
        <w:rPr>
          <w:noProof/>
          <w:color w:val="000000"/>
        </w:rPr>
        <w:t>ob upoštevanju Uredbe (EU) št. 575/2013 Evropskega parlamenta in Sveta z dne 26. junija 2013 o bonitetnih zahtevah za kreditne institucije in o spremembi Uredbe (EU) št. 648/2012</w:t>
      </w:r>
      <w:r w:rsidRPr="0037547D">
        <w:rPr>
          <w:rStyle w:val="FootnoteReference"/>
          <w:noProof/>
        </w:rPr>
        <w:footnoteReference w:id="1"/>
      </w:r>
      <w:r w:rsidRPr="0037547D">
        <w:rPr>
          <w:noProof/>
          <w:color w:val="000000"/>
        </w:rPr>
        <w:t xml:space="preserve"> ter zlasti člena 434a Uredbe,</w:t>
      </w:r>
    </w:p>
    <w:p w:rsidR="003C122C" w:rsidRPr="0037547D" w:rsidRDefault="003C122C" w:rsidP="004E1EF9">
      <w:pPr>
        <w:rPr>
          <w:noProof/>
        </w:rPr>
      </w:pPr>
      <w:r w:rsidRPr="0037547D">
        <w:rPr>
          <w:noProof/>
        </w:rPr>
        <w:t>ob upoštevanju naslednjega:</w:t>
      </w:r>
    </w:p>
    <w:p w:rsidR="00410340" w:rsidRPr="0037547D" w:rsidRDefault="007855F5" w:rsidP="007855F5">
      <w:pPr>
        <w:pStyle w:val="ManualConsidrant"/>
        <w:rPr>
          <w:noProof/>
          <w:color w:val="000000"/>
        </w:rPr>
      </w:pPr>
      <w:r w:rsidRPr="007855F5">
        <w:t>(1)</w:t>
      </w:r>
      <w:r w:rsidRPr="007855F5">
        <w:tab/>
      </w:r>
      <w:r w:rsidR="007067A9" w:rsidRPr="0037547D">
        <w:rPr>
          <w:noProof/>
        </w:rPr>
        <w:t>Izvedbena uredba Komisije (EU) 2021/637</w:t>
      </w:r>
      <w:r w:rsidR="007067A9" w:rsidRPr="0037547D">
        <w:rPr>
          <w:rStyle w:val="FootnoteReference"/>
          <w:noProof/>
        </w:rPr>
        <w:footnoteReference w:id="2"/>
      </w:r>
      <w:r w:rsidR="007067A9" w:rsidRPr="0037547D">
        <w:rPr>
          <w:noProof/>
        </w:rPr>
        <w:t xml:space="preserve"> določa enotne obrazce za razkritja in povezana navodila za razkritja, ki se zahtevajo v skladu z naslovoma II in III Uredbe (EU) št. 575/2013. Uredba (EU) št. 575/2013 je bila spremenjena z Uredbo (EU) 2019/876</w:t>
      </w:r>
      <w:r w:rsidR="007067A9" w:rsidRPr="0037547D">
        <w:rPr>
          <w:rStyle w:val="FootnoteReference"/>
          <w:noProof/>
        </w:rPr>
        <w:footnoteReference w:id="3"/>
      </w:r>
      <w:r w:rsidR="007067A9" w:rsidRPr="0037547D">
        <w:rPr>
          <w:noProof/>
        </w:rPr>
        <w:t>, med drugim zaradi uvedbe novega člena 449a. Navedeni člen od velikih institucij, ki so izdale vrednostne papirje, sprejete v trgovanje na reguliranem trgu katere koli države članice, zahteva, da od 28. junija 2022 razkrivajo informacije o okoljskih, socialnih in upravljavskih tveganjih, vključno s fizičnimi tveganji in tveganji prehoda. Navedeno spremembo Uredbe (EU) št. 575/2013 bi bilo treba upoštevati v Izvedbeni uredbi Komisije (EU) 2021/637, ki bi morala poleg obstoječih enotnih obrazcev za razkritja in povezanih navodil določiti dodatne enotne obrazce za razkritja in povezana navodila za razkritja okoljskih, socialnih in upravljavskih tveganj.</w:t>
      </w:r>
    </w:p>
    <w:p w:rsidR="00410340" w:rsidRPr="0037547D" w:rsidRDefault="007855F5" w:rsidP="007855F5">
      <w:pPr>
        <w:pStyle w:val="ManualConsidrant"/>
        <w:rPr>
          <w:noProof/>
        </w:rPr>
      </w:pPr>
      <w:r w:rsidRPr="007855F5">
        <w:t>(2)</w:t>
      </w:r>
      <w:r w:rsidRPr="007855F5">
        <w:tab/>
      </w:r>
      <w:r w:rsidR="00410340" w:rsidRPr="0037547D">
        <w:rPr>
          <w:noProof/>
        </w:rPr>
        <w:t xml:space="preserve">Pri določanju enotnih obrazcev za razkritja bi bilo treba v celoti upoštevati pomembnost informacij, ki jih je treba razkriti. To pomeni, da bi morala razkritja institucij na eni strani zajemati finančni vpliv okoljskih, socialnih in upravljavskih dejavnikov na gospodarske in finančne dejavnosti institucij (vidik „od zunaj navznoter“) ter na drugi strani okoljske, socialne in upravljavske dejavnike, ki jih lahko sprožijo lastne dejavnosti institucij in postanejo finančno pomembni, ko vplivajo </w:t>
      </w:r>
      <w:r w:rsidR="00410340" w:rsidRPr="0037547D">
        <w:rPr>
          <w:noProof/>
        </w:rPr>
        <w:lastRenderedPageBreak/>
        <w:t>na deležnike institucij (vidik „od znotraj navzven“). Posledično bi morale razpredelnice in predloge, ki se uporabljajo za ta razkritja, vsebovati dovolj celovite in primerljive informacije o okoljskih, socialnih in upravljavskih tveganjih, da bi uporabniki teh informacij lahko ocenili profil tveganja institucij.</w:t>
      </w:r>
    </w:p>
    <w:p w:rsidR="00410340" w:rsidRPr="0037547D" w:rsidRDefault="007855F5" w:rsidP="007855F5">
      <w:pPr>
        <w:pStyle w:val="ManualConsidrant"/>
        <w:rPr>
          <w:noProof/>
        </w:rPr>
      </w:pPr>
      <w:r w:rsidRPr="007855F5">
        <w:t>(3)</w:t>
      </w:r>
      <w:r w:rsidRPr="007855F5">
        <w:tab/>
      </w:r>
      <w:r w:rsidR="00A525E2" w:rsidRPr="0037547D">
        <w:rPr>
          <w:noProof/>
        </w:rPr>
        <w:t>Zagotoviti je treba skladnost in doslednost z drugo zakonodajo Unije na področju okoljskih, socialnih in upravljavskih tveganj. V pravilih o razkritju okoljskih, socialnih in upravljavskih tveganj bi se zato morali upoštevati merila, razvrstitve in opredelitve iz navedene zakonodaje Unije. V teh pravilih bi se morala zlasti upoštevati merila za opredelitev in razvrstitev okoljsko trajnostnih gospodarskih dejavnosti, kot so določena v Uredbi (EU) 2020/852 Evropskega parlamenta in Sveta</w:t>
      </w:r>
      <w:r w:rsidR="00A525E2" w:rsidRPr="0037547D">
        <w:rPr>
          <w:rStyle w:val="FootnoteReference"/>
          <w:noProof/>
        </w:rPr>
        <w:footnoteReference w:id="4"/>
      </w:r>
      <w:r w:rsidR="00A525E2" w:rsidRPr="0037547D">
        <w:rPr>
          <w:noProof/>
        </w:rPr>
        <w:t xml:space="preserve"> in Delegirani uredbi Komisije (EU) 2020/1818</w:t>
      </w:r>
      <w:r w:rsidR="00A525E2" w:rsidRPr="0037547D">
        <w:rPr>
          <w:rStyle w:val="FootnoteReference"/>
          <w:noProof/>
        </w:rPr>
        <w:footnoteReference w:id="5"/>
      </w:r>
      <w:r w:rsidR="00A525E2" w:rsidRPr="0037547D">
        <w:rPr>
          <w:noProof/>
        </w:rPr>
        <w:t>. V zvezi z razkritjem informacij o energijski učinkovitosti nepremičninskega portfelja institucij bi bilo treba upoštevati informacije iz energijske izkaznice, kot je opredeljena v členu 2, točka 12, Direktive 2010/31/EU Evropskega parlamenta in Sveta</w:t>
      </w:r>
      <w:r w:rsidR="00A525E2" w:rsidRPr="0037547D">
        <w:rPr>
          <w:rStyle w:val="FootnoteReference"/>
          <w:noProof/>
        </w:rPr>
        <w:footnoteReference w:id="6"/>
      </w:r>
      <w:r w:rsidR="00A525E2" w:rsidRPr="0037547D">
        <w:rPr>
          <w:noProof/>
        </w:rPr>
        <w:t>.</w:t>
      </w:r>
    </w:p>
    <w:p w:rsidR="00135CD4" w:rsidRPr="0037547D" w:rsidRDefault="007855F5" w:rsidP="007855F5">
      <w:pPr>
        <w:pStyle w:val="ManualConsidrant"/>
        <w:rPr>
          <w:noProof/>
        </w:rPr>
      </w:pPr>
      <w:r w:rsidRPr="007855F5">
        <w:t>(4)</w:t>
      </w:r>
      <w:r w:rsidRPr="007855F5">
        <w:tab/>
      </w:r>
      <w:r w:rsidR="00135CD4" w:rsidRPr="0037547D">
        <w:rPr>
          <w:noProof/>
        </w:rPr>
        <w:t>Člena 19a in 29a Direktive 2013/34/EU Evropskega parlamenta in Sveta</w:t>
      </w:r>
      <w:r w:rsidR="00135CD4" w:rsidRPr="0037547D">
        <w:rPr>
          <w:rStyle w:val="FootnoteReference"/>
          <w:noProof/>
        </w:rPr>
        <w:footnoteReference w:id="7"/>
      </w:r>
      <w:r w:rsidR="00135CD4" w:rsidRPr="0037547D">
        <w:rPr>
          <w:noProof/>
        </w:rPr>
        <w:t xml:space="preserve"> zahtevata, da nekatera velika podjetja, ki so subjekti javnega interesa, oziroma subjekti javnega interesa, ki so obvladujoča podjetja velike skupine, v svoje poslovno poročilo ali konsolidirano poslovno poročilo vključijo informacije o učinku svojih dejavnosti na okoljske, socialne in kadrovske zadeve, spoštovanje človekovih pravic ter zadeve v zvezi z bojem proti korupciji in podkupovanju. Vendar ta obveznost ne velja za druga podjetja. Zato podjetjem, za katera ne veljata člena 19a in 29a Direktive 2013/34/EU, ni treba razkriti takih informacij in morda institucijam ne morejo zagotoviti takih informacij. Od teh podjetij, ki so nasprotne stranke institucij, se lahko torej pričakuje le prostovoljno zagotavljanje teh informacij in podatkov. Kljub temu je primerno, da se tem podjetjem zagotovijo smernice za izračun odstotka izpostavljenosti do dejavnosti, ki so okoljsko trajnostne gospodarske dejavnosti iz člena 3 Uredbe (EU) 2020/852, tako da se lahko take informacije in podatki predstavijo v standardizirani in primerljivi obliki. Kadar te informacije in podatki niso prostovoljno zagotovljeni, bi morale imeti institucije možnost, da odstotek izpostavljenosti, usklajenih s taksonomijo, izračunajo z uporabo ocen ali približkov.</w:t>
      </w:r>
    </w:p>
    <w:p w:rsidR="00921483" w:rsidRPr="0037547D" w:rsidRDefault="007855F5" w:rsidP="007855F5">
      <w:pPr>
        <w:pStyle w:val="ManualConsidrant"/>
        <w:rPr>
          <w:noProof/>
        </w:rPr>
      </w:pPr>
      <w:r w:rsidRPr="007855F5">
        <w:t>(5)</w:t>
      </w:r>
      <w:r w:rsidRPr="007855F5">
        <w:tab/>
      </w:r>
      <w:r w:rsidR="00A97285" w:rsidRPr="0037547D">
        <w:rPr>
          <w:noProof/>
        </w:rPr>
        <w:t>Člen 449a Uredbe (EU) št. 575/2013 zahteva, da se informacije o okoljskih, socialnih in upravljavskih tveganjih začnejo razkrivati z 28. junijem 2022, po tem pa na letni osnovi za prvo leto in nato dvakrat letno. Zato bi bilo treba za prvi referenčni datum letnega razkritja določiti 31. december 2022.</w:t>
      </w:r>
    </w:p>
    <w:p w:rsidR="00ED20D7" w:rsidRPr="0037547D" w:rsidRDefault="007855F5" w:rsidP="007855F5">
      <w:pPr>
        <w:pStyle w:val="ManualConsidrant"/>
        <w:rPr>
          <w:noProof/>
        </w:rPr>
      </w:pPr>
      <w:r w:rsidRPr="007855F5">
        <w:t>(6)</w:t>
      </w:r>
      <w:r w:rsidRPr="007855F5">
        <w:tab/>
      </w:r>
      <w:r w:rsidR="00410340" w:rsidRPr="0037547D">
        <w:rPr>
          <w:noProof/>
        </w:rPr>
        <w:t xml:space="preserve">Ta uredba temelji na osnutku izvedbenih tehničnih standardov, ki ga je Komisiji predložil Evropski bančni organ. </w:t>
      </w:r>
    </w:p>
    <w:p w:rsidR="00410340" w:rsidRPr="0037547D" w:rsidRDefault="007855F5" w:rsidP="007855F5">
      <w:pPr>
        <w:pStyle w:val="ManualConsidrant"/>
        <w:rPr>
          <w:noProof/>
        </w:rPr>
      </w:pPr>
      <w:r w:rsidRPr="007855F5">
        <w:lastRenderedPageBreak/>
        <w:t>(7)</w:t>
      </w:r>
      <w:r w:rsidRPr="007855F5">
        <w:tab/>
      </w:r>
      <w:r w:rsidR="00ED20D7" w:rsidRPr="0037547D">
        <w:rPr>
          <w:noProof/>
        </w:rPr>
        <w:t>Evropski bančni organ je o osnutku izvedbenih tehničnih standardov, na katerem temelji ta uredba, izvedel odprta javna posvetovanja, analiziral morebitne povezane stroške in koristi ter zaprosil za nasvet interesno skupino za bančništvo, ustanovljeno v skladu s členom 37 Uredbe (EU) št. 1093/2010 Evropskega parlamenta in Sveta</w:t>
      </w:r>
      <w:r w:rsidR="00ED20D7" w:rsidRPr="0037547D">
        <w:rPr>
          <w:rStyle w:val="FootnoteReference"/>
          <w:noProof/>
        </w:rPr>
        <w:footnoteReference w:id="8"/>
      </w:r>
      <w:r w:rsidR="00ED20D7" w:rsidRPr="0037547D">
        <w:rPr>
          <w:noProof/>
        </w:rPr>
        <w:t>.</w:t>
      </w:r>
    </w:p>
    <w:p w:rsidR="00410340" w:rsidRPr="0037547D" w:rsidRDefault="007855F5" w:rsidP="007855F5">
      <w:pPr>
        <w:pStyle w:val="ManualConsidrant"/>
        <w:rPr>
          <w:noProof/>
        </w:rPr>
      </w:pPr>
      <w:r w:rsidRPr="007855F5">
        <w:t>(8)</w:t>
      </w:r>
      <w:r w:rsidRPr="007855F5">
        <w:tab/>
      </w:r>
      <w:r w:rsidR="00410340" w:rsidRPr="0037547D">
        <w:rPr>
          <w:noProof/>
        </w:rPr>
        <w:t xml:space="preserve">Izvedbeno uredbo (EU) </w:t>
      </w:r>
      <w:r w:rsidR="00410340" w:rsidRPr="0037547D">
        <w:rPr>
          <w:noProof/>
          <w:sz w:val="22"/>
        </w:rPr>
        <w:t>2021/637</w:t>
      </w:r>
      <w:r w:rsidR="00410340" w:rsidRPr="0037547D">
        <w:rPr>
          <w:noProof/>
        </w:rPr>
        <w:t xml:space="preserve"> bi bilo zato treba ustrezno spremeniti –</w:t>
      </w:r>
    </w:p>
    <w:p w:rsidR="003C122C" w:rsidRPr="0037547D" w:rsidRDefault="003C122C" w:rsidP="004E1EF9">
      <w:pPr>
        <w:pStyle w:val="Formuledadoption"/>
        <w:rPr>
          <w:noProof/>
          <w:szCs w:val="24"/>
        </w:rPr>
      </w:pPr>
      <w:r w:rsidRPr="0037547D">
        <w:rPr>
          <w:noProof/>
        </w:rPr>
        <w:t>SPREJELA NASLEDNJO UREDBO:</w:t>
      </w:r>
    </w:p>
    <w:p w:rsidR="003C122C" w:rsidRPr="0037547D" w:rsidRDefault="003C122C" w:rsidP="004E1EF9">
      <w:pPr>
        <w:pStyle w:val="Titrearticle"/>
        <w:rPr>
          <w:noProof/>
          <w:szCs w:val="24"/>
        </w:rPr>
      </w:pPr>
      <w:r w:rsidRPr="0037547D">
        <w:rPr>
          <w:noProof/>
        </w:rPr>
        <w:t>Člen 1</w:t>
      </w:r>
    </w:p>
    <w:p w:rsidR="007F4F83" w:rsidRPr="0037547D" w:rsidRDefault="007F4F83" w:rsidP="00D00193">
      <w:pPr>
        <w:pStyle w:val="Titrearticle"/>
        <w:spacing w:before="120"/>
        <w:rPr>
          <w:b/>
          <w:i w:val="0"/>
          <w:noProof/>
          <w:szCs w:val="24"/>
        </w:rPr>
      </w:pPr>
      <w:r w:rsidRPr="0037547D">
        <w:rPr>
          <w:b/>
          <w:i w:val="0"/>
          <w:noProof/>
        </w:rPr>
        <w:t>Spremembe Izvedbene uredbe (EU) 2021/637</w:t>
      </w:r>
    </w:p>
    <w:p w:rsidR="007F4F83" w:rsidRPr="0037547D" w:rsidRDefault="007F4F83" w:rsidP="007F4F83">
      <w:pPr>
        <w:pStyle w:val="Titrearticle"/>
        <w:jc w:val="left"/>
        <w:rPr>
          <w:rFonts w:eastAsiaTheme="minorEastAsia"/>
          <w:i w:val="0"/>
          <w:noProof/>
          <w:szCs w:val="24"/>
        </w:rPr>
      </w:pPr>
      <w:r w:rsidRPr="0037547D">
        <w:rPr>
          <w:i w:val="0"/>
          <w:noProof/>
        </w:rPr>
        <w:t>Izvedbena uredba (EU) 2021/637 se spremeni:</w:t>
      </w:r>
    </w:p>
    <w:p w:rsidR="007F4F83" w:rsidRPr="0037547D" w:rsidRDefault="007855F5" w:rsidP="007855F5">
      <w:pPr>
        <w:pStyle w:val="Point0"/>
        <w:rPr>
          <w:noProof/>
        </w:rPr>
      </w:pPr>
      <w:r w:rsidRPr="007855F5">
        <w:t>(1)</w:t>
      </w:r>
      <w:r w:rsidRPr="007855F5">
        <w:tab/>
      </w:r>
      <w:r w:rsidR="007F4F83" w:rsidRPr="0037547D">
        <w:rPr>
          <w:noProof/>
        </w:rPr>
        <w:t>vstavi se naslednji člen 18a:</w:t>
      </w:r>
    </w:p>
    <w:p w:rsidR="007F4F83" w:rsidRPr="0037547D" w:rsidRDefault="006542E5" w:rsidP="004046D9">
      <w:pPr>
        <w:pStyle w:val="Titrearticle"/>
        <w:spacing w:before="120"/>
        <w:ind w:left="567" w:right="568"/>
        <w:rPr>
          <w:noProof/>
        </w:rPr>
      </w:pPr>
      <w:r w:rsidRPr="0037547D">
        <w:rPr>
          <w:noProof/>
        </w:rPr>
        <w:t>„Člen 18a</w:t>
      </w:r>
    </w:p>
    <w:p w:rsidR="007F4F83" w:rsidRPr="0037547D" w:rsidRDefault="007F4F83" w:rsidP="004046D9">
      <w:pPr>
        <w:pStyle w:val="Titrearticle"/>
        <w:spacing w:before="120"/>
        <w:ind w:left="567" w:right="568"/>
        <w:rPr>
          <w:b/>
          <w:i w:val="0"/>
          <w:noProof/>
        </w:rPr>
      </w:pPr>
      <w:r w:rsidRPr="0037547D">
        <w:rPr>
          <w:b/>
          <w:i w:val="0"/>
          <w:noProof/>
        </w:rPr>
        <w:t>Razkritje okoljskih, socialnih in upravljavskih tveganj</w:t>
      </w:r>
    </w:p>
    <w:p w:rsidR="007F4F83" w:rsidRPr="0037547D" w:rsidRDefault="007855F5" w:rsidP="007855F5">
      <w:pPr>
        <w:pStyle w:val="ManualNumPar1"/>
        <w:rPr>
          <w:noProof/>
        </w:rPr>
      </w:pPr>
      <w:r w:rsidRPr="007855F5">
        <w:t>1.</w:t>
      </w:r>
      <w:r w:rsidRPr="007855F5">
        <w:tab/>
      </w:r>
      <w:r w:rsidR="007F4F83" w:rsidRPr="0037547D">
        <w:rPr>
          <w:noProof/>
        </w:rPr>
        <w:t>Institucije razkrijejo informacije iz člena 449a Uredbe (EU) št. 575/2013, kot sledi:</w:t>
      </w:r>
    </w:p>
    <w:p w:rsidR="002D1236" w:rsidRPr="0037547D" w:rsidRDefault="007855F5" w:rsidP="007855F5">
      <w:pPr>
        <w:pStyle w:val="Point1"/>
        <w:rPr>
          <w:noProof/>
        </w:rPr>
      </w:pPr>
      <w:r w:rsidRPr="007855F5">
        <w:t>(a)</w:t>
      </w:r>
      <w:r w:rsidRPr="007855F5">
        <w:tab/>
      </w:r>
      <w:r w:rsidR="002D1236" w:rsidRPr="0037547D">
        <w:rPr>
          <w:noProof/>
        </w:rPr>
        <w:t>kvalitativne informacije o okoljskih, socialnih in upravljavskih tveganjih z uporabo razpredelnic 1, 2 in 3 iz Priloge XXXIX k tej uredbi ter ob upoštevanju navodil iz Priloge XL k tej uredbi;</w:t>
      </w:r>
    </w:p>
    <w:p w:rsidR="002D1236" w:rsidRPr="0037547D" w:rsidRDefault="007855F5" w:rsidP="007855F5">
      <w:pPr>
        <w:pStyle w:val="Point1"/>
        <w:rPr>
          <w:noProof/>
        </w:rPr>
      </w:pPr>
      <w:r w:rsidRPr="007855F5">
        <w:t>(b)</w:t>
      </w:r>
      <w:r w:rsidRPr="007855F5">
        <w:tab/>
      </w:r>
      <w:r w:rsidR="002D1236" w:rsidRPr="0037547D">
        <w:rPr>
          <w:noProof/>
        </w:rPr>
        <w:t>kvantitativne informacije o tveganju prehoda v zvezi s podnebnimi spremembami z uporabo predlog 1 do 4 iz Priloge XXXIX k tej uredbi ter ob upoštevanju navodil iz Priloge XL k tej uredbi;</w:t>
      </w:r>
    </w:p>
    <w:p w:rsidR="002D1236" w:rsidRPr="0037547D" w:rsidRDefault="007855F5" w:rsidP="007855F5">
      <w:pPr>
        <w:pStyle w:val="Point1"/>
        <w:rPr>
          <w:noProof/>
        </w:rPr>
      </w:pPr>
      <w:r w:rsidRPr="007855F5">
        <w:t>(c)</w:t>
      </w:r>
      <w:r w:rsidRPr="007855F5">
        <w:tab/>
      </w:r>
      <w:r w:rsidR="002D1236" w:rsidRPr="0037547D">
        <w:rPr>
          <w:noProof/>
        </w:rPr>
        <w:t>kvantitativne informacije o fizičnih tveganjih v zvezi s podnebnimi spremembami z uporabo predloge 5 iz Priloge XXXIX k tej uredbi ter ob upoštevanju navodil iz Priloge XL k tej uredbi;</w:t>
      </w:r>
    </w:p>
    <w:p w:rsidR="002D1236" w:rsidRPr="0037547D" w:rsidRDefault="007855F5" w:rsidP="007855F5">
      <w:pPr>
        <w:pStyle w:val="Point1"/>
        <w:rPr>
          <w:noProof/>
        </w:rPr>
      </w:pPr>
      <w:r w:rsidRPr="007855F5">
        <w:t>(d)</w:t>
      </w:r>
      <w:r w:rsidRPr="007855F5">
        <w:tab/>
      </w:r>
      <w:r w:rsidR="002D1236" w:rsidRPr="0037547D">
        <w:rPr>
          <w:noProof/>
        </w:rPr>
        <w:t>kvantitativne informacije o ukrepih za blažitev, povezanih z gospodarskimi dejavnostmi, ki se štejejo za okoljsko trajnostne v skladu s členom 3 Uredbe (EU) 2020/852 Evropskega parlamenta in Sveta</w:t>
      </w:r>
      <w:r w:rsidR="002D1236" w:rsidRPr="0037547D">
        <w:rPr>
          <w:noProof/>
          <w:vertAlign w:val="superscript"/>
        </w:rPr>
        <w:t>*1</w:t>
      </w:r>
      <w:r w:rsidR="002D1236" w:rsidRPr="0037547D">
        <w:rPr>
          <w:noProof/>
        </w:rPr>
        <w:t>, v zvezi z nasprotnimi strankami, za katere velja člen 19a ali 29a Direktive 2013/34/EU Evropskega parlamenta in Sveta</w:t>
      </w:r>
      <w:r w:rsidR="002D1236" w:rsidRPr="0037547D">
        <w:rPr>
          <w:noProof/>
          <w:vertAlign w:val="superscript"/>
        </w:rPr>
        <w:t>*2</w:t>
      </w:r>
      <w:r w:rsidR="002D1236" w:rsidRPr="0037547D">
        <w:rPr>
          <w:noProof/>
        </w:rPr>
        <w:t xml:space="preserve">, </w:t>
      </w:r>
      <w:bookmarkStart w:id="1" w:name="_Hlk92470586"/>
      <w:r w:rsidR="002D1236" w:rsidRPr="0037547D">
        <w:rPr>
          <w:noProof/>
        </w:rPr>
        <w:t>gospodinjstvi in lokalnimi organi</w:t>
      </w:r>
      <w:bookmarkEnd w:id="1"/>
      <w:r w:rsidR="002D1236" w:rsidRPr="0037547D">
        <w:rPr>
          <w:noProof/>
        </w:rPr>
        <w:t xml:space="preserve"> iz dela 1, točka 42(b), Priloge V k Izvedbeni uredbi Komisije (EU) 2021/451</w:t>
      </w:r>
      <w:r w:rsidR="002D1236" w:rsidRPr="0037547D">
        <w:rPr>
          <w:noProof/>
          <w:vertAlign w:val="superscript"/>
        </w:rPr>
        <w:t>*3</w:t>
      </w:r>
      <w:r w:rsidR="002D1236" w:rsidRPr="0037547D">
        <w:rPr>
          <w:noProof/>
        </w:rPr>
        <w:t>, z uporabo predlog 6, 7 in 8 iz Priloge XXXIX k tej uredbi ter ob upoštevanju navodil iz Priloge XL k tej uredbi;</w:t>
      </w:r>
    </w:p>
    <w:p w:rsidR="00995098" w:rsidRPr="0037547D" w:rsidRDefault="007855F5" w:rsidP="007855F5">
      <w:pPr>
        <w:pStyle w:val="Point1"/>
        <w:rPr>
          <w:noProof/>
        </w:rPr>
      </w:pPr>
      <w:r w:rsidRPr="007855F5">
        <w:t>(e)</w:t>
      </w:r>
      <w:r w:rsidRPr="007855F5">
        <w:tab/>
      </w:r>
      <w:r w:rsidR="00995098" w:rsidRPr="0037547D">
        <w:rPr>
          <w:noProof/>
        </w:rPr>
        <w:t>kvantitativne informacije o drugih ukrepih za blažitev in izpostavljenostih tveganjem, povezanim s podnebnimi spremembami, ki se ne štejejo za okoljsko trajnostne gospodarske dejavnosti v skladu s členom 3 Uredbe (EU) 2020/852, vendar podpirajo nasprotne stranke pri procesu prehoda ali prilagajanja za doseganje ciljev blažitve podnebnih sprememb in prilagajanja podnebnim spremembam, z uporabo predloge 10 iz Priloge XXXIX k tej uredbi ter ob upoštevanju navodil iz Priloge XL k tej uredbi.</w:t>
      </w:r>
    </w:p>
    <w:p w:rsidR="008D2E23" w:rsidRPr="0037547D" w:rsidRDefault="007855F5" w:rsidP="007855F5">
      <w:pPr>
        <w:pStyle w:val="ManualNumPar1"/>
        <w:rPr>
          <w:noProof/>
        </w:rPr>
      </w:pPr>
      <w:r w:rsidRPr="007855F5">
        <w:t>2.</w:t>
      </w:r>
      <w:r w:rsidRPr="007855F5">
        <w:tab/>
      </w:r>
      <w:r w:rsidR="000941B5" w:rsidRPr="0037547D">
        <w:rPr>
          <w:noProof/>
        </w:rPr>
        <w:t xml:space="preserve">Institucije se lahko odločijo razkriti kvantitativne informacije o ukrepih za blažitev in izpostavljenostih v zvezi s tveganji, povezanimi s podnebnimi spremembami, ki se </w:t>
      </w:r>
      <w:r w:rsidR="000941B5" w:rsidRPr="0037547D">
        <w:rPr>
          <w:noProof/>
        </w:rPr>
        <w:lastRenderedPageBreak/>
        <w:t xml:space="preserve">nanašajo na gospodarske dejavnosti, ki se štejejo za okoljsko trajnostne v skladu s členom 3 Uredbe (EU) 2020/852, v zvezi z nasprotnimi strankami, </w:t>
      </w:r>
      <w:bookmarkStart w:id="2" w:name="_Hlk92470606"/>
      <w:r w:rsidR="000941B5" w:rsidRPr="0037547D">
        <w:rPr>
          <w:noProof/>
        </w:rPr>
        <w:t>ki so nefinančne družbe</w:t>
      </w:r>
      <w:bookmarkEnd w:id="2"/>
      <w:r w:rsidR="000941B5" w:rsidRPr="0037547D">
        <w:rPr>
          <w:noProof/>
        </w:rPr>
        <w:t xml:space="preserve"> iz dela 1, točka 42(e), Priloge V k Izvedbeni uredbi (EU) 2021/451, za katere ne veljajo obveznosti razkritja iz člena 19a ali 29a Direktive 2013/34/EU in za katere ne veljajo obveznosti razkritja iz Izvedbene uredbe Komisije (EU) 2021/2178</w:t>
      </w:r>
      <w:r w:rsidR="000941B5" w:rsidRPr="0037547D">
        <w:rPr>
          <w:noProof/>
          <w:vertAlign w:val="superscript"/>
        </w:rPr>
        <w:t>*4</w:t>
      </w:r>
      <w:r w:rsidR="000941B5" w:rsidRPr="0037547D">
        <w:rPr>
          <w:noProof/>
        </w:rPr>
        <w:t xml:space="preserve">, z uporabo predloge 9 iz Priloge XXXIX k tej uredbi ter ob upoštevanju navodil iz Priloge XL k tej uredbi. </w:t>
      </w:r>
    </w:p>
    <w:p w:rsidR="002D1236" w:rsidRPr="0037547D" w:rsidRDefault="002D1236" w:rsidP="00353D88">
      <w:pPr>
        <w:pStyle w:val="Text1"/>
        <w:rPr>
          <w:noProof/>
        </w:rPr>
      </w:pPr>
      <w:r w:rsidRPr="0037547D">
        <w:rPr>
          <w:noProof/>
        </w:rPr>
        <w:t>Za izračun odstotka izpostavljenosti do dejavnosti, ki izpolnjujejo zahteve iz člena 3 Uredbe (EU) 2020/852 (izpostavljenosti, usklajene s taksonomijo), v zvezi z navedenimi nasprotnimi strankami lahko institucije:</w:t>
      </w:r>
    </w:p>
    <w:p w:rsidR="00D23734" w:rsidRPr="0037547D" w:rsidRDefault="007855F5" w:rsidP="007855F5">
      <w:pPr>
        <w:pStyle w:val="Point1"/>
        <w:rPr>
          <w:noProof/>
        </w:rPr>
      </w:pPr>
      <w:r w:rsidRPr="007855F5">
        <w:t>(a)</w:t>
      </w:r>
      <w:r w:rsidRPr="007855F5">
        <w:tab/>
      </w:r>
      <w:r w:rsidR="008E7D06" w:rsidRPr="0037547D">
        <w:rPr>
          <w:noProof/>
        </w:rPr>
        <w:t>kadar so na voljo, uporabijo informacije, prejete od svojih nasprotnih strank na prostovoljni in dvostranski osnovi ob izdajanju kreditov ter med rednim postopkom kreditnega pregledovanja in spremljanja;</w:t>
      </w:r>
    </w:p>
    <w:p w:rsidR="00D23734" w:rsidRPr="0037547D" w:rsidRDefault="007855F5" w:rsidP="007855F5">
      <w:pPr>
        <w:pStyle w:val="Point1"/>
        <w:rPr>
          <w:noProof/>
        </w:rPr>
      </w:pPr>
      <w:r w:rsidRPr="007855F5">
        <w:t>(b)</w:t>
      </w:r>
      <w:r w:rsidRPr="007855F5">
        <w:tab/>
      </w:r>
      <w:r w:rsidR="00B25755" w:rsidRPr="0037547D">
        <w:rPr>
          <w:noProof/>
        </w:rPr>
        <w:t>kadar nasprotna stranka ne more ali ni pripravljena zagotoviti zadevnih podatkov na dvostranski osnovi, uporabijo notranje ocene in približke ter v opisu, priloženem predlogi, pojasnijo, v kakšnem obsegu so bile uporabljene te notranje ocene in približki ter katere notranje ocene in približki so bili uporabljeni;</w:t>
      </w:r>
    </w:p>
    <w:p w:rsidR="002D1236" w:rsidRPr="0037547D" w:rsidRDefault="007855F5" w:rsidP="007855F5">
      <w:pPr>
        <w:pStyle w:val="Point1"/>
        <w:rPr>
          <w:noProof/>
        </w:rPr>
      </w:pPr>
      <w:r w:rsidRPr="007855F5">
        <w:t>(c)</w:t>
      </w:r>
      <w:r w:rsidRPr="007855F5">
        <w:tab/>
      </w:r>
      <w:r w:rsidR="00D23734" w:rsidRPr="0037547D">
        <w:rPr>
          <w:noProof/>
        </w:rPr>
        <w:t>kadar zadevnih informacij ne morejo zbrati na dvostranski osnovi oziroma ne morejo uporabiti notranjih ocen in približkov ali ne morejo zbrati informacij oziroma ne morejo uporabiti ocen in približkov na način, ki zanje ali za njihove nasprotne stranke ni pretirano obremenjujoč, to nezmožnost pojasnijo v opisu, priloženem predlogi.</w:t>
      </w:r>
    </w:p>
    <w:p w:rsidR="00320B78" w:rsidRPr="0037547D" w:rsidRDefault="00320B78" w:rsidP="00353D88">
      <w:pPr>
        <w:pStyle w:val="Text1"/>
        <w:rPr>
          <w:noProof/>
        </w:rPr>
      </w:pPr>
      <w:r w:rsidRPr="0037547D">
        <w:rPr>
          <w:noProof/>
        </w:rPr>
        <w:t>Za namene točke (a) institucije obvestijo svoje nasprotne stranke, da je zagotavljanje takih informacij prostovoljno.</w:t>
      </w:r>
    </w:p>
    <w:p w:rsidR="007F4F83" w:rsidRPr="0037547D" w:rsidRDefault="007855F5" w:rsidP="007855F5">
      <w:pPr>
        <w:pStyle w:val="ManualNumPar1"/>
        <w:rPr>
          <w:noProof/>
        </w:rPr>
      </w:pPr>
      <w:r w:rsidRPr="007855F5">
        <w:t>3.</w:t>
      </w:r>
      <w:r w:rsidRPr="007855F5">
        <w:tab/>
      </w:r>
      <w:r w:rsidR="006B71ED" w:rsidRPr="0037547D">
        <w:rPr>
          <w:noProof/>
        </w:rPr>
        <w:t>Razen če je v navodilih iz Priloge XL k tej uredbi navedeno drugače, institucije od 31. decembra 2022 razkrivajo informacije iz člena 449a Uredbe (EU) št. 575/2013 vsako leto na naslednje datume:</w:t>
      </w:r>
    </w:p>
    <w:p w:rsidR="007F4F83" w:rsidRPr="0037547D" w:rsidRDefault="007855F5" w:rsidP="007855F5">
      <w:pPr>
        <w:pStyle w:val="Point1"/>
        <w:rPr>
          <w:noProof/>
        </w:rPr>
      </w:pPr>
      <w:r w:rsidRPr="007855F5">
        <w:t>(a)</w:t>
      </w:r>
      <w:r w:rsidRPr="007855F5">
        <w:tab/>
      </w:r>
      <w:r w:rsidR="007F4F83" w:rsidRPr="0037547D">
        <w:rPr>
          <w:noProof/>
        </w:rPr>
        <w:t>za letna razkritja: 31. decembra;</w:t>
      </w:r>
    </w:p>
    <w:p w:rsidR="00D01D57" w:rsidRPr="0037547D" w:rsidRDefault="007855F5" w:rsidP="007855F5">
      <w:pPr>
        <w:pStyle w:val="Point1"/>
        <w:rPr>
          <w:noProof/>
        </w:rPr>
      </w:pPr>
      <w:r w:rsidRPr="007855F5">
        <w:t>(b)</w:t>
      </w:r>
      <w:r w:rsidRPr="007855F5">
        <w:tab/>
      </w:r>
      <w:r w:rsidR="007F4F83" w:rsidRPr="0037547D">
        <w:rPr>
          <w:noProof/>
        </w:rPr>
        <w:t>za polletna razkritja: 30. junija in 31. decembra.</w:t>
      </w:r>
    </w:p>
    <w:p w:rsidR="00086FAB" w:rsidRPr="0037547D" w:rsidRDefault="001904B5" w:rsidP="0087679B">
      <w:pPr>
        <w:pStyle w:val="Text2"/>
        <w:rPr>
          <w:noProof/>
        </w:rPr>
      </w:pPr>
      <w:r w:rsidRPr="0037547D">
        <w:rPr>
          <w:noProof/>
        </w:rPr>
        <w:tab/>
        <w:t>___________</w:t>
      </w:r>
    </w:p>
    <w:p w:rsidR="00086FAB" w:rsidRPr="0037547D" w:rsidRDefault="00086FAB" w:rsidP="0087679B">
      <w:pPr>
        <w:pStyle w:val="Text3"/>
        <w:rPr>
          <w:noProof/>
          <w:sz w:val="20"/>
          <w:szCs w:val="20"/>
        </w:rPr>
      </w:pPr>
      <w:r w:rsidRPr="0037547D">
        <w:rPr>
          <w:noProof/>
          <w:sz w:val="20"/>
          <w:vertAlign w:val="superscript"/>
        </w:rPr>
        <w:t>*1</w:t>
      </w:r>
      <w:r w:rsidRPr="0037547D">
        <w:rPr>
          <w:noProof/>
        </w:rPr>
        <w:tab/>
      </w:r>
      <w:r w:rsidRPr="0037547D">
        <w:rPr>
          <w:noProof/>
          <w:sz w:val="20"/>
        </w:rPr>
        <w:t>Uredba (EU) 2020/852 Evropskega parlamenta in Sveta z dne 18. junija 2020 o vzpostavitvi okvira za spodbujanje trajnostnih naložb ter spremembi Uredbe (EU) 2019/2088 (UL L 198, 22.6.2020, str. 13).</w:t>
      </w:r>
    </w:p>
    <w:p w:rsidR="00086FAB" w:rsidRPr="0037547D" w:rsidRDefault="00086FAB" w:rsidP="004F6722">
      <w:pPr>
        <w:pStyle w:val="Text3"/>
        <w:rPr>
          <w:noProof/>
          <w:sz w:val="20"/>
          <w:szCs w:val="20"/>
        </w:rPr>
      </w:pPr>
      <w:r w:rsidRPr="0037547D">
        <w:rPr>
          <w:noProof/>
          <w:sz w:val="20"/>
          <w:vertAlign w:val="superscript"/>
        </w:rPr>
        <w:t>*2</w:t>
      </w:r>
      <w:r w:rsidRPr="0037547D">
        <w:rPr>
          <w:noProof/>
        </w:rPr>
        <w:tab/>
      </w:r>
      <w:r w:rsidRPr="0037547D">
        <w:rPr>
          <w:noProof/>
          <w:sz w:val="20"/>
        </w:rPr>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p w:rsidR="00086FAB" w:rsidRPr="0037547D" w:rsidRDefault="00086FAB" w:rsidP="0087679B">
      <w:pPr>
        <w:pStyle w:val="Text3"/>
        <w:rPr>
          <w:noProof/>
          <w:sz w:val="20"/>
          <w:szCs w:val="20"/>
        </w:rPr>
      </w:pPr>
      <w:r w:rsidRPr="0037547D">
        <w:rPr>
          <w:noProof/>
          <w:sz w:val="20"/>
          <w:vertAlign w:val="superscript"/>
        </w:rPr>
        <w:t>*3</w:t>
      </w:r>
      <w:r w:rsidRPr="0037547D">
        <w:rPr>
          <w:noProof/>
        </w:rPr>
        <w:tab/>
      </w:r>
      <w:r w:rsidRPr="0037547D">
        <w:rPr>
          <w:noProof/>
          <w:sz w:val="20"/>
        </w:rPr>
        <w:t>Izvedbena uredba Komisije (EU) 2021/451 z dne 17. decembra 2020 o določitvi izvedbenih tehničnih standardov za uporabo Uredbe (EU) št. 575/2013 Evropskega parlamenta in Sveta v zvezi z nadzorniškim poročanjem institucij in razveljavitvi Izvedbene uredbe (EU) št. 680/2014 (UL L 97, 19.3.2021, str. 1).</w:t>
      </w:r>
    </w:p>
    <w:p w:rsidR="00086FAB" w:rsidRPr="0037547D" w:rsidRDefault="00086FAB" w:rsidP="0087679B">
      <w:pPr>
        <w:pStyle w:val="Text3"/>
        <w:rPr>
          <w:noProof/>
          <w:sz w:val="20"/>
          <w:szCs w:val="20"/>
        </w:rPr>
      </w:pPr>
      <w:r w:rsidRPr="0037547D">
        <w:rPr>
          <w:noProof/>
          <w:sz w:val="20"/>
          <w:vertAlign w:val="superscript"/>
        </w:rPr>
        <w:t>*4</w:t>
      </w:r>
      <w:r w:rsidRPr="0037547D">
        <w:rPr>
          <w:noProof/>
        </w:rPr>
        <w:tab/>
      </w:r>
      <w:r w:rsidRPr="0037547D">
        <w:rPr>
          <w:noProof/>
          <w:sz w:val="20"/>
        </w:rPr>
        <w:t>Delegirana uredba Komisije (EU) 2021/2178 z dne 6. julija 2021 o dopolnitvi Uredbe (EU) 2020/852 Evropskega parlamenta in Sveta z določitvijo vsebine in prikaza informacij, ki jih morajo razkriti podjetja, za katera se uporablja člen 19a ali 29a Direktive 2013/34/EU, o okoljsko trajnostnih gospodarskih dejavnostih, ter metodologije za izpolnjevanje te obveznosti razkritja (UL L 443, 10.12.2021, str. 9).“;</w:t>
      </w:r>
    </w:p>
    <w:p w:rsidR="007F4F83" w:rsidRPr="0037547D" w:rsidRDefault="007855F5" w:rsidP="007855F5">
      <w:pPr>
        <w:pStyle w:val="Point0"/>
        <w:rPr>
          <w:noProof/>
        </w:rPr>
      </w:pPr>
      <w:r w:rsidRPr="007855F5">
        <w:lastRenderedPageBreak/>
        <w:t>(2)</w:t>
      </w:r>
      <w:r w:rsidRPr="007855F5">
        <w:tab/>
      </w:r>
      <w:r w:rsidR="00921483" w:rsidRPr="0037547D">
        <w:rPr>
          <w:noProof/>
        </w:rPr>
        <w:t xml:space="preserve">besedilo iz Priloge I k tej uredbi se doda kot Priloga XXXIX; </w:t>
      </w:r>
    </w:p>
    <w:p w:rsidR="007F4F83" w:rsidRPr="0037547D" w:rsidRDefault="007855F5" w:rsidP="007855F5">
      <w:pPr>
        <w:pStyle w:val="Point0"/>
        <w:rPr>
          <w:noProof/>
        </w:rPr>
      </w:pPr>
      <w:r w:rsidRPr="007855F5">
        <w:t>(3)</w:t>
      </w:r>
      <w:r w:rsidRPr="007855F5">
        <w:tab/>
      </w:r>
      <w:r w:rsidR="00921483" w:rsidRPr="0037547D">
        <w:rPr>
          <w:noProof/>
        </w:rPr>
        <w:t>besedilo iz Priloge II k tej uredbi se doda kot Priloga XL.</w:t>
      </w:r>
    </w:p>
    <w:p w:rsidR="007F4F83" w:rsidRPr="0037547D" w:rsidRDefault="007F4F83" w:rsidP="004046D9">
      <w:pPr>
        <w:pStyle w:val="Titrearticle"/>
        <w:rPr>
          <w:noProof/>
          <w:szCs w:val="24"/>
        </w:rPr>
      </w:pPr>
      <w:r w:rsidRPr="0037547D">
        <w:rPr>
          <w:noProof/>
        </w:rPr>
        <w:t>Člen 2</w:t>
      </w:r>
    </w:p>
    <w:p w:rsidR="007F4F83" w:rsidRPr="0037547D" w:rsidRDefault="007F4F83" w:rsidP="007F4F83">
      <w:pPr>
        <w:pStyle w:val="Titrearticle"/>
        <w:spacing w:before="120"/>
        <w:rPr>
          <w:b/>
          <w:i w:val="0"/>
          <w:noProof/>
          <w:szCs w:val="24"/>
        </w:rPr>
      </w:pPr>
      <w:r w:rsidRPr="0037547D">
        <w:rPr>
          <w:b/>
          <w:i w:val="0"/>
          <w:noProof/>
        </w:rPr>
        <w:t>Začetek veljavnosti</w:t>
      </w:r>
    </w:p>
    <w:p w:rsidR="007F4F83" w:rsidRPr="0037547D" w:rsidRDefault="007F4F83" w:rsidP="007F4F83">
      <w:pPr>
        <w:rPr>
          <w:noProof/>
          <w:color w:val="000000" w:themeColor="text1"/>
          <w:szCs w:val="24"/>
        </w:rPr>
      </w:pPr>
      <w:r w:rsidRPr="0037547D">
        <w:rPr>
          <w:noProof/>
        </w:rPr>
        <w:t>Ta uredba začne veljati dvajseti dan po objavi v </w:t>
      </w:r>
      <w:r w:rsidRPr="0037547D">
        <w:rPr>
          <w:i/>
          <w:noProof/>
        </w:rPr>
        <w:t>Uradnem listu Evropske unije</w:t>
      </w:r>
      <w:r w:rsidRPr="0037547D">
        <w:rPr>
          <w:noProof/>
        </w:rPr>
        <w:t>.</w:t>
      </w:r>
      <w:r w:rsidRPr="0037547D">
        <w:rPr>
          <w:noProof/>
          <w:color w:val="000000" w:themeColor="text1"/>
        </w:rPr>
        <w:t xml:space="preserve"> </w:t>
      </w:r>
    </w:p>
    <w:p w:rsidR="007F4F83" w:rsidRPr="0037547D" w:rsidRDefault="007F4F83" w:rsidP="007F4F83">
      <w:pPr>
        <w:pStyle w:val="Applicationdirecte"/>
        <w:rPr>
          <w:noProof/>
          <w:color w:val="000000"/>
          <w:szCs w:val="24"/>
        </w:rPr>
      </w:pPr>
      <w:r w:rsidRPr="0037547D">
        <w:rPr>
          <w:noProof/>
          <w:color w:val="000000"/>
        </w:rPr>
        <w:t>Ta uredba je v celoti zavezujoča in se neposredno uporablja v vseh državah članicah.</w:t>
      </w:r>
    </w:p>
    <w:p w:rsidR="003C122C" w:rsidRPr="0037547D" w:rsidRDefault="00904556" w:rsidP="00A8603F">
      <w:pPr>
        <w:pStyle w:val="Fait"/>
        <w:rPr>
          <w:noProof/>
        </w:rPr>
      </w:pPr>
      <w:r w:rsidRPr="00904556">
        <w:t>V Bruslju, 30.11.2022</w:t>
      </w:r>
    </w:p>
    <w:p w:rsidR="003C122C" w:rsidRPr="0037547D" w:rsidRDefault="003C122C" w:rsidP="00A8603F">
      <w:pPr>
        <w:pStyle w:val="Institutionquisigne"/>
        <w:rPr>
          <w:noProof/>
          <w:szCs w:val="24"/>
        </w:rPr>
      </w:pPr>
      <w:r w:rsidRPr="0037547D">
        <w:rPr>
          <w:noProof/>
        </w:rPr>
        <w:tab/>
        <w:t>Za Komisijo</w:t>
      </w:r>
    </w:p>
    <w:p w:rsidR="00C32BCD" w:rsidRPr="0037547D" w:rsidRDefault="00211E73" w:rsidP="00A8603F">
      <w:pPr>
        <w:pStyle w:val="Personnequisigne"/>
        <w:keepNext/>
        <w:rPr>
          <w:noProof/>
          <w:szCs w:val="24"/>
        </w:rPr>
      </w:pPr>
      <w:r>
        <w:tab/>
        <w:t>Predsednica</w:t>
      </w:r>
      <w:r>
        <w:br/>
      </w:r>
      <w:r>
        <w:tab/>
        <w:t>Ursula VON DER LEYEN</w:t>
      </w:r>
    </w:p>
    <w:p w:rsidR="00C32BCD" w:rsidRPr="0037547D" w:rsidRDefault="00C32BCD" w:rsidP="00C32BCD">
      <w:pPr>
        <w:pStyle w:val="Personnequisigne"/>
        <w:rPr>
          <w:noProof/>
          <w:szCs w:val="24"/>
        </w:rPr>
      </w:pPr>
    </w:p>
    <w:sectPr w:rsidR="00C32BCD" w:rsidRPr="0037547D" w:rsidSect="00633355">
      <w:footerReference w:type="default" r:id="rId15"/>
      <w:footerReference w:type="first" r:id="rId16"/>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355" w:rsidRPr="00633355" w:rsidRDefault="00633355" w:rsidP="006333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47D" w:rsidRPr="00633355" w:rsidRDefault="00633355" w:rsidP="00633355">
    <w:pPr>
      <w:pStyle w:val="Footer"/>
      <w:rPr>
        <w:rFonts w:ascii="Arial" w:hAnsi="Arial" w:cs="Arial"/>
        <w:b/>
        <w:sz w:val="48"/>
      </w:rPr>
    </w:pPr>
    <w:r w:rsidRPr="00633355">
      <w:rPr>
        <w:rFonts w:ascii="Arial" w:hAnsi="Arial" w:cs="Arial"/>
        <w:b/>
        <w:sz w:val="48"/>
      </w:rPr>
      <w:t>SL</w:t>
    </w:r>
    <w:r w:rsidRPr="00633355">
      <w:rPr>
        <w:rFonts w:ascii="Arial" w:hAnsi="Arial" w:cs="Arial"/>
        <w:b/>
        <w:sz w:val="48"/>
      </w:rPr>
      <w:tab/>
    </w:r>
    <w:r w:rsidRPr="00633355">
      <w:rPr>
        <w:rFonts w:ascii="Arial" w:hAnsi="Arial" w:cs="Arial"/>
        <w:b/>
        <w:sz w:val="48"/>
      </w:rPr>
      <w:tab/>
    </w:r>
    <w:r w:rsidRPr="00633355">
      <w:tab/>
    </w:r>
    <w:r w:rsidRPr="00633355">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355" w:rsidRPr="00633355" w:rsidRDefault="00633355" w:rsidP="006333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355" w:rsidRPr="00633355" w:rsidRDefault="00633355" w:rsidP="00633355">
    <w:pPr>
      <w:pStyle w:val="Footer"/>
      <w:rPr>
        <w:rFonts w:ascii="Arial" w:hAnsi="Arial" w:cs="Arial"/>
        <w:b/>
        <w:sz w:val="48"/>
      </w:rPr>
    </w:pPr>
    <w:r w:rsidRPr="00633355">
      <w:rPr>
        <w:rFonts w:ascii="Arial" w:hAnsi="Arial" w:cs="Arial"/>
        <w:b/>
        <w:sz w:val="48"/>
      </w:rPr>
      <w:t>SL</w:t>
    </w:r>
    <w:r w:rsidRPr="00633355">
      <w:rPr>
        <w:rFonts w:ascii="Arial" w:hAnsi="Arial" w:cs="Arial"/>
        <w:b/>
        <w:sz w:val="48"/>
      </w:rPr>
      <w:tab/>
    </w:r>
    <w:r>
      <w:fldChar w:fldCharType="begin"/>
    </w:r>
    <w:r>
      <w:instrText xml:space="preserve"> PAGE  \* MERGEFORMAT </w:instrText>
    </w:r>
    <w:r>
      <w:fldChar w:fldCharType="separate"/>
    </w:r>
    <w:r w:rsidR="00A8603F">
      <w:rPr>
        <w:noProof/>
      </w:rPr>
      <w:t>5</w:t>
    </w:r>
    <w:r>
      <w:fldChar w:fldCharType="end"/>
    </w:r>
    <w:r>
      <w:tab/>
    </w:r>
    <w:r w:rsidRPr="00633355">
      <w:tab/>
    </w:r>
    <w:r w:rsidRPr="00633355">
      <w:rPr>
        <w:rFonts w:ascii="Arial" w:hAnsi="Arial" w:cs="Arial"/>
        <w:b/>
        <w:sz w:val="48"/>
      </w:rPr>
      <w:t>SL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355" w:rsidRPr="00633355" w:rsidRDefault="00633355" w:rsidP="006333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UL L 176, 27.6.2013, str. 1.</w:t>
      </w:r>
    </w:p>
  </w:footnote>
  <w:footnote w:id="2">
    <w:p w:rsidR="007067A9" w:rsidRPr="00FC42BE" w:rsidRDefault="007067A9" w:rsidP="007067A9">
      <w:pPr>
        <w:pStyle w:val="FootnoteText"/>
      </w:pPr>
      <w:r>
        <w:rPr>
          <w:rStyle w:val="FootnoteReference"/>
        </w:rPr>
        <w:footnoteRef/>
      </w:r>
      <w:r>
        <w:tab/>
        <w:t>Izvedbena uredba Komisije (EU) 2021/637 z dne 15. marca 2021 o določitvi izvedbenih tehničnih standardov v zvezi z javnim razkritjem informacij iz naslovov II in III dela 8 Uredbe (EU) št. 575/2013 Evropskega parlamenta in Sveta s strani institucij ter o razveljavitvi Izvedbene uredbe Komisije (EU) št. 1423/2013, Delegirane uredbe Komisije (EU) 2015/1555, Izvedbene uredbe Komisije (EU) 2016/200 in Delegirane uredbe Komisije (EU) 2017/2295 (UL L 136, 21.4.2021, str. 1).</w:t>
      </w:r>
    </w:p>
  </w:footnote>
  <w:footnote w:id="3">
    <w:p w:rsidR="007067A9" w:rsidRPr="007067A9" w:rsidRDefault="007067A9" w:rsidP="007067A9">
      <w:pPr>
        <w:pStyle w:val="FootnoteText"/>
      </w:pPr>
      <w:r>
        <w:rPr>
          <w:rStyle w:val="FootnoteReference"/>
        </w:rPr>
        <w:footnoteRef/>
      </w:r>
      <w:r>
        <w:tab/>
        <w:t>Uredba (EU) 2019/876 Evropskega parlamenta in Sveta z dne 20. maja 2019 o spremembi Uredbe (EU) št. 575/2013 v zvezi s količnikom finančnega vzvoda, količnikom neto stabilnega financiranja, zahtevami glede kapitala in kvalificiranih obveznosti, kreditnim tveganjem nasprotne stranke, tržnim tveganjem, izpostavljenostmi do centralnih nasprotnih strank, izpostavljenostmi do kolektivnih naložbenih podjemov, velikimi izpostavljenostmi, zahtevami glede poročanja in razkritja ter Uredbe (EU) št. 648/2012 (UL L 150, 7.6.2019, str. 1).</w:t>
      </w:r>
    </w:p>
  </w:footnote>
  <w:footnote w:id="4">
    <w:p w:rsidR="00410340" w:rsidRPr="007067A9" w:rsidRDefault="00410340" w:rsidP="008B3E83">
      <w:pPr>
        <w:pStyle w:val="FootnoteText"/>
      </w:pPr>
      <w:r>
        <w:rPr>
          <w:rStyle w:val="FootnoteReference"/>
        </w:rPr>
        <w:footnoteRef/>
      </w:r>
      <w:r>
        <w:tab/>
        <w:t>Uredba (EU) 2020/852 Evropskega parlamenta in Sveta z dne 18. junija 2020 o vzpostavitvi okvira za spodbujanje trajnostnih naložb ter spremembi Uredbe (EU) 2019/2088 (</w:t>
      </w:r>
      <w:r>
        <w:rPr>
          <w:rStyle w:val="Emphasis"/>
          <w:i w:val="0"/>
        </w:rPr>
        <w:t>UL L 198, 22.6.2020, str. 13).</w:t>
      </w:r>
    </w:p>
  </w:footnote>
  <w:footnote w:id="5">
    <w:p w:rsidR="00410340" w:rsidRPr="007067A9" w:rsidRDefault="00410340" w:rsidP="008B3E83">
      <w:pPr>
        <w:pStyle w:val="FootnoteText"/>
        <w:rPr>
          <w:i/>
        </w:rPr>
      </w:pPr>
      <w:r>
        <w:rPr>
          <w:rStyle w:val="FootnoteReference"/>
        </w:rPr>
        <w:footnoteRef/>
      </w:r>
      <w:r>
        <w:tab/>
        <w:t>Delegirana uredba Komisije (EU) 2020/1818 z dne 17. julija 2020 o dopolnitvi Uredbe (EU) 2016/1011 Evropskega parlamenta in Sveta v zvezi z minimalnimi standardi za referenčne vrednosti EU za podnebni prehod in referenčne vrednosti EU, usklajene s Pariškim sporazumom (</w:t>
      </w:r>
      <w:r>
        <w:rPr>
          <w:rStyle w:val="Emphasis"/>
          <w:i w:val="0"/>
        </w:rPr>
        <w:t>UL L 406, 3.12.2020, str. 17).</w:t>
      </w:r>
    </w:p>
  </w:footnote>
  <w:footnote w:id="6">
    <w:p w:rsidR="00410340" w:rsidRPr="007067A9" w:rsidRDefault="00410340" w:rsidP="008B3E83">
      <w:pPr>
        <w:pStyle w:val="FootnoteText"/>
        <w:rPr>
          <w:color w:val="444444"/>
        </w:rPr>
      </w:pPr>
      <w:r>
        <w:rPr>
          <w:rStyle w:val="FootnoteReference"/>
        </w:rPr>
        <w:footnoteRef/>
      </w:r>
      <w:r>
        <w:tab/>
        <w:t>Direktiva 2010/31/EU Evropskega parlamenta in Sveta z dne 19. maja 2010 o energetski učinkovitosti stavb (</w:t>
      </w:r>
      <w:r>
        <w:rPr>
          <w:rStyle w:val="Emphasis"/>
          <w:i w:val="0"/>
        </w:rPr>
        <w:t>UL L 153, 18.6.2010, str. 13).</w:t>
      </w:r>
    </w:p>
  </w:footnote>
  <w:footnote w:id="7">
    <w:p w:rsidR="00135CD4" w:rsidRPr="00135CD4" w:rsidRDefault="00135CD4" w:rsidP="00135CD4">
      <w:pPr>
        <w:pStyle w:val="FootnoteText"/>
      </w:pPr>
      <w:r>
        <w:rPr>
          <w:rStyle w:val="FootnoteReference"/>
        </w:rPr>
        <w:footnoteRef/>
      </w:r>
      <w:r>
        <w:tab/>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 w:id="8">
    <w:p w:rsidR="00410340" w:rsidRPr="007067A9" w:rsidRDefault="00410340" w:rsidP="00410340">
      <w:pPr>
        <w:pStyle w:val="FootnoteText"/>
      </w:pPr>
      <w:r>
        <w:rPr>
          <w:rStyle w:val="FootnoteReference"/>
        </w:rPr>
        <w:footnoteRef/>
      </w:r>
      <w:r>
        <w:tab/>
        <w:t>Uredba (EU) št. 1093/2010 Evropskega parlamenta in Sveta z dne 24. novembra 2010 o ustanovitvi Evropskega nadzornega organa (Evropski bančni organ) in o spremembi Sklepa št. 716/2009/ES ter razveljavitvi Sklepa Komisije 2009/78/ES (UL L 331, 15.12.2010, str.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355" w:rsidRPr="00633355" w:rsidRDefault="00633355" w:rsidP="006333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355" w:rsidRPr="00633355" w:rsidRDefault="00633355" w:rsidP="006333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355" w:rsidRPr="00633355" w:rsidRDefault="00633355" w:rsidP="006333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1:58"/>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85F74C07-EBF7-40EC-B4B2-F41CD7C9B9A6"/>
    <w:docVar w:name="LW_COVERPAGE_TYPE" w:val="1"/>
    <w:docVar w:name="LW_CROSSREFERENCE" w:val="&lt;UNUSED&gt;"/>
    <w:docVar w:name="LW_DATE.ADOPT.CP" w:val="z dne 30.11.2022"/>
    <w:docVar w:name="LW_DATE.ADOPT.CP_DATEFORMAT" w:val="z dne %DATE%"/>
    <w:docVar w:name="LW_DATE.ADOPT.CP_ISODATE" w:val="2022-11-30"/>
    <w:docVar w:name="LW_DocType" w:val="COM"/>
    <w:docVar w:name="LW_EMISSION" w:val="30.11.2022"/>
    <w:docVar w:name="LW_EMISSION_ISODATE" w:val="2022-11-30"/>
    <w:docVar w:name="LW_EMISSION_LOCATION" w:val="BRX"/>
    <w:docVar w:name="LW_EMISSION_PREFIX" w:val="Bruselj, "/>
    <w:docVar w:name="LW_EMISSION_SUFFIX" w:val=" "/>
    <w:docVar w:name="LW_ID_DOCMODEL" w:val="SJ-004"/>
    <w:docVar w:name="LW_ID_DOCSIGNATURE" w:val="SJ-004"/>
    <w:docVar w:name="LW_ID_DOCSTRUCTURE" w:val="COM/AA"/>
    <w:docVar w:name="LW_ID_DOCTYPE" w:val="SJ-004"/>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spremembi izvedbenih tehničnih standardov iz Izvedbene uredbe (EU) 2021/637 glede razkritja okoljskih, socialnih in upravljavskih tveganj _x000b_"/>
    <w:docVar w:name="LW_TYPE.DOC.CP" w:val="IZVEDBENA UREDBA KOMISIJE (EU) …/…"/>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6070A"/>
    <w:rsid w:val="00066156"/>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495F"/>
    <w:rsid w:val="00135CD4"/>
    <w:rsid w:val="00145996"/>
    <w:rsid w:val="00154CCD"/>
    <w:rsid w:val="001645DB"/>
    <w:rsid w:val="00184181"/>
    <w:rsid w:val="001844EE"/>
    <w:rsid w:val="00184673"/>
    <w:rsid w:val="001904B5"/>
    <w:rsid w:val="001A327A"/>
    <w:rsid w:val="001B18A5"/>
    <w:rsid w:val="001B1CE9"/>
    <w:rsid w:val="001B7BF1"/>
    <w:rsid w:val="001C015A"/>
    <w:rsid w:val="001C2816"/>
    <w:rsid w:val="001E4D6F"/>
    <w:rsid w:val="001E62ED"/>
    <w:rsid w:val="001F0712"/>
    <w:rsid w:val="001F230A"/>
    <w:rsid w:val="001F4DF3"/>
    <w:rsid w:val="002114F8"/>
    <w:rsid w:val="00211E73"/>
    <w:rsid w:val="00225284"/>
    <w:rsid w:val="00227B00"/>
    <w:rsid w:val="002314F6"/>
    <w:rsid w:val="00232E98"/>
    <w:rsid w:val="00236D1F"/>
    <w:rsid w:val="00244967"/>
    <w:rsid w:val="0024497F"/>
    <w:rsid w:val="002522BC"/>
    <w:rsid w:val="00255C11"/>
    <w:rsid w:val="002815D4"/>
    <w:rsid w:val="00282860"/>
    <w:rsid w:val="00286E16"/>
    <w:rsid w:val="002B16C1"/>
    <w:rsid w:val="002C526A"/>
    <w:rsid w:val="002D1236"/>
    <w:rsid w:val="002E6EC7"/>
    <w:rsid w:val="00301900"/>
    <w:rsid w:val="00303A4B"/>
    <w:rsid w:val="0031532F"/>
    <w:rsid w:val="00317925"/>
    <w:rsid w:val="00320A76"/>
    <w:rsid w:val="00320B78"/>
    <w:rsid w:val="003226A9"/>
    <w:rsid w:val="0032597F"/>
    <w:rsid w:val="003276ED"/>
    <w:rsid w:val="00331719"/>
    <w:rsid w:val="0033740A"/>
    <w:rsid w:val="00353D88"/>
    <w:rsid w:val="003578D1"/>
    <w:rsid w:val="00362239"/>
    <w:rsid w:val="0037547D"/>
    <w:rsid w:val="003965B3"/>
    <w:rsid w:val="00396F18"/>
    <w:rsid w:val="00397813"/>
    <w:rsid w:val="003A5DF1"/>
    <w:rsid w:val="003A6D93"/>
    <w:rsid w:val="003B563F"/>
    <w:rsid w:val="003C122C"/>
    <w:rsid w:val="003C70D6"/>
    <w:rsid w:val="003D22F0"/>
    <w:rsid w:val="003D5E0A"/>
    <w:rsid w:val="003E1B7D"/>
    <w:rsid w:val="004046D9"/>
    <w:rsid w:val="00410340"/>
    <w:rsid w:val="0041104D"/>
    <w:rsid w:val="00413DA3"/>
    <w:rsid w:val="00414930"/>
    <w:rsid w:val="00414A4D"/>
    <w:rsid w:val="00436E6A"/>
    <w:rsid w:val="004376A0"/>
    <w:rsid w:val="004550A7"/>
    <w:rsid w:val="004A6F3E"/>
    <w:rsid w:val="004C0BD0"/>
    <w:rsid w:val="004C21A2"/>
    <w:rsid w:val="004C6D12"/>
    <w:rsid w:val="004C74A9"/>
    <w:rsid w:val="004C7F55"/>
    <w:rsid w:val="004D65D2"/>
    <w:rsid w:val="004E25CB"/>
    <w:rsid w:val="004E41D0"/>
    <w:rsid w:val="004F0D71"/>
    <w:rsid w:val="004F456F"/>
    <w:rsid w:val="004F6722"/>
    <w:rsid w:val="004F6DF7"/>
    <w:rsid w:val="00500AC9"/>
    <w:rsid w:val="005103F2"/>
    <w:rsid w:val="00524ADC"/>
    <w:rsid w:val="00530E44"/>
    <w:rsid w:val="00541DBA"/>
    <w:rsid w:val="00543602"/>
    <w:rsid w:val="00547071"/>
    <w:rsid w:val="00566A82"/>
    <w:rsid w:val="005708C3"/>
    <w:rsid w:val="005743BA"/>
    <w:rsid w:val="00592619"/>
    <w:rsid w:val="00592E05"/>
    <w:rsid w:val="00595146"/>
    <w:rsid w:val="005B177F"/>
    <w:rsid w:val="005B5751"/>
    <w:rsid w:val="005B7C87"/>
    <w:rsid w:val="005C5191"/>
    <w:rsid w:val="005D1193"/>
    <w:rsid w:val="005D2409"/>
    <w:rsid w:val="005E5AED"/>
    <w:rsid w:val="00633355"/>
    <w:rsid w:val="00635568"/>
    <w:rsid w:val="00635A91"/>
    <w:rsid w:val="00643DD1"/>
    <w:rsid w:val="006542E5"/>
    <w:rsid w:val="00657F0F"/>
    <w:rsid w:val="0066012A"/>
    <w:rsid w:val="00674F39"/>
    <w:rsid w:val="00686BCA"/>
    <w:rsid w:val="0069084C"/>
    <w:rsid w:val="00694EE5"/>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5F5"/>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44ED"/>
    <w:rsid w:val="008E7033"/>
    <w:rsid w:val="008E7D06"/>
    <w:rsid w:val="00904556"/>
    <w:rsid w:val="00905BE0"/>
    <w:rsid w:val="00911BBB"/>
    <w:rsid w:val="00921483"/>
    <w:rsid w:val="00930B06"/>
    <w:rsid w:val="0093114D"/>
    <w:rsid w:val="00935E8E"/>
    <w:rsid w:val="0094232C"/>
    <w:rsid w:val="00957D55"/>
    <w:rsid w:val="0096046C"/>
    <w:rsid w:val="00973740"/>
    <w:rsid w:val="00973E9E"/>
    <w:rsid w:val="00974379"/>
    <w:rsid w:val="009846A4"/>
    <w:rsid w:val="009853D3"/>
    <w:rsid w:val="00986B33"/>
    <w:rsid w:val="00987AD5"/>
    <w:rsid w:val="00992A73"/>
    <w:rsid w:val="00994FD4"/>
    <w:rsid w:val="00995098"/>
    <w:rsid w:val="009A73D4"/>
    <w:rsid w:val="009B7138"/>
    <w:rsid w:val="009C5D3A"/>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83AAF"/>
    <w:rsid w:val="00A8603F"/>
    <w:rsid w:val="00A87925"/>
    <w:rsid w:val="00A97285"/>
    <w:rsid w:val="00AA5C69"/>
    <w:rsid w:val="00AA6403"/>
    <w:rsid w:val="00AA6D36"/>
    <w:rsid w:val="00AA7317"/>
    <w:rsid w:val="00AD2CD3"/>
    <w:rsid w:val="00AE332F"/>
    <w:rsid w:val="00AE60C7"/>
    <w:rsid w:val="00AF4467"/>
    <w:rsid w:val="00B00A6D"/>
    <w:rsid w:val="00B137D8"/>
    <w:rsid w:val="00B25755"/>
    <w:rsid w:val="00B37F85"/>
    <w:rsid w:val="00B45C88"/>
    <w:rsid w:val="00B555F4"/>
    <w:rsid w:val="00B667EA"/>
    <w:rsid w:val="00B75C81"/>
    <w:rsid w:val="00B76A3B"/>
    <w:rsid w:val="00B8705E"/>
    <w:rsid w:val="00B87C8F"/>
    <w:rsid w:val="00B90FD9"/>
    <w:rsid w:val="00B94522"/>
    <w:rsid w:val="00BB6E75"/>
    <w:rsid w:val="00BC21DD"/>
    <w:rsid w:val="00BE1E9F"/>
    <w:rsid w:val="00BE246D"/>
    <w:rsid w:val="00BF0A20"/>
    <w:rsid w:val="00BF17AA"/>
    <w:rsid w:val="00BF2711"/>
    <w:rsid w:val="00BF7813"/>
    <w:rsid w:val="00C0016D"/>
    <w:rsid w:val="00C21461"/>
    <w:rsid w:val="00C24556"/>
    <w:rsid w:val="00C250DE"/>
    <w:rsid w:val="00C30A6B"/>
    <w:rsid w:val="00C32BCD"/>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44D3"/>
    <w:rsid w:val="00CD7B29"/>
    <w:rsid w:val="00CF4110"/>
    <w:rsid w:val="00D00193"/>
    <w:rsid w:val="00D01D57"/>
    <w:rsid w:val="00D14E3E"/>
    <w:rsid w:val="00D1768F"/>
    <w:rsid w:val="00D23734"/>
    <w:rsid w:val="00D34B59"/>
    <w:rsid w:val="00D44382"/>
    <w:rsid w:val="00D56C86"/>
    <w:rsid w:val="00D6695E"/>
    <w:rsid w:val="00D7007A"/>
    <w:rsid w:val="00D753AD"/>
    <w:rsid w:val="00D819E9"/>
    <w:rsid w:val="00DA20D3"/>
    <w:rsid w:val="00DA6EF2"/>
    <w:rsid w:val="00DB337F"/>
    <w:rsid w:val="00DC51F2"/>
    <w:rsid w:val="00DD0951"/>
    <w:rsid w:val="00DD4BB1"/>
    <w:rsid w:val="00DE6779"/>
    <w:rsid w:val="00E02264"/>
    <w:rsid w:val="00E16C32"/>
    <w:rsid w:val="00E227DA"/>
    <w:rsid w:val="00E27B5B"/>
    <w:rsid w:val="00E57103"/>
    <w:rsid w:val="00E621E8"/>
    <w:rsid w:val="00E80A1C"/>
    <w:rsid w:val="00E84919"/>
    <w:rsid w:val="00EB425C"/>
    <w:rsid w:val="00EC304C"/>
    <w:rsid w:val="00EC548B"/>
    <w:rsid w:val="00ED20D7"/>
    <w:rsid w:val="00ED7891"/>
    <w:rsid w:val="00EE28B6"/>
    <w:rsid w:val="00F007BC"/>
    <w:rsid w:val="00F170A6"/>
    <w:rsid w:val="00F20062"/>
    <w:rsid w:val="00F233CB"/>
    <w:rsid w:val="00F23798"/>
    <w:rsid w:val="00F45E0C"/>
    <w:rsid w:val="00F50B69"/>
    <w:rsid w:val="00F8179F"/>
    <w:rsid w:val="00F82E44"/>
    <w:rsid w:val="00F87C92"/>
    <w:rsid w:val="00F90B4C"/>
    <w:rsid w:val="00F93470"/>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pPr>
      <w:keepNext/>
      <w:numPr>
        <w:numId w:val="2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sl-SI"/>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sl-SI"/>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sl-SI"/>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633355"/>
    <w:pPr>
      <w:tabs>
        <w:tab w:val="center" w:pos="4535"/>
        <w:tab w:val="right" w:pos="9071"/>
      </w:tabs>
      <w:spacing w:before="0"/>
    </w:pPr>
  </w:style>
  <w:style w:type="character" w:customStyle="1" w:styleId="HeaderChar">
    <w:name w:val="Header Char"/>
    <w:basedOn w:val="DefaultParagraphFont"/>
    <w:link w:val="Header"/>
    <w:uiPriority w:val="99"/>
    <w:rsid w:val="00633355"/>
    <w:rPr>
      <w:rFonts w:ascii="Times New Roman" w:hAnsi="Times New Roman" w:cs="Times New Roman"/>
      <w:sz w:val="24"/>
      <w:lang w:val="sl-SI"/>
    </w:rPr>
  </w:style>
  <w:style w:type="paragraph" w:styleId="Footer">
    <w:name w:val="footer"/>
    <w:basedOn w:val="Normal"/>
    <w:link w:val="FooterChar"/>
    <w:uiPriority w:val="99"/>
    <w:unhideWhenUsed/>
    <w:rsid w:val="00633355"/>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633355"/>
    <w:rPr>
      <w:rFonts w:ascii="Times New Roman" w:hAnsi="Times New Roman" w:cs="Times New Roman"/>
      <w:sz w:val="24"/>
      <w:lang w:val="sl-S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sl-SI"/>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sl-SI"/>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sl-SI"/>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sl-SI"/>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sl-SI"/>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sl-SI"/>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sl-SI"/>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633355"/>
    <w:pPr>
      <w:tabs>
        <w:tab w:val="center" w:pos="7285"/>
        <w:tab w:val="right" w:pos="14003"/>
      </w:tabs>
      <w:spacing w:before="0"/>
    </w:pPr>
  </w:style>
  <w:style w:type="paragraph" w:customStyle="1" w:styleId="FooterLandscape">
    <w:name w:val="FooterLandscape"/>
    <w:basedOn w:val="Normal"/>
    <w:rsid w:val="00633355"/>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63335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33355"/>
    <w:pPr>
      <w:spacing w:before="0"/>
      <w:jc w:val="right"/>
    </w:pPr>
    <w:rPr>
      <w:sz w:val="28"/>
    </w:rPr>
  </w:style>
  <w:style w:type="paragraph" w:customStyle="1" w:styleId="FooterSensitivity">
    <w:name w:val="Footer Sensitivity"/>
    <w:basedOn w:val="Normal"/>
    <w:rsid w:val="0063335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7"/>
      </w:numPr>
    </w:pPr>
  </w:style>
  <w:style w:type="paragraph" w:customStyle="1" w:styleId="Tiret1">
    <w:name w:val="Tiret 1"/>
    <w:basedOn w:val="Point1"/>
    <w:pPr>
      <w:numPr>
        <w:numId w:val="18"/>
      </w:numPr>
    </w:pPr>
  </w:style>
  <w:style w:type="paragraph" w:customStyle="1" w:styleId="Tiret2">
    <w:name w:val="Tiret 2"/>
    <w:basedOn w:val="Point2"/>
    <w:pPr>
      <w:numPr>
        <w:numId w:val="19"/>
      </w:numPr>
    </w:pPr>
  </w:style>
  <w:style w:type="paragraph" w:customStyle="1" w:styleId="Tiret3">
    <w:name w:val="Tiret 3"/>
    <w:basedOn w:val="Point3"/>
    <w:pPr>
      <w:numPr>
        <w:numId w:val="20"/>
      </w:numPr>
    </w:pPr>
  </w:style>
  <w:style w:type="paragraph" w:customStyle="1" w:styleId="Tiret4">
    <w:name w:val="Tiret 4"/>
    <w:basedOn w:val="Point4"/>
    <w:pPr>
      <w:numPr>
        <w:numId w:val="21"/>
      </w:numPr>
    </w:pPr>
  </w:style>
  <w:style w:type="paragraph" w:customStyle="1" w:styleId="Tiret5">
    <w:name w:val="Tiret 5"/>
    <w:basedOn w:val="Point5"/>
    <w:pPr>
      <w:numPr>
        <w:numId w:val="2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3"/>
      </w:numPr>
    </w:pPr>
  </w:style>
  <w:style w:type="paragraph" w:customStyle="1" w:styleId="NumPar2">
    <w:name w:val="NumPar 2"/>
    <w:basedOn w:val="Normal"/>
    <w:next w:val="Text1"/>
    <w:pPr>
      <w:numPr>
        <w:ilvl w:val="1"/>
        <w:numId w:val="23"/>
      </w:numPr>
    </w:pPr>
  </w:style>
  <w:style w:type="paragraph" w:customStyle="1" w:styleId="NumPar3">
    <w:name w:val="NumPar 3"/>
    <w:basedOn w:val="Normal"/>
    <w:next w:val="Text1"/>
    <w:pPr>
      <w:numPr>
        <w:ilvl w:val="2"/>
        <w:numId w:val="23"/>
      </w:numPr>
    </w:pPr>
  </w:style>
  <w:style w:type="paragraph" w:customStyle="1" w:styleId="NumPar4">
    <w:name w:val="NumPar 4"/>
    <w:basedOn w:val="Normal"/>
    <w:next w:val="Text1"/>
    <w:pPr>
      <w:numPr>
        <w:ilvl w:val="3"/>
        <w:numId w:val="23"/>
      </w:numPr>
    </w:pPr>
  </w:style>
  <w:style w:type="paragraph" w:customStyle="1" w:styleId="NumPar5">
    <w:name w:val="NumPar 5"/>
    <w:basedOn w:val="Normal"/>
    <w:next w:val="Text2"/>
    <w:pPr>
      <w:numPr>
        <w:ilvl w:val="4"/>
        <w:numId w:val="23"/>
      </w:numPr>
    </w:pPr>
  </w:style>
  <w:style w:type="paragraph" w:customStyle="1" w:styleId="NumPar6">
    <w:name w:val="NumPar 6"/>
    <w:basedOn w:val="Normal"/>
    <w:next w:val="Text2"/>
    <w:pPr>
      <w:numPr>
        <w:ilvl w:val="5"/>
        <w:numId w:val="23"/>
      </w:numPr>
    </w:pPr>
  </w:style>
  <w:style w:type="paragraph" w:customStyle="1" w:styleId="NumPar7">
    <w:name w:val="NumPar 7"/>
    <w:basedOn w:val="Normal"/>
    <w:next w:val="Text2"/>
    <w:pPr>
      <w:numPr>
        <w:ilvl w:val="6"/>
        <w:numId w:val="2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5"/>
      </w:numPr>
    </w:pPr>
  </w:style>
  <w:style w:type="paragraph" w:customStyle="1" w:styleId="Point1number">
    <w:name w:val="Point 1 (number)"/>
    <w:basedOn w:val="Normal"/>
    <w:pPr>
      <w:numPr>
        <w:ilvl w:val="2"/>
        <w:numId w:val="25"/>
      </w:numPr>
    </w:pPr>
  </w:style>
  <w:style w:type="paragraph" w:customStyle="1" w:styleId="Point2number">
    <w:name w:val="Point 2 (number)"/>
    <w:basedOn w:val="Normal"/>
    <w:pPr>
      <w:numPr>
        <w:ilvl w:val="4"/>
        <w:numId w:val="25"/>
      </w:numPr>
    </w:pPr>
  </w:style>
  <w:style w:type="paragraph" w:customStyle="1" w:styleId="Point3number">
    <w:name w:val="Point 3 (number)"/>
    <w:basedOn w:val="Normal"/>
    <w:pPr>
      <w:numPr>
        <w:ilvl w:val="6"/>
        <w:numId w:val="25"/>
      </w:numPr>
    </w:pPr>
  </w:style>
  <w:style w:type="paragraph" w:customStyle="1" w:styleId="Point0letter">
    <w:name w:val="Point 0 (letter)"/>
    <w:basedOn w:val="Normal"/>
    <w:pPr>
      <w:numPr>
        <w:ilvl w:val="1"/>
        <w:numId w:val="25"/>
      </w:numPr>
    </w:pPr>
  </w:style>
  <w:style w:type="paragraph" w:customStyle="1" w:styleId="Point1letter">
    <w:name w:val="Point 1 (letter)"/>
    <w:basedOn w:val="Normal"/>
    <w:pPr>
      <w:numPr>
        <w:ilvl w:val="3"/>
        <w:numId w:val="25"/>
      </w:numPr>
    </w:pPr>
  </w:style>
  <w:style w:type="paragraph" w:customStyle="1" w:styleId="Point2letter">
    <w:name w:val="Point 2 (letter)"/>
    <w:basedOn w:val="Normal"/>
    <w:pPr>
      <w:numPr>
        <w:ilvl w:val="5"/>
        <w:numId w:val="25"/>
      </w:numPr>
    </w:pPr>
  </w:style>
  <w:style w:type="paragraph" w:customStyle="1" w:styleId="Point3letter">
    <w:name w:val="Point 3 (letter)"/>
    <w:basedOn w:val="Normal"/>
    <w:pPr>
      <w:numPr>
        <w:ilvl w:val="7"/>
        <w:numId w:val="25"/>
      </w:numPr>
    </w:pPr>
  </w:style>
  <w:style w:type="paragraph" w:customStyle="1" w:styleId="Point4letter">
    <w:name w:val="Point 4 (letter)"/>
    <w:basedOn w:val="Normal"/>
    <w:pPr>
      <w:numPr>
        <w:ilvl w:val="8"/>
        <w:numId w:val="25"/>
      </w:numPr>
    </w:pPr>
  </w:style>
  <w:style w:type="paragraph" w:customStyle="1" w:styleId="Bullet0">
    <w:name w:val="Bullet 0"/>
    <w:basedOn w:val="Normal"/>
    <w:pPr>
      <w:numPr>
        <w:numId w:val="26"/>
      </w:numPr>
    </w:pPr>
  </w:style>
  <w:style w:type="paragraph" w:customStyle="1" w:styleId="Bullet1">
    <w:name w:val="Bullet 1"/>
    <w:basedOn w:val="Normal"/>
    <w:pPr>
      <w:numPr>
        <w:numId w:val="27"/>
      </w:numPr>
    </w:pPr>
  </w:style>
  <w:style w:type="paragraph" w:customStyle="1" w:styleId="Bullet2">
    <w:name w:val="Bullet 2"/>
    <w:basedOn w:val="Normal"/>
    <w:pPr>
      <w:numPr>
        <w:numId w:val="28"/>
      </w:numPr>
    </w:pPr>
  </w:style>
  <w:style w:type="paragraph" w:customStyle="1" w:styleId="Bullet3">
    <w:name w:val="Bullet 3"/>
    <w:basedOn w:val="Normal"/>
    <w:pPr>
      <w:numPr>
        <w:numId w:val="29"/>
      </w:numPr>
    </w:pPr>
  </w:style>
  <w:style w:type="paragraph" w:customStyle="1" w:styleId="Bullet4">
    <w:name w:val="Bullet 4"/>
    <w:basedOn w:val="Normal"/>
    <w:pPr>
      <w:numPr>
        <w:numId w:val="3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61DEA-811B-4C4E-8604-2CB78127F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6</TotalTime>
  <Pages>6</Pages>
  <Words>1609</Words>
  <Characters>9401</Characters>
  <Application>Microsoft Office Word</Application>
  <DocSecurity>0</DocSecurity>
  <Lines>167</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48</cp:revision>
  <dcterms:created xsi:type="dcterms:W3CDTF">2022-10-28T13:10:00Z</dcterms:created>
  <dcterms:modified xsi:type="dcterms:W3CDTF">2022-11-27T18:31:00Z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