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CB7326" w:rsidRDefault="00DE2087" w:rsidP="00DE2087">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2BC753C2-9AF3-48CE-B6CE-A5D0CBD64466" style="width:455.25pt;height:414pt">
            <v:imagedata r:id="rId8" o:title=""/>
          </v:shape>
        </w:pict>
      </w:r>
    </w:p>
    <w:p w:rsidR="003C122C" w:rsidRPr="00CB7326" w:rsidRDefault="003C122C">
      <w:pPr>
        <w:rPr>
          <w:noProof/>
        </w:rPr>
        <w:sectPr w:rsidR="003C122C" w:rsidRPr="00CB7326" w:rsidSect="00DE2087">
          <w:footerReference w:type="default" r:id="rId9"/>
          <w:pgSz w:w="11907" w:h="16839"/>
          <w:pgMar w:top="1134" w:right="1417" w:bottom="1134" w:left="1417" w:header="709" w:footer="709" w:gutter="0"/>
          <w:pgNumType w:start="0"/>
          <w:cols w:space="720"/>
          <w:docGrid w:linePitch="360"/>
        </w:sectPr>
      </w:pPr>
    </w:p>
    <w:p w:rsidR="003C122C" w:rsidRPr="00CB7326" w:rsidRDefault="00CB7326" w:rsidP="00CB7326">
      <w:pPr>
        <w:pStyle w:val="Typedudocument"/>
        <w:rPr>
          <w:noProof/>
        </w:rPr>
      </w:pPr>
      <w:bookmarkStart w:id="0" w:name="_GoBack"/>
      <w:bookmarkEnd w:id="0"/>
      <w:r w:rsidRPr="00CB7326">
        <w:rPr>
          <w:noProof/>
        </w:rPr>
        <w:lastRenderedPageBreak/>
        <w:t>RIALACHÁN CUR CHUN FEIDHME (AE) .../... ÓN gCOIMISIÚN</w:t>
      </w:r>
    </w:p>
    <w:p w:rsidR="003C122C" w:rsidRPr="00CB7326" w:rsidRDefault="001769EE" w:rsidP="00CB7326">
      <w:pPr>
        <w:pStyle w:val="Datedadoption"/>
        <w:rPr>
          <w:noProof/>
        </w:rPr>
      </w:pPr>
      <w:r>
        <w:t>an 30.11.2022</w:t>
      </w:r>
    </w:p>
    <w:p w:rsidR="003C122C" w:rsidRPr="00CB7326" w:rsidRDefault="00CB7326" w:rsidP="00CB7326">
      <w:pPr>
        <w:pStyle w:val="Titreobjet"/>
        <w:rPr>
          <w:noProof/>
        </w:rPr>
      </w:pPr>
      <w:r w:rsidRPr="00CB7326">
        <w:rPr>
          <w:noProof/>
        </w:rPr>
        <w:t xml:space="preserve">lena leasaítear na caighdeáin theicniúla cur chun feidhme a leagtar síos i Rialachán Cur Chun Feidhme (AE) 2021/637 a mhéid a bhaineann le rioscaí comhshaoil, sóisialta agus rialachais a nochtadh </w:t>
      </w:r>
      <w:r w:rsidRPr="00CB7326">
        <w:rPr>
          <w:noProof/>
        </w:rPr>
        <w:br/>
      </w:r>
    </w:p>
    <w:p w:rsidR="003C122C" w:rsidRPr="00CB7326" w:rsidRDefault="00CB7326" w:rsidP="00CB7326">
      <w:pPr>
        <w:pStyle w:val="IntrtEEE"/>
        <w:rPr>
          <w:noProof/>
        </w:rPr>
      </w:pPr>
      <w:r w:rsidRPr="00CB7326">
        <w:rPr>
          <w:noProof/>
        </w:rPr>
        <w:t>(Téacs atá ábhartha maidir le LEE)</w:t>
      </w:r>
    </w:p>
    <w:p w:rsidR="003C122C" w:rsidRPr="00CB7326" w:rsidRDefault="003C122C" w:rsidP="004E1EF9">
      <w:pPr>
        <w:pStyle w:val="Institutionquiagit"/>
        <w:rPr>
          <w:noProof/>
        </w:rPr>
      </w:pPr>
      <w:r w:rsidRPr="00CB7326">
        <w:rPr>
          <w:noProof/>
        </w:rPr>
        <w:t>TÁ AN COIMISIÚN EORPACH,</w:t>
      </w:r>
    </w:p>
    <w:p w:rsidR="003C122C" w:rsidRPr="00CB7326" w:rsidRDefault="003C122C" w:rsidP="003C122C">
      <w:pPr>
        <w:rPr>
          <w:noProof/>
          <w:color w:val="000000"/>
        </w:rPr>
      </w:pPr>
      <w:r w:rsidRPr="00CB7326">
        <w:rPr>
          <w:noProof/>
          <w:color w:val="000000"/>
        </w:rPr>
        <w:t>Ag féachaint don Chonradh ar Fheidhmiú an Aontais Eorpaigh,</w:t>
      </w:r>
    </w:p>
    <w:p w:rsidR="003C122C" w:rsidRPr="00CB7326" w:rsidRDefault="003C122C" w:rsidP="003C122C">
      <w:pPr>
        <w:rPr>
          <w:noProof/>
          <w:color w:val="000000"/>
        </w:rPr>
      </w:pPr>
      <w:r w:rsidRPr="00CB7326">
        <w:rPr>
          <w:noProof/>
          <w:color w:val="000000"/>
        </w:rPr>
        <w:t>Ag féachaint do Rialachán (AE) Uimh. 575/2013 ó Pharlaimint na hEorpa agus ón gComhairle an 26 Meitheamh 2013 maidir le ceanglais stuamachta i gcomhair institiúidí creidmheasa agus lena leasaítear Rialachán (AE) Uimh. 648/2012</w:t>
      </w:r>
      <w:r w:rsidRPr="00CB7326">
        <w:rPr>
          <w:rStyle w:val="FootnoteReference"/>
          <w:noProof/>
        </w:rPr>
        <w:footnoteReference w:id="1"/>
      </w:r>
      <w:r w:rsidRPr="00CB7326">
        <w:rPr>
          <w:noProof/>
          <w:color w:val="000000"/>
        </w:rPr>
        <w:t>, agus go háirithe Airteagal 434a de,</w:t>
      </w:r>
    </w:p>
    <w:p w:rsidR="003C122C" w:rsidRPr="00CB7326" w:rsidRDefault="003C122C" w:rsidP="004E1EF9">
      <w:pPr>
        <w:rPr>
          <w:noProof/>
        </w:rPr>
      </w:pPr>
      <w:r w:rsidRPr="00CB7326">
        <w:rPr>
          <w:noProof/>
        </w:rPr>
        <w:t>De bharr an mhéid seo a leanas:</w:t>
      </w:r>
    </w:p>
    <w:p w:rsidR="00410340" w:rsidRPr="00CB7326" w:rsidRDefault="006408CD" w:rsidP="006408CD">
      <w:pPr>
        <w:pStyle w:val="ManualConsidrant"/>
        <w:rPr>
          <w:noProof/>
          <w:color w:val="000000"/>
        </w:rPr>
      </w:pPr>
      <w:r w:rsidRPr="006408CD">
        <w:t>(1)</w:t>
      </w:r>
      <w:r w:rsidRPr="006408CD">
        <w:tab/>
      </w:r>
      <w:r w:rsidR="007067A9" w:rsidRPr="00CB7326">
        <w:rPr>
          <w:noProof/>
        </w:rPr>
        <w:t>Sonraítear i Rialachán Cur Chun Feidhme (AE) 2021/637</w:t>
      </w:r>
      <w:r w:rsidR="007067A9" w:rsidRPr="00CB7326">
        <w:rPr>
          <w:rStyle w:val="FootnoteReference"/>
          <w:noProof/>
        </w:rPr>
        <w:footnoteReference w:id="2"/>
      </w:r>
      <w:r w:rsidR="007067A9" w:rsidRPr="00CB7326">
        <w:rPr>
          <w:noProof/>
        </w:rPr>
        <w:t xml:space="preserve"> ón gCoimisiún formáidí aonfhoirmeacha maidir le nochtadh, agus treoracha gaolmhara maidir leis na nochtaí is gá faoi Theidil II agus III de Rialachán (AE) Uimh. 575/2013. Leasaíodh Rialachán (AE) Uimh. 575/2013 le Rialachán (AE) 2019/876</w:t>
      </w:r>
      <w:r w:rsidR="007067A9" w:rsidRPr="00CB7326">
        <w:rPr>
          <w:rStyle w:val="FootnoteReference"/>
          <w:noProof/>
        </w:rPr>
        <w:footnoteReference w:id="3"/>
      </w:r>
      <w:r w:rsidR="007067A9" w:rsidRPr="00CB7326">
        <w:rPr>
          <w:noProof/>
        </w:rPr>
        <w:t xml:space="preserve">, </w:t>
      </w:r>
      <w:r w:rsidR="007067A9" w:rsidRPr="00CB7326">
        <w:rPr>
          <w:i/>
          <w:noProof/>
        </w:rPr>
        <w:t>inter alia</w:t>
      </w:r>
      <w:r w:rsidR="007067A9" w:rsidRPr="00CB7326">
        <w:rPr>
          <w:noProof/>
        </w:rPr>
        <w:t xml:space="preserve"> chun Airteagal 449a nua a thabhairt isteach. Leis an Airteagal sin, ceanglaítear ar institiúidí móra a d’eisigh urrúis a ligtear isteach chun a dtrádála ar mhargadh rialáilte aon Bhallstáit chun faisnéis maidir le rioscaí comhshaoil, sóisialta agus rialachais (ESG), lena </w:t>
      </w:r>
      <w:r w:rsidR="00852C07">
        <w:rPr>
          <w:noProof/>
        </w:rPr>
        <w:t>n</w:t>
      </w:r>
      <w:r w:rsidR="00852C07">
        <w:rPr>
          <w:noProof/>
        </w:rPr>
        <w:noBreakHyphen/>
      </w:r>
      <w:r w:rsidR="007067A9" w:rsidRPr="00CB7326">
        <w:rPr>
          <w:noProof/>
        </w:rPr>
        <w:t>áirítear rioscaí fisiceacha agus rioscaí aistrithe, a nochtadh ón 28 Meitheamh 2022. Ba cheart an leasú sin ar Rialachán (AE) Uimh. 575/2013 a léiriú i Rialachán Cur Chun Feidhme (AE) 2021/637 ón gCoimisiún, agus ba cheart a leagan amach ann, de bhreis ar na formáidí aonfhoirmeacha maidir le nochtadh agus treoracha gaolmhara atá ann cheana, formáidí aonfhoirmeacha breise maidir le nochtadh agus treoracha gaolmhara breise maidir le rioscaí ESG a nochtadh.</w:t>
      </w:r>
    </w:p>
    <w:p w:rsidR="00410340" w:rsidRPr="00CB7326" w:rsidRDefault="006408CD" w:rsidP="006408CD">
      <w:pPr>
        <w:pStyle w:val="ManualConsidrant"/>
        <w:rPr>
          <w:noProof/>
        </w:rPr>
      </w:pPr>
      <w:r w:rsidRPr="006408CD">
        <w:t>(2)</w:t>
      </w:r>
      <w:r w:rsidRPr="006408CD">
        <w:tab/>
      </w:r>
      <w:r w:rsidR="00410340" w:rsidRPr="00CB7326">
        <w:rPr>
          <w:noProof/>
        </w:rPr>
        <w:t xml:space="preserve">Agus formáidí aonfhoirmeacha maidir le nochtadh á leagan síos, ba cheart ábharthacht iomlán na faisnéise atá le nochtadh a chur san áireamh. Ciallaíonn sé sin gur cheart a chumhdach i nochtaí ag institiúidí, ar thaobh amháin, tionchar airgeadais na dtosca ESG ar ghníomhaíochtaí eacnamaíocha agus airgeadais na </w:t>
      </w:r>
      <w:r w:rsidR="00852C07">
        <w:rPr>
          <w:noProof/>
        </w:rPr>
        <w:t>n</w:t>
      </w:r>
      <w:r w:rsidR="00852C07">
        <w:rPr>
          <w:noProof/>
        </w:rPr>
        <w:noBreakHyphen/>
      </w:r>
      <w:r w:rsidR="00410340" w:rsidRPr="00CB7326">
        <w:rPr>
          <w:noProof/>
        </w:rPr>
        <w:t>institiúidí (peirspictíocht sheachtrach), agus, ar an taobh eile, tosca ESG a d</w:t>
      </w:r>
      <w:r w:rsidR="00852C07" w:rsidRPr="00CB7326">
        <w:rPr>
          <w:noProof/>
        </w:rPr>
        <w:t>’</w:t>
      </w:r>
      <w:r w:rsidR="00410340" w:rsidRPr="00CB7326">
        <w:rPr>
          <w:noProof/>
        </w:rPr>
        <w:t xml:space="preserve">fhéadfaí teacht as gníomhaíochtaí na </w:t>
      </w:r>
      <w:r w:rsidR="00852C07">
        <w:rPr>
          <w:noProof/>
        </w:rPr>
        <w:t>n</w:t>
      </w:r>
      <w:r w:rsidR="00852C07">
        <w:rPr>
          <w:noProof/>
        </w:rPr>
        <w:noBreakHyphen/>
      </w:r>
      <w:r w:rsidR="00410340" w:rsidRPr="00CB7326">
        <w:rPr>
          <w:noProof/>
        </w:rPr>
        <w:t xml:space="preserve">institiúidí féin, a ndéantar ábhar airgeadais díobh dá réir sin nuair a dhéanann siad difear do gheallsealbhóirí na </w:t>
      </w:r>
      <w:r w:rsidR="00852C07">
        <w:rPr>
          <w:noProof/>
        </w:rPr>
        <w:t>n</w:t>
      </w:r>
      <w:r w:rsidR="00852C07">
        <w:rPr>
          <w:noProof/>
        </w:rPr>
        <w:noBreakHyphen/>
      </w:r>
      <w:r w:rsidR="00410340" w:rsidRPr="00CB7326">
        <w:rPr>
          <w:noProof/>
        </w:rPr>
        <w:t xml:space="preserve">institiúidí (peirspictíocht inmheánach). Mar thoradh air sin, ba cheart a chur in iúl sna táblaí agus sna teimpléid a úsáidtear don nochtadh sin faisnéis a bheidh sách cuimsitheach agus inchomparáide maidir le rioscaí ESG, agus ar an dóigh sin go mbeidh úsáideoirí na faisnéise sin ábalta measúnú a dhéanamh ar phróifíl riosca na </w:t>
      </w:r>
      <w:r w:rsidR="00852C07">
        <w:rPr>
          <w:noProof/>
        </w:rPr>
        <w:t>n</w:t>
      </w:r>
      <w:r w:rsidR="00852C07">
        <w:rPr>
          <w:noProof/>
        </w:rPr>
        <w:noBreakHyphen/>
      </w:r>
      <w:r w:rsidR="00410340" w:rsidRPr="00CB7326">
        <w:rPr>
          <w:noProof/>
        </w:rPr>
        <w:t>institiúidí.</w:t>
      </w:r>
    </w:p>
    <w:p w:rsidR="00410340" w:rsidRPr="00CB7326" w:rsidRDefault="006408CD" w:rsidP="006408CD">
      <w:pPr>
        <w:pStyle w:val="ManualConsidrant"/>
        <w:rPr>
          <w:noProof/>
        </w:rPr>
      </w:pPr>
      <w:r w:rsidRPr="006408CD">
        <w:t>(3)</w:t>
      </w:r>
      <w:r w:rsidRPr="006408CD">
        <w:tab/>
      </w:r>
      <w:r w:rsidR="00A525E2" w:rsidRPr="00CB7326">
        <w:rPr>
          <w:noProof/>
        </w:rPr>
        <w:t>Is gá comhleanúnachas agus comhsheasmhacht le reachtaíocht eile de chuid an Aontais a áirithiú i réimse na rioscaí ESG. Dá bhrí sin, ba cheart na critéir, na haicmithe agus na sainmhínithe a leagtar síos sa reachtaíocht sin de chuid an Aontais a chur san áireamh sna rialacha maidir le nochtadh rioscaí ESG. Ba cheart a chur san áireamh sna rialacha sin, go háirithe, na critéir chun gníomhaíochtaí eacnamaíocha atá inbhuanaithe ó thaobh an chomhshaoil de a shainaithint agus a aicmiú, mar a leagtar síos i Rialachán (AE) 2020/852 ó Pharlaimint na hEorpa agus ón gComhairle</w:t>
      </w:r>
      <w:r w:rsidR="00A525E2" w:rsidRPr="00CB7326">
        <w:rPr>
          <w:rStyle w:val="FootnoteReference"/>
          <w:noProof/>
        </w:rPr>
        <w:footnoteReference w:id="4"/>
      </w:r>
      <w:r w:rsidR="00A525E2" w:rsidRPr="00CB7326">
        <w:rPr>
          <w:noProof/>
        </w:rPr>
        <w:t xml:space="preserve"> agus i Rialachán Tarmligthe (AE) 2020/1818</w:t>
      </w:r>
      <w:r w:rsidR="00A525E2" w:rsidRPr="00CB7326">
        <w:rPr>
          <w:rStyle w:val="FootnoteReference"/>
          <w:noProof/>
        </w:rPr>
        <w:footnoteReference w:id="5"/>
      </w:r>
      <w:r w:rsidR="00A525E2" w:rsidRPr="00CB7326">
        <w:rPr>
          <w:noProof/>
        </w:rPr>
        <w:t xml:space="preserve"> ón gCoimisiún. Maidir le nochtadh faisnéise faoi fheidhmíocht fuinnimh phunann eastát réadach na </w:t>
      </w:r>
      <w:r w:rsidR="00852C07">
        <w:rPr>
          <w:noProof/>
        </w:rPr>
        <w:t>n</w:t>
      </w:r>
      <w:r w:rsidR="00852C07">
        <w:rPr>
          <w:noProof/>
        </w:rPr>
        <w:noBreakHyphen/>
      </w:r>
      <w:r w:rsidR="00A525E2" w:rsidRPr="00CB7326">
        <w:rPr>
          <w:noProof/>
        </w:rPr>
        <w:t>institiúidí, ba cheart an fhaisnéis arna soláthar sa deimhniú feidhmíochta fuinnimh mar a shainmhínítear i bpointe 12 d</w:t>
      </w:r>
      <w:r w:rsidR="00852C07" w:rsidRPr="00CB7326">
        <w:rPr>
          <w:noProof/>
        </w:rPr>
        <w:t>’</w:t>
      </w:r>
      <w:r w:rsidR="00A525E2" w:rsidRPr="00CB7326">
        <w:rPr>
          <w:noProof/>
        </w:rPr>
        <w:t>Airteagal 2 de Threoir 2010/31/AE ó Pharlaimint na hEorpa agus ón gComhairle</w:t>
      </w:r>
      <w:r w:rsidR="00A525E2" w:rsidRPr="00CB7326">
        <w:rPr>
          <w:rStyle w:val="FootnoteReference"/>
          <w:noProof/>
        </w:rPr>
        <w:footnoteReference w:id="6"/>
      </w:r>
      <w:r w:rsidR="00A525E2" w:rsidRPr="00CB7326">
        <w:rPr>
          <w:noProof/>
        </w:rPr>
        <w:t xml:space="preserve"> a chur san áireamh.</w:t>
      </w:r>
    </w:p>
    <w:p w:rsidR="00135CD4" w:rsidRPr="00CB7326" w:rsidRDefault="006408CD" w:rsidP="006408CD">
      <w:pPr>
        <w:pStyle w:val="ManualConsidrant"/>
        <w:rPr>
          <w:noProof/>
        </w:rPr>
      </w:pPr>
      <w:r w:rsidRPr="006408CD">
        <w:t>(4)</w:t>
      </w:r>
      <w:r w:rsidRPr="006408CD">
        <w:tab/>
      </w:r>
      <w:r w:rsidR="00135CD4" w:rsidRPr="00CB7326">
        <w:rPr>
          <w:noProof/>
        </w:rPr>
        <w:t>Ceanglaítear le hAirteagal 19a agus le hAirteagal 29a de Threoir 2013/34/AE ó Pharlaimint na hEorpa agus ón gComhairle</w:t>
      </w:r>
      <w:r w:rsidR="00135CD4" w:rsidRPr="00CB7326">
        <w:rPr>
          <w:rStyle w:val="FootnoteReference"/>
          <w:noProof/>
        </w:rPr>
        <w:footnoteReference w:id="7"/>
      </w:r>
      <w:r w:rsidR="00135CD4" w:rsidRPr="00CB7326">
        <w:rPr>
          <w:noProof/>
        </w:rPr>
        <w:t xml:space="preserve"> ar ghnóthais mhóra áirithe ar eintitis leasa phoiblí iad, nó ar eintitis leasa phoiblí ar máthairghnóthais de chuid grúpa mór iad, faoi seach, faisnéis a chuimsiú ina dtuarascáil bhainistíochta nó ina dtuarascáil bainistíochta chomhdhlúite maidir le tionchar a ngníomhaíochta ar chúrsaí comhshaoil, sóisialta agus fostaithe, an tionchar ar mheas ar chearta an duine, ar chúrsaí frit</w:t>
      </w:r>
      <w:r w:rsidR="00852C07">
        <w:rPr>
          <w:noProof/>
        </w:rPr>
        <w:t>h</w:t>
      </w:r>
      <w:r w:rsidR="00852C07">
        <w:rPr>
          <w:noProof/>
        </w:rPr>
        <w:noBreakHyphen/>
      </w:r>
      <w:r w:rsidR="00135CD4" w:rsidRPr="00CB7326">
        <w:rPr>
          <w:noProof/>
        </w:rPr>
        <w:t>éillithe agus cúrsaí breabaireachta. Níl feidhm ag an oibleagáid sin maidir le gnóthais eile, áfach. Mar thoradh air sin, ní cheanglaítear ar ghnóthais nach bhfuil faoi réir Airteagal 19a agus Airteagal 29a de Threoir 2013/34/AE faisnéis den sórt sin a nochtadh agus d</w:t>
      </w:r>
      <w:r w:rsidR="00852C07" w:rsidRPr="00CB7326">
        <w:rPr>
          <w:noProof/>
        </w:rPr>
        <w:t>’</w:t>
      </w:r>
      <w:r w:rsidR="00135CD4" w:rsidRPr="00CB7326">
        <w:rPr>
          <w:noProof/>
        </w:rPr>
        <w:t>fhéadfadh sé nach mbeidh siad ábalta faisnéis den sórt sin a sholáthar d</w:t>
      </w:r>
      <w:r w:rsidR="00852C07" w:rsidRPr="00CB7326">
        <w:rPr>
          <w:noProof/>
        </w:rPr>
        <w:t>’</w:t>
      </w:r>
      <w:r w:rsidR="00135CD4" w:rsidRPr="00CB7326">
        <w:rPr>
          <w:noProof/>
        </w:rPr>
        <w:t xml:space="preserve">institiúidí. Ní féidir, dá bhrí sin, a bheith ag súil leis go gcuirfidh na gnóthais sin atá ina gcontrapháirtithe in institiúidí an fhaisnéis agus na sonraí sin ar fáil ach ar bhonn deonach amháin. Mar sin féin, is iomchuí treoraíocht a thabhairt do na gnóthais sin maidir le céatadán na risíochtaí ar ghníomhaíochtaí a ríomh, ar gníomhaíochtaí eacnamaíocha iad atá inbhuanaithe ó thaobh an chomhshaoil de dá dtagraítear in Airteagal 3 de Rialachán (AE) 2020/852, ionas gur féidir an fhaisnéis sin agus na sonraí sin a chur i láthair i bhformáid chaighdeánaithe inchomparáide. I gcás nach gcuirtear an fhaisnéis sin agus na sonraí sin ar fáil go deonach, ba cheart go mbeadh na hinstitiúidí ábalta céatadán na risíochtaí arna </w:t>
      </w:r>
      <w:r w:rsidR="00852C07">
        <w:rPr>
          <w:noProof/>
        </w:rPr>
        <w:t>n</w:t>
      </w:r>
      <w:r w:rsidR="00852C07">
        <w:rPr>
          <w:noProof/>
        </w:rPr>
        <w:noBreakHyphen/>
      </w:r>
      <w:r w:rsidR="00135CD4" w:rsidRPr="00CB7326">
        <w:rPr>
          <w:noProof/>
        </w:rPr>
        <w:t>ailíniú le tacsanomaíocht a ríomh trí mheastacháin nó athróga ionadacha a úsáid.</w:t>
      </w:r>
    </w:p>
    <w:p w:rsidR="00921483" w:rsidRPr="00CB7326" w:rsidRDefault="006408CD" w:rsidP="006408CD">
      <w:pPr>
        <w:pStyle w:val="ManualConsidrant"/>
        <w:rPr>
          <w:noProof/>
        </w:rPr>
      </w:pPr>
      <w:r w:rsidRPr="006408CD">
        <w:t>(5)</w:t>
      </w:r>
      <w:r w:rsidRPr="006408CD">
        <w:tab/>
      </w:r>
      <w:r w:rsidR="00A97285" w:rsidRPr="00CB7326">
        <w:rPr>
          <w:noProof/>
        </w:rPr>
        <w:t>Le hAirteagal 449a de Rialachán (AE) Uimh. 575/2013, ceanglaítear go ndéanfar an fhaisnéis faoi rioscaí ESG a nochtadh ón 28 Meitheamh 2022, ar bhonn bliantúil don chéad bhliain agus ar bhonn leathbhliantúil ina dhiaidh sin. Ar na cúiseanna sin, ba cheart an chéad dáta tagartha bliantúil maidir le nochtadh a leagan síos ón 31 Nollaig 2022 ar aghaidh.</w:t>
      </w:r>
    </w:p>
    <w:p w:rsidR="00ED20D7" w:rsidRPr="00CB7326" w:rsidRDefault="006408CD" w:rsidP="006408CD">
      <w:pPr>
        <w:pStyle w:val="ManualConsidrant"/>
        <w:rPr>
          <w:noProof/>
        </w:rPr>
      </w:pPr>
      <w:r w:rsidRPr="006408CD">
        <w:t>(6)</w:t>
      </w:r>
      <w:r w:rsidRPr="006408CD">
        <w:tab/>
      </w:r>
      <w:r w:rsidR="00410340" w:rsidRPr="00CB7326">
        <w:rPr>
          <w:noProof/>
        </w:rPr>
        <w:t xml:space="preserve">Tá an Rialachán seo bunaithe ar na dréachtchaighdeáin theicniúla cur chun feidhme arna gcur faoi bhráid an Choimisiúin ag an Údarás Baincéireachta Eorpach. </w:t>
      </w:r>
    </w:p>
    <w:p w:rsidR="00410340" w:rsidRPr="00CB7326" w:rsidRDefault="006408CD" w:rsidP="006408CD">
      <w:pPr>
        <w:pStyle w:val="ManualConsidrant"/>
        <w:rPr>
          <w:noProof/>
        </w:rPr>
      </w:pPr>
      <w:r w:rsidRPr="006408CD">
        <w:t>(7)</w:t>
      </w:r>
      <w:r w:rsidRPr="006408CD">
        <w:tab/>
      </w:r>
      <w:r w:rsidR="00ED20D7" w:rsidRPr="00CB7326">
        <w:rPr>
          <w:noProof/>
        </w:rPr>
        <w:t>Rinne an tÚdarás Baincéireachta Eorpach comhairliúcháin phoiblí oscailte a reáchtáil maidir leis na dréachtchaighdeáin theicniúla cur chun feidhme ar a bhfuil an Rialachán seo bunaithe, rinne sé anailís ar na costais agus ar na tairbhí a d’fhéadfadh a bheith ag baint leo agus d’iarr sé comhairle ar an nGrúpa Geallsealbhóirí Baincéireachta arna bhunú i gcomhréir le hAirteagal 37 de Rialachán (AE) Uimh. 1093/2010 ó Pharlaimint na hEorpa agus ón gComhairle</w:t>
      </w:r>
      <w:r w:rsidR="00ED20D7" w:rsidRPr="00CB7326">
        <w:rPr>
          <w:rStyle w:val="FootnoteReference"/>
          <w:noProof/>
        </w:rPr>
        <w:footnoteReference w:id="8"/>
      </w:r>
      <w:r w:rsidR="00ED20D7" w:rsidRPr="00CB7326">
        <w:rPr>
          <w:noProof/>
        </w:rPr>
        <w:t>.</w:t>
      </w:r>
    </w:p>
    <w:p w:rsidR="00410340" w:rsidRPr="00CB7326" w:rsidRDefault="006408CD" w:rsidP="006408CD">
      <w:pPr>
        <w:pStyle w:val="ManualConsidrant"/>
        <w:rPr>
          <w:noProof/>
        </w:rPr>
      </w:pPr>
      <w:r w:rsidRPr="006408CD">
        <w:t>(8)</w:t>
      </w:r>
      <w:r w:rsidRPr="006408CD">
        <w:tab/>
      </w:r>
      <w:r w:rsidR="00410340" w:rsidRPr="00CB7326">
        <w:rPr>
          <w:noProof/>
        </w:rPr>
        <w:t xml:space="preserve">Dá bhrí sin, ba cheart Rialachán Cur Chun Feidhme (AE) </w:t>
      </w:r>
      <w:r w:rsidR="00410340" w:rsidRPr="00CB7326">
        <w:rPr>
          <w:noProof/>
          <w:sz w:val="22"/>
        </w:rPr>
        <w:t>2021/637</w:t>
      </w:r>
      <w:r w:rsidR="00410340" w:rsidRPr="00CB7326">
        <w:rPr>
          <w:noProof/>
        </w:rPr>
        <w:t xml:space="preserve"> a leasú dá réir,</w:t>
      </w:r>
    </w:p>
    <w:p w:rsidR="003C122C" w:rsidRPr="00CB7326" w:rsidRDefault="003C122C" w:rsidP="004E1EF9">
      <w:pPr>
        <w:pStyle w:val="Formuledadoption"/>
        <w:rPr>
          <w:noProof/>
          <w:szCs w:val="24"/>
        </w:rPr>
      </w:pPr>
      <w:r w:rsidRPr="00CB7326">
        <w:rPr>
          <w:noProof/>
        </w:rPr>
        <w:t>TAR ÉIS AN RIALACHÁN SEO A GHLACADH:</w:t>
      </w:r>
    </w:p>
    <w:p w:rsidR="003C122C" w:rsidRPr="00CB7326" w:rsidRDefault="003C122C" w:rsidP="004E1EF9">
      <w:pPr>
        <w:pStyle w:val="Titrearticle"/>
        <w:rPr>
          <w:noProof/>
          <w:szCs w:val="24"/>
        </w:rPr>
      </w:pPr>
      <w:r w:rsidRPr="00CB7326">
        <w:rPr>
          <w:noProof/>
        </w:rPr>
        <w:t>Airteagal 1</w:t>
      </w:r>
    </w:p>
    <w:p w:rsidR="007F4F83" w:rsidRPr="00CB7326" w:rsidRDefault="007F4F83" w:rsidP="00D00193">
      <w:pPr>
        <w:pStyle w:val="Titrearticle"/>
        <w:spacing w:before="120"/>
        <w:rPr>
          <w:b/>
          <w:i w:val="0"/>
          <w:noProof/>
          <w:szCs w:val="24"/>
        </w:rPr>
      </w:pPr>
      <w:r w:rsidRPr="00CB7326">
        <w:rPr>
          <w:b/>
          <w:i w:val="0"/>
          <w:noProof/>
        </w:rPr>
        <w:t>Leasuithe ar Rialachán Cur Chun Feidhme (AE) 2021/637</w:t>
      </w:r>
    </w:p>
    <w:p w:rsidR="007F4F83" w:rsidRPr="00CB7326" w:rsidRDefault="007F4F83" w:rsidP="007F4F83">
      <w:pPr>
        <w:pStyle w:val="Titrearticle"/>
        <w:jc w:val="left"/>
        <w:rPr>
          <w:rFonts w:eastAsiaTheme="minorEastAsia"/>
          <w:i w:val="0"/>
          <w:noProof/>
          <w:szCs w:val="24"/>
        </w:rPr>
      </w:pPr>
      <w:r w:rsidRPr="00CB7326">
        <w:rPr>
          <w:i w:val="0"/>
          <w:noProof/>
        </w:rPr>
        <w:t>Leasaítear Rialachán Cur Chun Feidhme (AE) 2021/637 mar a leanas:</w:t>
      </w:r>
    </w:p>
    <w:p w:rsidR="007F4F83" w:rsidRPr="00CB7326" w:rsidRDefault="006408CD" w:rsidP="006408CD">
      <w:pPr>
        <w:pStyle w:val="Point0"/>
        <w:rPr>
          <w:noProof/>
        </w:rPr>
      </w:pPr>
      <w:r w:rsidRPr="006408CD">
        <w:t>(1)</w:t>
      </w:r>
      <w:r w:rsidRPr="006408CD">
        <w:tab/>
      </w:r>
      <w:r w:rsidR="007F4F83" w:rsidRPr="00CB7326">
        <w:rPr>
          <w:noProof/>
        </w:rPr>
        <w:t>cuirtear isteach an tAirteagal 18a seo a leanas:</w:t>
      </w:r>
    </w:p>
    <w:p w:rsidR="007F4F83" w:rsidRPr="00CB7326" w:rsidRDefault="006542E5" w:rsidP="004046D9">
      <w:pPr>
        <w:pStyle w:val="Titrearticle"/>
        <w:spacing w:before="120"/>
        <w:ind w:left="567" w:right="568"/>
        <w:rPr>
          <w:noProof/>
        </w:rPr>
      </w:pPr>
      <w:r w:rsidRPr="00CB7326">
        <w:rPr>
          <w:noProof/>
        </w:rPr>
        <w:t>‘Airteagal 18a</w:t>
      </w:r>
    </w:p>
    <w:p w:rsidR="007F4F83" w:rsidRPr="00CB7326" w:rsidRDefault="007F4F83" w:rsidP="004046D9">
      <w:pPr>
        <w:pStyle w:val="Titrearticle"/>
        <w:spacing w:before="120"/>
        <w:ind w:left="567" w:right="568"/>
        <w:rPr>
          <w:b/>
          <w:i w:val="0"/>
          <w:noProof/>
        </w:rPr>
      </w:pPr>
      <w:r w:rsidRPr="00CB7326">
        <w:rPr>
          <w:b/>
          <w:i w:val="0"/>
          <w:noProof/>
        </w:rPr>
        <w:t>Rioscaí comhshaoil, sóisialta, agus rialachais (rioscaí ESG) a nochtadh</w:t>
      </w:r>
    </w:p>
    <w:p w:rsidR="007F4F83" w:rsidRPr="00CB7326" w:rsidRDefault="006408CD" w:rsidP="006408CD">
      <w:pPr>
        <w:pStyle w:val="ManualNumPar1"/>
        <w:rPr>
          <w:noProof/>
        </w:rPr>
      </w:pPr>
      <w:r w:rsidRPr="006408CD">
        <w:t>1.</w:t>
      </w:r>
      <w:r w:rsidRPr="006408CD">
        <w:tab/>
      </w:r>
      <w:r w:rsidR="007F4F83" w:rsidRPr="00CB7326">
        <w:rPr>
          <w:noProof/>
        </w:rPr>
        <w:t>Déanfaidh institiúidí an fhaisnéis dá dtagraítear in Airteagal 449a de Rialachán (AE) Uimh. 575/2013 a nochtadh mar a leanas:</w:t>
      </w:r>
    </w:p>
    <w:p w:rsidR="002D1236" w:rsidRPr="00CB7326" w:rsidRDefault="006408CD" w:rsidP="006408CD">
      <w:pPr>
        <w:pStyle w:val="Point1"/>
        <w:rPr>
          <w:noProof/>
        </w:rPr>
      </w:pPr>
      <w:r w:rsidRPr="006408CD">
        <w:t>(a)</w:t>
      </w:r>
      <w:r w:rsidRPr="006408CD">
        <w:tab/>
      </w:r>
      <w:r w:rsidR="002D1236" w:rsidRPr="00CB7326">
        <w:rPr>
          <w:noProof/>
        </w:rPr>
        <w:t>faisnéis cháilíochtúil faoi rioscaí comhshaoil, sóisialta agus rialachais trí úsáid a bhaint as táblaí 1, 2 agus 3 d’Iarscríbhinn XXXIX a ghabhann leis an Rialachán seo agus trí na treoracha a leagtar amach in Iarscríbhinn XL a ghabhann leis an Rialachán seo a leanúint;</w:t>
      </w:r>
    </w:p>
    <w:p w:rsidR="002D1236" w:rsidRPr="00CB7326" w:rsidRDefault="006408CD" w:rsidP="006408CD">
      <w:pPr>
        <w:pStyle w:val="Point1"/>
        <w:rPr>
          <w:noProof/>
        </w:rPr>
      </w:pPr>
      <w:r w:rsidRPr="006408CD">
        <w:t>(b)</w:t>
      </w:r>
      <w:r w:rsidRPr="006408CD">
        <w:tab/>
      </w:r>
      <w:r w:rsidR="002D1236" w:rsidRPr="00CB7326">
        <w:rPr>
          <w:noProof/>
        </w:rPr>
        <w:t>faisnéis chainníochtúil faoi riosca aistrithe an athraithe aeráide trí úsáid a bhaint as Teimpléid 1 go 4 d’Iarscríbhinn XXXIX a ghabhann leis an Rialachán seo agus trí na treoracha a leagtar amach in Iarscríbhinn XL a ghabhann leis an Rialachán seo a leanúint;</w:t>
      </w:r>
    </w:p>
    <w:p w:rsidR="002D1236" w:rsidRPr="00CB7326" w:rsidRDefault="006408CD" w:rsidP="006408CD">
      <w:pPr>
        <w:pStyle w:val="Point1"/>
        <w:rPr>
          <w:noProof/>
        </w:rPr>
      </w:pPr>
      <w:r w:rsidRPr="006408CD">
        <w:t>(c)</w:t>
      </w:r>
      <w:r w:rsidRPr="006408CD">
        <w:tab/>
      </w:r>
      <w:r w:rsidR="002D1236" w:rsidRPr="00CB7326">
        <w:rPr>
          <w:noProof/>
        </w:rPr>
        <w:t>faisnéis chainníochtúil faoi rioscaí fisiceacha an athraithe aeráide trí úsáid a bhaint as Teimpléad 5 d</w:t>
      </w:r>
      <w:r w:rsidR="00852C07" w:rsidRPr="00CB7326">
        <w:rPr>
          <w:noProof/>
        </w:rPr>
        <w:t>’</w:t>
      </w:r>
      <w:r w:rsidR="002D1236" w:rsidRPr="00CB7326">
        <w:rPr>
          <w:noProof/>
        </w:rPr>
        <w:t>Iarscríbhinn XXXIX a ghabhann leis an Rialachán seo agus trí na treoracha a leagtar amach in Iarscríbhinn XL a ghabhann leis an Rialachán seo a leanúint;</w:t>
      </w:r>
    </w:p>
    <w:p w:rsidR="002D1236" w:rsidRPr="00CB7326" w:rsidRDefault="006408CD" w:rsidP="006408CD">
      <w:pPr>
        <w:pStyle w:val="Point1"/>
        <w:rPr>
          <w:noProof/>
        </w:rPr>
      </w:pPr>
      <w:r w:rsidRPr="006408CD">
        <w:t>(d)</w:t>
      </w:r>
      <w:r w:rsidRPr="006408CD">
        <w:tab/>
      </w:r>
      <w:r w:rsidR="002D1236" w:rsidRPr="00CB7326">
        <w:rPr>
          <w:noProof/>
        </w:rPr>
        <w:t xml:space="preserve">faisnéis chainníochtúil faoi na gníomhaíochtaí maolaithe a bhaineann le gníomhaíochtaí eacnamaíocha a cháilíonn mar ghníomhaíochtaí atá inbhuanaithe ó thaobh an chomhshaoil de faoi Airteagal 3 de Rialachán (AE) 2020/852 ó Pharlaimint na hEorpa agus ón gComhairle*1 i leith na gcontrapháirtithe sin atá faoi réir Airteagal 19a nó Airteagal 29a de Threoir 2013/34/AE ó Pharlaimint na hEorpa agus ón gComhairle *2, i leith </w:t>
      </w:r>
      <w:bookmarkStart w:id="1" w:name="_Hlk92470586"/>
      <w:r w:rsidR="002D1236" w:rsidRPr="00CB7326">
        <w:rPr>
          <w:noProof/>
        </w:rPr>
        <w:t>teaghlach, agus i leith rialtais áitiúla</w:t>
      </w:r>
      <w:bookmarkEnd w:id="1"/>
      <w:r w:rsidR="002D1236" w:rsidRPr="00CB7326">
        <w:rPr>
          <w:noProof/>
        </w:rPr>
        <w:t xml:space="preserve"> dá dtagraítear i gCuid 1, pointe 42(b), d</w:t>
      </w:r>
      <w:r w:rsidR="00852C07" w:rsidRPr="00CB7326">
        <w:rPr>
          <w:noProof/>
        </w:rPr>
        <w:t>’</w:t>
      </w:r>
      <w:r w:rsidR="002D1236" w:rsidRPr="00CB7326">
        <w:rPr>
          <w:noProof/>
        </w:rPr>
        <w:t>Iarscríbhinn V a ghabhann le Rialachán Cur Chun Feidhme (AE) 2021/451*3 ón gCoimisiún, trí úsáid a bhaint as Teimpléid 6, 7 agus 8 d</w:t>
      </w:r>
      <w:r w:rsidR="00852C07" w:rsidRPr="00CB7326">
        <w:rPr>
          <w:noProof/>
        </w:rPr>
        <w:t>’</w:t>
      </w:r>
      <w:r w:rsidR="002D1236" w:rsidRPr="00CB7326">
        <w:rPr>
          <w:noProof/>
        </w:rPr>
        <w:t>Iarscríbhinn XXXIX a ghabhann leis an Rialachán seo agus trí na treoracha a leagtar amach in Iarscríbhinn XL a ghabhann leis an Rialachán seo a leanúint;</w:t>
      </w:r>
    </w:p>
    <w:p w:rsidR="00995098" w:rsidRPr="00CB7326" w:rsidRDefault="006408CD" w:rsidP="006408CD">
      <w:pPr>
        <w:pStyle w:val="Point1"/>
        <w:rPr>
          <w:noProof/>
        </w:rPr>
      </w:pPr>
      <w:r w:rsidRPr="006408CD">
        <w:t>(e)</w:t>
      </w:r>
      <w:r w:rsidRPr="006408CD">
        <w:tab/>
      </w:r>
      <w:r w:rsidR="00995098" w:rsidRPr="00CB7326">
        <w:rPr>
          <w:noProof/>
        </w:rPr>
        <w:t>faisnéis chainníochtúil faoi ghníomhaíochtaí maolaithe agus risíochtaí eile ar rioscaí a bhaineann leis an athrú aeráide nach gcáilíonn mar ghníomhaíochtaí eacnamaíocha atá inbhuanaithe ó thaobh an chomhshaoil de faoi Airteagal 3 de Rialachán (AE) 2020/852 ach a thacaíonn le contrapháirtithe sa phróiseas aistrithe nó oiriúnaithe chun na cuspóirí um maolú ar an athrú aeráide agus um oiriúnú don athrú aeráide a bhaint amach, trí úsáid a bhaint as Teimpléad 10 d</w:t>
      </w:r>
      <w:r w:rsidR="00852C07" w:rsidRPr="00CB7326">
        <w:rPr>
          <w:noProof/>
        </w:rPr>
        <w:t>’</w:t>
      </w:r>
      <w:r w:rsidR="00995098" w:rsidRPr="00CB7326">
        <w:rPr>
          <w:noProof/>
        </w:rPr>
        <w:t>Iarscríbhinn XXXIX a ghabhann leis an Rialachán seo agus trí na treoracha a leagtar amach in Iarscríbhinn XL a ghabhann leis an Rialachán seo a leanúint.</w:t>
      </w:r>
    </w:p>
    <w:p w:rsidR="008D2E23" w:rsidRPr="00CB7326" w:rsidRDefault="006408CD" w:rsidP="006408CD">
      <w:pPr>
        <w:pStyle w:val="ManualNumPar1"/>
        <w:rPr>
          <w:noProof/>
        </w:rPr>
      </w:pPr>
      <w:r w:rsidRPr="006408CD">
        <w:t>2.</w:t>
      </w:r>
      <w:r w:rsidRPr="006408CD">
        <w:tab/>
      </w:r>
      <w:r w:rsidR="000941B5" w:rsidRPr="00CB7326">
        <w:rPr>
          <w:noProof/>
        </w:rPr>
        <w:t xml:space="preserve">Féadfaidh institiúidí a roghnú faisnéis chainníochtúil a nochtadh faoi ghníomhaíochtaí maolaithe agus risíochtaí ar rioscaí a bhaineann leis an athrú aeráide agus a bhaineann le gníomhaíochtaí eacnamaíocha a cháilíonn mar ghníomhaíochtaí atá inbhuanaithe ó thaobh an chomhshaoil de faoi Airteagal 3 de Rialachán (AE) 2020/852, i leith </w:t>
      </w:r>
      <w:bookmarkStart w:id="2" w:name="_Hlk92470606"/>
      <w:r w:rsidR="000941B5" w:rsidRPr="00CB7326">
        <w:rPr>
          <w:noProof/>
        </w:rPr>
        <w:t>contrapháirtithe ar corparáidí neamhairgeadais iad</w:t>
      </w:r>
      <w:bookmarkEnd w:id="2"/>
      <w:r w:rsidR="000941B5" w:rsidRPr="00CB7326">
        <w:rPr>
          <w:noProof/>
        </w:rPr>
        <w:t xml:space="preserve"> dá dtagraítear i gCuid 1, pointe 42(e) d</w:t>
      </w:r>
      <w:r w:rsidR="00852C07" w:rsidRPr="00CB7326">
        <w:rPr>
          <w:noProof/>
        </w:rPr>
        <w:t>’</w:t>
      </w:r>
      <w:r w:rsidR="000941B5" w:rsidRPr="00CB7326">
        <w:rPr>
          <w:noProof/>
        </w:rPr>
        <w:t xml:space="preserve">Iarscríbhinn V a ghabhann le Rialachán Cur Chun Feidhme (AE) 2021/451, nach bhfuil faoi réir na </w:t>
      </w:r>
      <w:r w:rsidR="00852C07">
        <w:rPr>
          <w:noProof/>
        </w:rPr>
        <w:t>n</w:t>
      </w:r>
      <w:r w:rsidR="00852C07">
        <w:rPr>
          <w:noProof/>
        </w:rPr>
        <w:noBreakHyphen/>
      </w:r>
      <w:r w:rsidR="000941B5" w:rsidRPr="00CB7326">
        <w:rPr>
          <w:noProof/>
        </w:rPr>
        <w:t xml:space="preserve">oibleagáidí maidir le nochtadh a leagtar síos in Airteagal 19a nó in Airteagal 29a de Threoir 2013/34/AE agus nach bhfuil faoi réir na </w:t>
      </w:r>
      <w:r w:rsidR="00852C07">
        <w:rPr>
          <w:noProof/>
        </w:rPr>
        <w:t>n</w:t>
      </w:r>
      <w:r w:rsidR="00852C07">
        <w:rPr>
          <w:noProof/>
        </w:rPr>
        <w:noBreakHyphen/>
      </w:r>
      <w:r w:rsidR="000941B5" w:rsidRPr="00CB7326">
        <w:rPr>
          <w:noProof/>
        </w:rPr>
        <w:t>oibleagáidí maidir le nochtadh a leagtar síos i Rialachán Cur Chun Feidhme (AE) 2021/2178 ón gCoimisiún</w:t>
      </w:r>
      <w:r w:rsidR="000941B5" w:rsidRPr="00CB7326">
        <w:rPr>
          <w:noProof/>
          <w:vertAlign w:val="superscript"/>
        </w:rPr>
        <w:t>*4</w:t>
      </w:r>
      <w:r w:rsidR="000941B5" w:rsidRPr="00CB7326">
        <w:rPr>
          <w:noProof/>
        </w:rPr>
        <w:t>, trí úsáid a bhaint as Teimpléad 9 d</w:t>
      </w:r>
      <w:r w:rsidR="00852C07" w:rsidRPr="00CB7326">
        <w:rPr>
          <w:noProof/>
        </w:rPr>
        <w:t>’</w:t>
      </w:r>
      <w:r w:rsidR="000941B5" w:rsidRPr="00CB7326">
        <w:rPr>
          <w:noProof/>
        </w:rPr>
        <w:t xml:space="preserve">Iarscríbhinn XXXIX a ghabhann leis an Rialachán seo agus trí na treoracha a leagtar amach in Iarscríbhinn XL a ghabhann leis an Rialachán seo a leanúint. </w:t>
      </w:r>
    </w:p>
    <w:p w:rsidR="002D1236" w:rsidRPr="00CB7326" w:rsidRDefault="002D1236" w:rsidP="00353D88">
      <w:pPr>
        <w:pStyle w:val="Text1"/>
        <w:rPr>
          <w:noProof/>
        </w:rPr>
      </w:pPr>
      <w:r w:rsidRPr="00CB7326">
        <w:rPr>
          <w:noProof/>
        </w:rPr>
        <w:t>Chun céatadán na risíochtaí ar ghníomhaíochtaí a chomhlíonann na ceanglais a leagtar síos in Airteagal 3 de Rialachán (AE) 2020/852 (risíochtaí atá ailínithe le tacsanomaíocht) i leith na gcontrapháirtithe sin a ríomh, déanfaidh institiúidí an méid seo a leanas:</w:t>
      </w:r>
    </w:p>
    <w:p w:rsidR="00D23734" w:rsidRPr="00CB7326" w:rsidRDefault="006408CD" w:rsidP="006408CD">
      <w:pPr>
        <w:pStyle w:val="Point1"/>
        <w:rPr>
          <w:noProof/>
        </w:rPr>
      </w:pPr>
      <w:r w:rsidRPr="006408CD">
        <w:t>(a)</w:t>
      </w:r>
      <w:r w:rsidRPr="006408CD">
        <w:tab/>
      </w:r>
      <w:r w:rsidR="008E7D06" w:rsidRPr="00CB7326">
        <w:rPr>
          <w:noProof/>
        </w:rPr>
        <w:t>féadfaidh siad, i gcás ina mbeidh fáil uirthi, an fhaisnéis a úsáid a fuarthas óna gcontrapháirtithe ar bhonn deonach agus déthaobhach trí thionscnamh na hiasachta, agus trí phróisis athbhreithnithe agus faireacháin rialta creidmheasa;</w:t>
      </w:r>
    </w:p>
    <w:p w:rsidR="00D23734" w:rsidRPr="00CB7326" w:rsidRDefault="006408CD" w:rsidP="006408CD">
      <w:pPr>
        <w:pStyle w:val="Point1"/>
        <w:rPr>
          <w:noProof/>
        </w:rPr>
      </w:pPr>
      <w:r w:rsidRPr="006408CD">
        <w:t>(b)</w:t>
      </w:r>
      <w:r w:rsidRPr="006408CD">
        <w:tab/>
      </w:r>
      <w:r w:rsidR="00B25755" w:rsidRPr="00CB7326">
        <w:rPr>
          <w:noProof/>
        </w:rPr>
        <w:t>i gcás nach bhfuil an contrapháirtí ábalta nó toilteanach na sonraí lena mbaineann a sholáthar ar bhonn déthaobhach, féadfaidh siad meastacháin agus athróga ionadacha inmheánacha a úsáid agus míniú a thabhairt san insint a ghabhann leis an teimpléad ar a mhéid a úsáideadh na meastacháin agus athróga ionadacha inmheánacha sin, agus míniú ar cé acu na meastacháin agus na hathróga ionadacha inmheánacha a cuireadh i bhfeidhm;</w:t>
      </w:r>
    </w:p>
    <w:p w:rsidR="002D1236" w:rsidRPr="00CB7326" w:rsidRDefault="006408CD" w:rsidP="006408CD">
      <w:pPr>
        <w:pStyle w:val="Point1"/>
        <w:rPr>
          <w:noProof/>
        </w:rPr>
      </w:pPr>
      <w:r w:rsidRPr="006408CD">
        <w:t>(c)</w:t>
      </w:r>
      <w:r w:rsidRPr="006408CD">
        <w:tab/>
      </w:r>
      <w:r w:rsidR="00D23734" w:rsidRPr="00CB7326">
        <w:rPr>
          <w:noProof/>
        </w:rPr>
        <w:t>i gcás nach mbeidh siad ábalta an fhaisnéis lena mbaineann a bhailiú ar bhonn déthaobhach, nó nach mbeidh siad ábalta meastacháin agus athróga ionadacha inmheánacha a úsáid, nó nach mbeidh siad ábalta an fhaisnéis sin a bhailiú nó na meastacháin agus na hathróga ionadacha sin a úsáid ar bhealach nach mbeidh ródhian orthu féin nó ar a gcontrapháirtithe, féadfaidh siad an neamhábaltacht sin a mhíniú san insint a ghabhann leis an teimpléad.</w:t>
      </w:r>
    </w:p>
    <w:p w:rsidR="00320B78" w:rsidRPr="00CB7326" w:rsidRDefault="00320B78" w:rsidP="00353D88">
      <w:pPr>
        <w:pStyle w:val="Text1"/>
        <w:rPr>
          <w:noProof/>
        </w:rPr>
      </w:pPr>
      <w:r w:rsidRPr="00CB7326">
        <w:rPr>
          <w:noProof/>
        </w:rPr>
        <w:t>Chun críocha phointe (a), cuirfidh institiúidí a gcontrapháirtithe ar an eolas go bhfuil soláthar na faisnéise sin deonach.</w:t>
      </w:r>
    </w:p>
    <w:p w:rsidR="007F4F83" w:rsidRPr="00CB7326" w:rsidRDefault="006408CD" w:rsidP="006408CD">
      <w:pPr>
        <w:pStyle w:val="ManualNumPar1"/>
        <w:rPr>
          <w:noProof/>
        </w:rPr>
      </w:pPr>
      <w:r w:rsidRPr="006408CD">
        <w:t>3.</w:t>
      </w:r>
      <w:r w:rsidRPr="006408CD">
        <w:tab/>
      </w:r>
      <w:r w:rsidR="006B71ED" w:rsidRPr="00CB7326">
        <w:rPr>
          <w:noProof/>
        </w:rPr>
        <w:t>Mura léirítear a mhalairt sna treoracha a leagtar amach in Iarscríbhinn XL a ghabhann leis an Rialachán seo, déanfaidh institiúidí, ón 31 Nollaig 2022 ar aghaidh, an fhaisnéis dá dtagraítear in Airteagal 449a de Rialachán (AE) Uimh. 575/2013 a nochtadh ar na dátaí seo a leanas:</w:t>
      </w:r>
    </w:p>
    <w:p w:rsidR="007F4F83" w:rsidRPr="00CB7326" w:rsidRDefault="006408CD" w:rsidP="006408CD">
      <w:pPr>
        <w:pStyle w:val="Point1"/>
        <w:rPr>
          <w:noProof/>
        </w:rPr>
      </w:pPr>
      <w:r w:rsidRPr="006408CD">
        <w:t>(a)</w:t>
      </w:r>
      <w:r w:rsidRPr="006408CD">
        <w:tab/>
      </w:r>
      <w:r w:rsidR="007F4F83" w:rsidRPr="00CB7326">
        <w:rPr>
          <w:noProof/>
        </w:rPr>
        <w:t>maidir le nochtaí bliantúla: an 31 Nollaig;</w:t>
      </w:r>
    </w:p>
    <w:p w:rsidR="00D01D57" w:rsidRPr="00CB7326" w:rsidRDefault="006408CD" w:rsidP="006408CD">
      <w:pPr>
        <w:pStyle w:val="Point1"/>
        <w:rPr>
          <w:noProof/>
        </w:rPr>
      </w:pPr>
      <w:r w:rsidRPr="006408CD">
        <w:t>(b)</w:t>
      </w:r>
      <w:r w:rsidRPr="006408CD">
        <w:tab/>
      </w:r>
      <w:r w:rsidR="007F4F83" w:rsidRPr="00CB7326">
        <w:rPr>
          <w:noProof/>
        </w:rPr>
        <w:t>maidir le nochtaí leathbhliantúla: an 30 Meitheamh agus an 31 Nollaig gach bliain.</w:t>
      </w:r>
    </w:p>
    <w:p w:rsidR="00086FAB" w:rsidRPr="00CB7326" w:rsidRDefault="001904B5" w:rsidP="0087679B">
      <w:pPr>
        <w:pStyle w:val="Text2"/>
        <w:rPr>
          <w:noProof/>
        </w:rPr>
      </w:pPr>
      <w:r w:rsidRPr="00CB7326">
        <w:rPr>
          <w:noProof/>
        </w:rPr>
        <w:tab/>
        <w:t>___________</w:t>
      </w:r>
    </w:p>
    <w:p w:rsidR="00086FAB" w:rsidRPr="00CB7326" w:rsidRDefault="00086FAB" w:rsidP="0087679B">
      <w:pPr>
        <w:pStyle w:val="Text3"/>
        <w:rPr>
          <w:noProof/>
          <w:sz w:val="20"/>
          <w:szCs w:val="20"/>
        </w:rPr>
      </w:pPr>
      <w:r w:rsidRPr="00CB7326">
        <w:rPr>
          <w:noProof/>
          <w:sz w:val="20"/>
          <w:vertAlign w:val="superscript"/>
        </w:rPr>
        <w:t>*1</w:t>
      </w:r>
      <w:r w:rsidRPr="00CB7326">
        <w:rPr>
          <w:noProof/>
        </w:rPr>
        <w:tab/>
      </w:r>
      <w:r w:rsidRPr="00CB7326">
        <w:rPr>
          <w:noProof/>
          <w:sz w:val="20"/>
        </w:rPr>
        <w:t>Rialachán (AE) 2020/852 ó Pharlaimint na hEorpa agus ón gComhairle an 18 Meitheamh 2020 maidir le creat a bhunú chun infheistíocht inbhuanaithe a éascú agus lena leasaítear Rialachán (AE). 2019/2088</w:t>
      </w:r>
      <w:r w:rsidR="00852C07">
        <w:rPr>
          <w:noProof/>
          <w:sz w:val="20"/>
        </w:rPr>
        <w:t xml:space="preserve"> (IO </w:t>
      </w:r>
      <w:r w:rsidRPr="00CB7326">
        <w:rPr>
          <w:noProof/>
          <w:sz w:val="20"/>
        </w:rPr>
        <w:t>L 198, 22.6.2020, lch. 13).</w:t>
      </w:r>
    </w:p>
    <w:p w:rsidR="00086FAB" w:rsidRPr="00CB7326" w:rsidRDefault="00086FAB" w:rsidP="004F6722">
      <w:pPr>
        <w:pStyle w:val="Text3"/>
        <w:rPr>
          <w:noProof/>
          <w:sz w:val="20"/>
          <w:szCs w:val="20"/>
        </w:rPr>
      </w:pPr>
      <w:r w:rsidRPr="00CB7326">
        <w:rPr>
          <w:noProof/>
          <w:sz w:val="20"/>
          <w:vertAlign w:val="superscript"/>
        </w:rPr>
        <w:t>*2</w:t>
      </w:r>
      <w:r w:rsidRPr="00CB7326">
        <w:rPr>
          <w:noProof/>
        </w:rPr>
        <w:tab/>
      </w:r>
      <w:r w:rsidRPr="00CB7326">
        <w:rPr>
          <w:noProof/>
          <w:sz w:val="20"/>
        </w:rPr>
        <w:t>Treoir 2013/34/AE ó Pharlaimint na hEorpa agus ón gComhairle an 26 Meitheamh 2013 maidir le ráitis airgeadais bhliantúla, ráitis airgeadais chomhdhlúite agus tuarascálacha gaolmhara de chineálacha áirithe gnóthas, lena leasaítear Treoir 2006/43/CE ó Pharlaimint na hEorpa agus ón gComhairle agus lena n‐aisghairtear Treoracha 78/660/CEE agus 83/349/CEE ón gComhairle (IO</w:t>
      </w:r>
      <w:r w:rsidR="00852C07" w:rsidRPr="00852C07">
        <w:rPr>
          <w:noProof/>
          <w:sz w:val="20"/>
        </w:rPr>
        <w:t> </w:t>
      </w:r>
      <w:r w:rsidRPr="00CB7326">
        <w:rPr>
          <w:noProof/>
          <w:sz w:val="20"/>
        </w:rPr>
        <w:t>L 182 29.6.2013, lch. 19).</w:t>
      </w:r>
    </w:p>
    <w:p w:rsidR="00086FAB" w:rsidRPr="00CB7326" w:rsidRDefault="00086FAB" w:rsidP="0087679B">
      <w:pPr>
        <w:pStyle w:val="Text3"/>
        <w:rPr>
          <w:noProof/>
          <w:sz w:val="20"/>
          <w:szCs w:val="20"/>
        </w:rPr>
      </w:pPr>
      <w:r w:rsidRPr="00CB7326">
        <w:rPr>
          <w:noProof/>
          <w:sz w:val="20"/>
          <w:vertAlign w:val="superscript"/>
        </w:rPr>
        <w:t>*3</w:t>
      </w:r>
      <w:r w:rsidRPr="00CB7326">
        <w:rPr>
          <w:noProof/>
        </w:rPr>
        <w:tab/>
      </w:r>
      <w:r w:rsidRPr="00CB7326">
        <w:rPr>
          <w:noProof/>
          <w:sz w:val="20"/>
        </w:rPr>
        <w:t xml:space="preserve">Rialachán Cur Chun Feidhme (AE) 2021/451 ón gCoimisiún an 17 Nollaig 2020 lena leagtar síos caighdeáin theicniúla cur chun feidhme i dtaca le cur i bhfeidhm Rialachán (AE) Uimh. 575/2013 ó Pharlaimint na hEorpa agus ón gComhairle maidir le tuairisciú maoirseachta institiúidí agus lena </w:t>
      </w:r>
      <w:r w:rsidR="00852C07">
        <w:rPr>
          <w:noProof/>
          <w:sz w:val="20"/>
        </w:rPr>
        <w:t>n</w:t>
      </w:r>
      <w:r w:rsidR="00852C07">
        <w:rPr>
          <w:noProof/>
          <w:sz w:val="20"/>
        </w:rPr>
        <w:noBreakHyphen/>
      </w:r>
      <w:r w:rsidRPr="00CB7326">
        <w:rPr>
          <w:noProof/>
          <w:sz w:val="20"/>
        </w:rPr>
        <w:t>aisghairtear Rialachán Cur Chun Feidhme (AE</w:t>
      </w:r>
      <w:r w:rsidR="00852C07">
        <w:rPr>
          <w:noProof/>
          <w:sz w:val="20"/>
        </w:rPr>
        <w:t>) Uimh. 680/2014 (IO </w:t>
      </w:r>
      <w:r w:rsidRPr="00CB7326">
        <w:rPr>
          <w:noProof/>
          <w:sz w:val="20"/>
        </w:rPr>
        <w:t>L 97, 19.3.2021, lch. 1).</w:t>
      </w:r>
    </w:p>
    <w:p w:rsidR="00086FAB" w:rsidRPr="00CB7326" w:rsidRDefault="00086FAB" w:rsidP="0087679B">
      <w:pPr>
        <w:pStyle w:val="Text3"/>
        <w:rPr>
          <w:noProof/>
          <w:sz w:val="20"/>
          <w:szCs w:val="20"/>
        </w:rPr>
      </w:pPr>
      <w:r w:rsidRPr="00CB7326">
        <w:rPr>
          <w:noProof/>
          <w:sz w:val="20"/>
          <w:vertAlign w:val="superscript"/>
        </w:rPr>
        <w:t>*4</w:t>
      </w:r>
      <w:r w:rsidRPr="00CB7326">
        <w:rPr>
          <w:noProof/>
        </w:rPr>
        <w:tab/>
      </w:r>
      <w:r w:rsidRPr="00CB7326">
        <w:rPr>
          <w:noProof/>
          <w:sz w:val="20"/>
        </w:rPr>
        <w:t>Rialachán Tarmligthe (AE) 2021/2178 ón gCoimisiún an 6 Iúil 2021 lena bhforlíontar Rialachán (AE) 2020/852 ó Pharlaimint na hEorpa agus ón gComhairle trí ábhar agus cur i láthair na faisnéise atá le nochtadh ag gnóthais faoi réir Airteagal 19a agus Airteagal 29a de Threoir 2013/34/AE a bhaineann le gníomhaíochtaí atá inbhuanaithe ó thaobh an chomhshaoil de a shonrú, agus lena sonraítear an mhodheolaíocht chun an oibleagáid nochta sin a chomhlíonadh (IO</w:t>
      </w:r>
      <w:r w:rsidR="00852C07" w:rsidRPr="00852C07">
        <w:rPr>
          <w:noProof/>
          <w:sz w:val="20"/>
        </w:rPr>
        <w:t> </w:t>
      </w:r>
      <w:r w:rsidRPr="00CB7326">
        <w:rPr>
          <w:noProof/>
          <w:sz w:val="20"/>
        </w:rPr>
        <w:t>L 443, 10.12.2021, lch. 9).</w:t>
      </w:r>
    </w:p>
    <w:p w:rsidR="007F4F83" w:rsidRPr="00CB7326" w:rsidRDefault="006408CD" w:rsidP="006408CD">
      <w:pPr>
        <w:pStyle w:val="Point0"/>
        <w:rPr>
          <w:noProof/>
        </w:rPr>
      </w:pPr>
      <w:r w:rsidRPr="006408CD">
        <w:t>(2)</w:t>
      </w:r>
      <w:r w:rsidRPr="006408CD">
        <w:tab/>
      </w:r>
      <w:r w:rsidR="00921483" w:rsidRPr="00CB7326">
        <w:rPr>
          <w:noProof/>
        </w:rPr>
        <w:t xml:space="preserve">cuirtear an téacs a leagtar amach in Iarscríbhinn I a ghabhann leis an Rialachán seo leis mar Iarscríbhinn XXXIX; </w:t>
      </w:r>
    </w:p>
    <w:p w:rsidR="007F4F83" w:rsidRPr="00CB7326" w:rsidRDefault="006408CD" w:rsidP="006408CD">
      <w:pPr>
        <w:pStyle w:val="Point0"/>
        <w:rPr>
          <w:noProof/>
        </w:rPr>
      </w:pPr>
      <w:r w:rsidRPr="006408CD">
        <w:t>(3)</w:t>
      </w:r>
      <w:r w:rsidRPr="006408CD">
        <w:tab/>
      </w:r>
      <w:r w:rsidR="00921483" w:rsidRPr="00CB7326">
        <w:rPr>
          <w:noProof/>
        </w:rPr>
        <w:t>cuirtear an téacs a leagtar amach in Iarscríbhinn II a ghabhann leis an Rialachán seo leis mar Iarscríbhinn XL.</w:t>
      </w:r>
    </w:p>
    <w:p w:rsidR="007F4F83" w:rsidRPr="00CB7326" w:rsidRDefault="007F4F83" w:rsidP="004046D9">
      <w:pPr>
        <w:pStyle w:val="Titrearticle"/>
        <w:rPr>
          <w:noProof/>
          <w:szCs w:val="24"/>
        </w:rPr>
      </w:pPr>
      <w:r w:rsidRPr="00CB7326">
        <w:rPr>
          <w:noProof/>
        </w:rPr>
        <w:t>Airteagal 2</w:t>
      </w:r>
    </w:p>
    <w:p w:rsidR="007F4F83" w:rsidRPr="00CB7326" w:rsidRDefault="007F4F83" w:rsidP="007F4F83">
      <w:pPr>
        <w:pStyle w:val="Titrearticle"/>
        <w:spacing w:before="120"/>
        <w:rPr>
          <w:b/>
          <w:i w:val="0"/>
          <w:noProof/>
          <w:szCs w:val="24"/>
        </w:rPr>
      </w:pPr>
      <w:r w:rsidRPr="00CB7326">
        <w:rPr>
          <w:b/>
          <w:i w:val="0"/>
          <w:noProof/>
        </w:rPr>
        <w:t>Teacht i bhfeidhm</w:t>
      </w:r>
    </w:p>
    <w:p w:rsidR="007F4F83" w:rsidRPr="00CB7326" w:rsidRDefault="007F4F83" w:rsidP="007F4F83">
      <w:pPr>
        <w:rPr>
          <w:noProof/>
          <w:color w:val="000000" w:themeColor="text1"/>
          <w:szCs w:val="24"/>
        </w:rPr>
      </w:pPr>
      <w:r w:rsidRPr="00CB7326">
        <w:rPr>
          <w:noProof/>
        </w:rPr>
        <w:t xml:space="preserve">Tiocfaidh an Rialachán seo i bhfeidhm an fichiú lá tar éis lá a fhoilsithe in </w:t>
      </w:r>
      <w:r w:rsidRPr="00CB7326">
        <w:rPr>
          <w:i/>
          <w:noProof/>
        </w:rPr>
        <w:t>Iris Oifigiúil an Aontais Eorpaigh</w:t>
      </w:r>
      <w:r w:rsidRPr="00CB7326">
        <w:rPr>
          <w:noProof/>
        </w:rPr>
        <w:t>.</w:t>
      </w:r>
      <w:r w:rsidRPr="00CB7326">
        <w:rPr>
          <w:noProof/>
          <w:color w:val="000000" w:themeColor="text1"/>
        </w:rPr>
        <w:t xml:space="preserve"> </w:t>
      </w:r>
    </w:p>
    <w:p w:rsidR="007F4F83" w:rsidRPr="00CB7326" w:rsidRDefault="007F4F83" w:rsidP="00B21FDB">
      <w:pPr>
        <w:pStyle w:val="Applicationdirecte"/>
        <w:keepNext/>
        <w:keepLines/>
        <w:rPr>
          <w:noProof/>
          <w:color w:val="000000"/>
          <w:szCs w:val="24"/>
        </w:rPr>
      </w:pPr>
      <w:r w:rsidRPr="00CB7326">
        <w:rPr>
          <w:noProof/>
          <w:color w:val="000000"/>
        </w:rPr>
        <w:t>Beidh an Rialachán seo ina cheangal go huile agus go hiomlán agus beidh sé infheidhme go díreach i ngach Ballstát.</w:t>
      </w:r>
    </w:p>
    <w:p w:rsidR="003C122C" w:rsidRPr="00CB7326" w:rsidRDefault="00615AAF" w:rsidP="00B21FDB">
      <w:pPr>
        <w:pStyle w:val="Fait"/>
        <w:rPr>
          <w:noProof/>
        </w:rPr>
      </w:pPr>
      <w:r w:rsidRPr="00615AAF">
        <w:t>Arna dhéanamh sa Bhruiséil, 30.11.2022</w:t>
      </w:r>
    </w:p>
    <w:p w:rsidR="003C122C" w:rsidRPr="00CB7326" w:rsidRDefault="003C122C" w:rsidP="00B21FDB">
      <w:pPr>
        <w:pStyle w:val="Institutionquisigne"/>
        <w:rPr>
          <w:noProof/>
          <w:szCs w:val="24"/>
        </w:rPr>
      </w:pPr>
      <w:r w:rsidRPr="00CB7326">
        <w:rPr>
          <w:noProof/>
        </w:rPr>
        <w:tab/>
        <w:t>Thar ceann an Choimisiúin</w:t>
      </w:r>
    </w:p>
    <w:p w:rsidR="00C32BCD" w:rsidRPr="00CB7326" w:rsidRDefault="00C53472" w:rsidP="00B21FDB">
      <w:pPr>
        <w:pStyle w:val="Personnequisigne"/>
        <w:keepNext/>
        <w:rPr>
          <w:noProof/>
          <w:szCs w:val="24"/>
        </w:rPr>
      </w:pPr>
      <w:r>
        <w:tab/>
        <w:t>An tUachtarán</w:t>
      </w:r>
      <w:r>
        <w:br/>
      </w:r>
      <w:r>
        <w:tab/>
        <w:t>Ursula VON DER LEYEN</w:t>
      </w:r>
    </w:p>
    <w:p w:rsidR="00C32BCD" w:rsidRPr="00CB7326" w:rsidRDefault="00C32BCD" w:rsidP="00C32BCD">
      <w:pPr>
        <w:pStyle w:val="Personnequisigne"/>
        <w:rPr>
          <w:noProof/>
          <w:szCs w:val="24"/>
        </w:rPr>
      </w:pPr>
    </w:p>
    <w:sectPr w:rsidR="00C32BCD" w:rsidRPr="00CB7326" w:rsidSect="00DE2087">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326" w:rsidRPr="00DE2087" w:rsidRDefault="00DE2087" w:rsidP="00DE2087">
    <w:pPr>
      <w:pStyle w:val="Footer"/>
      <w:rPr>
        <w:rFonts w:ascii="Arial" w:hAnsi="Arial" w:cs="Arial"/>
        <w:b/>
        <w:sz w:val="48"/>
      </w:rPr>
    </w:pPr>
    <w:r w:rsidRPr="00DE2087">
      <w:rPr>
        <w:rFonts w:ascii="Arial" w:hAnsi="Arial" w:cs="Arial"/>
        <w:b/>
        <w:sz w:val="48"/>
      </w:rPr>
      <w:t>GA</w:t>
    </w:r>
    <w:r w:rsidRPr="00DE2087">
      <w:rPr>
        <w:rFonts w:ascii="Arial" w:hAnsi="Arial" w:cs="Arial"/>
        <w:b/>
        <w:sz w:val="48"/>
      </w:rPr>
      <w:tab/>
    </w:r>
    <w:r w:rsidRPr="00DE2087">
      <w:rPr>
        <w:rFonts w:ascii="Arial" w:hAnsi="Arial" w:cs="Arial"/>
        <w:b/>
        <w:sz w:val="48"/>
      </w:rPr>
      <w:tab/>
    </w:r>
    <w:r w:rsidRPr="00DE2087">
      <w:tab/>
    </w:r>
    <w:r w:rsidRPr="00DE2087">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087" w:rsidRPr="00DE2087" w:rsidRDefault="00DE2087" w:rsidP="00DE2087">
    <w:pPr>
      <w:pStyle w:val="Footer"/>
      <w:rPr>
        <w:rFonts w:ascii="Arial" w:hAnsi="Arial" w:cs="Arial"/>
        <w:b/>
        <w:sz w:val="48"/>
      </w:rPr>
    </w:pPr>
    <w:r w:rsidRPr="00DE2087">
      <w:rPr>
        <w:rFonts w:ascii="Arial" w:hAnsi="Arial" w:cs="Arial"/>
        <w:b/>
        <w:sz w:val="48"/>
      </w:rPr>
      <w:t>GA</w:t>
    </w:r>
    <w:r w:rsidRPr="00DE2087">
      <w:rPr>
        <w:rFonts w:ascii="Arial" w:hAnsi="Arial" w:cs="Arial"/>
        <w:b/>
        <w:sz w:val="48"/>
      </w:rPr>
      <w:tab/>
    </w:r>
    <w:r>
      <w:fldChar w:fldCharType="begin"/>
    </w:r>
    <w:r>
      <w:instrText xml:space="preserve"> PAGE  \* MERGEFORMAT </w:instrText>
    </w:r>
    <w:r>
      <w:fldChar w:fldCharType="separate"/>
    </w:r>
    <w:r w:rsidR="00B21FDB">
      <w:rPr>
        <w:noProof/>
      </w:rPr>
      <w:t>6</w:t>
    </w:r>
    <w:r>
      <w:fldChar w:fldCharType="end"/>
    </w:r>
    <w:r>
      <w:tab/>
    </w:r>
    <w:r w:rsidRPr="00DE2087">
      <w:tab/>
    </w:r>
    <w:r w:rsidRPr="00DE2087">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087" w:rsidRPr="00DE2087" w:rsidRDefault="00DE2087" w:rsidP="00DE20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IO</w:t>
      </w:r>
      <w:r w:rsidR="00852C07">
        <w:rPr>
          <w:lang w:val="en-IE"/>
        </w:rPr>
        <w:t> </w:t>
      </w:r>
      <w:r>
        <w:t>L 176, 27.6.2013, lch. 1.</w:t>
      </w:r>
    </w:p>
  </w:footnote>
  <w:footnote w:id="2">
    <w:p w:rsidR="007067A9" w:rsidRPr="00FC42BE" w:rsidRDefault="007067A9" w:rsidP="007067A9">
      <w:pPr>
        <w:pStyle w:val="FootnoteText"/>
      </w:pPr>
      <w:r>
        <w:rPr>
          <w:rStyle w:val="FootnoteReference"/>
        </w:rPr>
        <w:footnoteRef/>
      </w:r>
      <w:r>
        <w:tab/>
        <w:t>Rialachán Cur Chun Feidhme (AE) 2021/637 ón gCoimisiún an 15 Márta 2021 lena leagtar síos caighdeáin theicniúla cur chun feidhme maidir le nochtaí poiblí ag institiúidí i dtaca leis an bhfaisnéis dá dtagraítear i dTeidil II agus III de Chuid a hOcht de Rialachán (AE) Uimh. 575/2013 ó Pharlaimint na hEorpa agus ón gComhairle agus lena n-aisghairtear Rialachán Cur Chun Feidhme (AE) Uimh. 1423/2013 ón gCoimisiún, Rialachán Tarmligthe (AE) 2015/1555 ón gCoimisiún, Rialachán Cur Chun Feidhme (AE) 2016/200 ón gCoimisiún agus Rialachán Tarmligthe (AE) 2017/2295 ón gCoimisiún (IO</w:t>
      </w:r>
      <w:r w:rsidR="00852C07">
        <w:rPr>
          <w:lang w:val="en-IE"/>
        </w:rPr>
        <w:t> </w:t>
      </w:r>
      <w:r>
        <w:t>L 136, 21.4.2021, lch. 1).</w:t>
      </w:r>
    </w:p>
  </w:footnote>
  <w:footnote w:id="3">
    <w:p w:rsidR="007067A9" w:rsidRPr="007067A9" w:rsidRDefault="007067A9" w:rsidP="007067A9">
      <w:pPr>
        <w:pStyle w:val="FootnoteText"/>
      </w:pPr>
      <w:r>
        <w:rPr>
          <w:rStyle w:val="FootnoteReference"/>
        </w:rPr>
        <w:footnoteRef/>
      </w:r>
      <w:r>
        <w:tab/>
        <w:t>Rialachán (AE) 2019/876 ó Pharlaimint na hEorpa agus ón gComhairle an 20 Bealtaine 2019 lena leasaítear Rialachán (AE) Uimh. 575/2013 a mhéid a bhaineann leis an gcóimheas luamhánaithe, leis an gcóimheas glanchistiúcháin chobhsaí, leis na ceanglais maidir le cistí dílse agus dliteanais incháilithe, leis an bpriacal creidmheasa contrapháirtí, leis an bpriacal margaidh, leis na risíochtaí ar chontrapháirtithe lárnacha, leis na risíochtaí ar ghnóthais chomhinfheistíochta, leis na risíochtaí móra, leis na ceanglais tuairiscithe agus nochta, agus Ri</w:t>
      </w:r>
      <w:r w:rsidR="00852C07">
        <w:t>alachán (AE) Uimh. 648/2012 (IO </w:t>
      </w:r>
      <w:r>
        <w:t>L 150, 7.6.2019, lch. 1).</w:t>
      </w:r>
    </w:p>
  </w:footnote>
  <w:footnote w:id="4">
    <w:p w:rsidR="00410340" w:rsidRPr="007067A9" w:rsidRDefault="00410340" w:rsidP="008B3E83">
      <w:pPr>
        <w:pStyle w:val="FootnoteText"/>
      </w:pPr>
      <w:r>
        <w:rPr>
          <w:rStyle w:val="FootnoteReference"/>
        </w:rPr>
        <w:footnoteRef/>
      </w:r>
      <w:r>
        <w:tab/>
        <w:t xml:space="preserve">Rialachán (AE) 2020/852 ó Pharlaimint na hEorpa agus ón gComhairle an 18 Meitheamh 2020 maidir le creat a bhunú chun infheistíocht inbhuanaithe a éascú, agus lena leasaítear Rialachán (AE) 2019/2088, </w:t>
      </w:r>
      <w:r>
        <w:rPr>
          <w:rStyle w:val="Emphasis"/>
          <w:i w:val="0"/>
        </w:rPr>
        <w:t>IO</w:t>
      </w:r>
      <w:r w:rsidR="00852C07" w:rsidRPr="00852C07">
        <w:rPr>
          <w:rStyle w:val="Emphasis"/>
          <w:i w:val="0"/>
        </w:rPr>
        <w:t> </w:t>
      </w:r>
      <w:r>
        <w:rPr>
          <w:rStyle w:val="Emphasis"/>
          <w:i w:val="0"/>
        </w:rPr>
        <w:t>L 198, 22.6.2020, lch. 13).</w:t>
      </w:r>
    </w:p>
  </w:footnote>
  <w:footnote w:id="5">
    <w:p w:rsidR="00410340" w:rsidRPr="007067A9" w:rsidRDefault="00410340" w:rsidP="008B3E83">
      <w:pPr>
        <w:pStyle w:val="FootnoteText"/>
        <w:rPr>
          <w:i/>
        </w:rPr>
      </w:pPr>
      <w:r>
        <w:rPr>
          <w:rStyle w:val="FootnoteReference"/>
        </w:rPr>
        <w:footnoteRef/>
      </w:r>
      <w:r>
        <w:tab/>
        <w:t>Rialachán Tarmligthe (AE) 2020/1818 ón gCoimisiún an 17 Iúil 2020 lena bhforlíontar Rialachán (AE) 2016/1011 ó Pharlaimint na hEorpa agus ón gComhairle a mhéid a bhaineann le híoschaighdeáin i gcomhair Thagarmharcanna Aistrithe Aeráide an Aontais agus Thagarmharcanna an Aontais atá ailínithe le Comhaontú Pháras (</w:t>
      </w:r>
      <w:r>
        <w:rPr>
          <w:rStyle w:val="Emphasis"/>
          <w:i w:val="0"/>
        </w:rPr>
        <w:t>IO</w:t>
      </w:r>
      <w:r w:rsidR="00852C07" w:rsidRPr="00852C07">
        <w:rPr>
          <w:rStyle w:val="Emphasis"/>
          <w:i w:val="0"/>
        </w:rPr>
        <w:t> </w:t>
      </w:r>
      <w:r>
        <w:rPr>
          <w:rStyle w:val="Emphasis"/>
          <w:i w:val="0"/>
        </w:rPr>
        <w:t>L 406, 3.12.2020, lch. 17)</w:t>
      </w:r>
      <w:r>
        <w:t>.</w:t>
      </w:r>
    </w:p>
  </w:footnote>
  <w:footnote w:id="6">
    <w:p w:rsidR="00410340" w:rsidRPr="007067A9" w:rsidRDefault="00410340" w:rsidP="008B3E83">
      <w:pPr>
        <w:pStyle w:val="FootnoteText"/>
        <w:rPr>
          <w:color w:val="444444"/>
        </w:rPr>
      </w:pPr>
      <w:r>
        <w:rPr>
          <w:rStyle w:val="FootnoteReference"/>
        </w:rPr>
        <w:footnoteRef/>
      </w:r>
      <w:r>
        <w:tab/>
        <w:t>Treoir 2010/31/AE ó Pharlaimint na hEorpa agus ón gComhairle an 19 Bealtaine 2010 maidir le feidhmíocht fuinnimh foirgneamh (</w:t>
      </w:r>
      <w:r>
        <w:rPr>
          <w:rStyle w:val="Emphasis"/>
          <w:i w:val="0"/>
        </w:rPr>
        <w:t>IO</w:t>
      </w:r>
      <w:r w:rsidR="00852C07" w:rsidRPr="00852C07">
        <w:rPr>
          <w:rStyle w:val="Emphasis"/>
          <w:i w:val="0"/>
        </w:rPr>
        <w:t> </w:t>
      </w:r>
      <w:r>
        <w:rPr>
          <w:rStyle w:val="Emphasis"/>
          <w:i w:val="0"/>
        </w:rPr>
        <w:t>L 153, 18.6.2010, lch. 13).</w:t>
      </w:r>
    </w:p>
  </w:footnote>
  <w:footnote w:id="7">
    <w:p w:rsidR="00135CD4" w:rsidRPr="00135CD4" w:rsidRDefault="00135CD4" w:rsidP="00135CD4">
      <w:pPr>
        <w:pStyle w:val="FootnoteText"/>
      </w:pPr>
      <w:r>
        <w:rPr>
          <w:rStyle w:val="FootnoteReference"/>
        </w:rPr>
        <w:footnoteRef/>
      </w:r>
      <w:r>
        <w:tab/>
        <w:t>Treoir 2013/34/AE ó Pharlaimint na hEorpa agus ón gComhairle an 26 Meitheamh 2013 maidir le ráitis airgeadais bhliantúla, ráitis airgeadais chomhdhlúite agus tuarascálacha gaolmhara de chineálacha áirithe gnóthas, lena leasaítear Treoir 2006/43/CE ó Pharlaimint na hEorpa agus ón gComhairle agus lena n‐aisghairtear Treoracha 78/660/CEE agus 83/349/CEE ón gComhairle (IO</w:t>
      </w:r>
      <w:r w:rsidR="00852C07" w:rsidRPr="00852C07">
        <w:t> </w:t>
      </w:r>
      <w:r>
        <w:t>L 182, 29.6.2013, lch. 19).</w:t>
      </w:r>
    </w:p>
  </w:footnote>
  <w:footnote w:id="8">
    <w:p w:rsidR="00410340" w:rsidRPr="007067A9" w:rsidRDefault="00410340" w:rsidP="00410340">
      <w:pPr>
        <w:pStyle w:val="FootnoteText"/>
      </w:pPr>
      <w:r>
        <w:rPr>
          <w:rStyle w:val="FootnoteReference"/>
        </w:rPr>
        <w:footnoteRef/>
      </w:r>
      <w:r>
        <w:tab/>
        <w:t>Rialachán (AE) Uimh. 1093/2010 ó Pharlaimint na hEorpa agus ón gComhairle an 24 Samhain 2010 lena mbunaítear Údarás Maoirseachta Eorpach (An tÚdarás Baincéireachta Eorpach), lena leasaítear Cinneadh Uimh. 716/2009/CE agus lena n-aisghairtear Cinnead</w:t>
      </w:r>
      <w:r w:rsidR="00852C07">
        <w:t>h 2009/78/CE ón gCoimisiún, (IO</w:t>
      </w:r>
      <w:r w:rsidR="00852C07" w:rsidRPr="00852C07">
        <w:t> </w:t>
      </w:r>
      <w:r>
        <w:t>L 331, 15.12.2010, lch.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1:59"/>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2BC753C2-9AF3-48CE-B6CE-A5D0CBD64466"/>
    <w:docVar w:name="LW_COVERPAGE_TYPE" w:val="1"/>
    <w:docVar w:name="LW_CROSSREFERENCE" w:val="&lt;UNUSED&gt;"/>
    <w:docVar w:name="LW_DATE.ADOPT.CP" w:val="an 30.11.2022"/>
    <w:docVar w:name="LW_DATE.ADOPT.CP_DATEFORMAT" w:val="an %DATE%"/>
    <w:docVar w:name="LW_DATE.ADOPT.CP_ISODATE" w:val="2022-11-30"/>
    <w:docVar w:name="LW_DocType" w:val="COM"/>
    <w:docVar w:name="LW_EMISSION" w:val="30.11.2022"/>
    <w:docVar w:name="LW_EMISSION_ISODATE" w:val="2022-11-30"/>
    <w:docVar w:name="LW_EMISSION_LOCATION" w:val="BRX"/>
    <w:docVar w:name="LW_EMISSION_PREFIX" w:val="An Bhruiséil,"/>
    <w:docVar w:name="LW_EMISSION_SUFFIX" w:val=" "/>
    <w:docVar w:name="LW_ID_DOCMODEL" w:val="SJ-004"/>
    <w:docVar w:name="LW_ID_DOCSIGNATURE" w:val="SJ-004"/>
    <w:docVar w:name="LW_ID_DOCSTRUCTURE" w:val="COM/AA"/>
    <w:docVar w:name="LW_ID_DOCTYPE" w:val="SJ-004"/>
    <w:docVar w:name="LW_INTERETEEE.CP" w:val="(Téacs atá ábhartha maidir le LEE)"/>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ena leasaítear na caighdeáin theicniúla cur chun feidhme a leagtar síos i Rialachán Cur Chun Feidhme (AE) 2021/637 a mhéid a bhaineann le rioscaí comhshaoil, sóisialta agus rialachais a nochtadh _x000b_"/>
    <w:docVar w:name="LW_TYPE.DOC.CP" w:val="RIALACHÁN CUR CHUN FEIDHME (AE) .../... ÓN gCOIMISIÚN"/>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62F"/>
    <w:rsid w:val="000F5934"/>
    <w:rsid w:val="00103B22"/>
    <w:rsid w:val="0011495F"/>
    <w:rsid w:val="00135CD4"/>
    <w:rsid w:val="00145996"/>
    <w:rsid w:val="00154CCD"/>
    <w:rsid w:val="001645DB"/>
    <w:rsid w:val="001769EE"/>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4CD3"/>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08F7"/>
    <w:rsid w:val="00331719"/>
    <w:rsid w:val="0033740A"/>
    <w:rsid w:val="00353D88"/>
    <w:rsid w:val="003578D1"/>
    <w:rsid w:val="00362239"/>
    <w:rsid w:val="00385CAD"/>
    <w:rsid w:val="003965B3"/>
    <w:rsid w:val="00396F18"/>
    <w:rsid w:val="00397813"/>
    <w:rsid w:val="003A5DF1"/>
    <w:rsid w:val="003A6D93"/>
    <w:rsid w:val="003C122C"/>
    <w:rsid w:val="003C70D6"/>
    <w:rsid w:val="003D22F0"/>
    <w:rsid w:val="003D5E0A"/>
    <w:rsid w:val="003E1B7D"/>
    <w:rsid w:val="004046D9"/>
    <w:rsid w:val="00410340"/>
    <w:rsid w:val="0041104D"/>
    <w:rsid w:val="00413DA3"/>
    <w:rsid w:val="00414930"/>
    <w:rsid w:val="00414A4D"/>
    <w:rsid w:val="00417532"/>
    <w:rsid w:val="00436E6A"/>
    <w:rsid w:val="004376A0"/>
    <w:rsid w:val="004550A7"/>
    <w:rsid w:val="004A6F3E"/>
    <w:rsid w:val="004C0BD0"/>
    <w:rsid w:val="004C21A2"/>
    <w:rsid w:val="004C444F"/>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15AAF"/>
    <w:rsid w:val="00635568"/>
    <w:rsid w:val="00635A91"/>
    <w:rsid w:val="006408CD"/>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3798B"/>
    <w:rsid w:val="00847287"/>
    <w:rsid w:val="00851060"/>
    <w:rsid w:val="00852C07"/>
    <w:rsid w:val="0085437D"/>
    <w:rsid w:val="00857BE0"/>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1FDB"/>
    <w:rsid w:val="00B25755"/>
    <w:rsid w:val="00B37F85"/>
    <w:rsid w:val="00B45C88"/>
    <w:rsid w:val="00B555F4"/>
    <w:rsid w:val="00B667EA"/>
    <w:rsid w:val="00B75C81"/>
    <w:rsid w:val="00B76A3B"/>
    <w:rsid w:val="00B8705E"/>
    <w:rsid w:val="00B87C8F"/>
    <w:rsid w:val="00B90FD9"/>
    <w:rsid w:val="00B94522"/>
    <w:rsid w:val="00BB6E75"/>
    <w:rsid w:val="00BC21DD"/>
    <w:rsid w:val="00BE1E9F"/>
    <w:rsid w:val="00BE246D"/>
    <w:rsid w:val="00BF0A20"/>
    <w:rsid w:val="00BF17AA"/>
    <w:rsid w:val="00BF7813"/>
    <w:rsid w:val="00C0016D"/>
    <w:rsid w:val="00C24556"/>
    <w:rsid w:val="00C250DE"/>
    <w:rsid w:val="00C30A6B"/>
    <w:rsid w:val="00C32BCD"/>
    <w:rsid w:val="00C436F2"/>
    <w:rsid w:val="00C43ADB"/>
    <w:rsid w:val="00C53472"/>
    <w:rsid w:val="00C55C47"/>
    <w:rsid w:val="00C563F0"/>
    <w:rsid w:val="00C72EBC"/>
    <w:rsid w:val="00C73950"/>
    <w:rsid w:val="00C80003"/>
    <w:rsid w:val="00C90F4B"/>
    <w:rsid w:val="00C96986"/>
    <w:rsid w:val="00CA5E0A"/>
    <w:rsid w:val="00CA6131"/>
    <w:rsid w:val="00CB63D6"/>
    <w:rsid w:val="00CB732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2087"/>
    <w:rsid w:val="00DE6779"/>
    <w:rsid w:val="00E02264"/>
    <w:rsid w:val="00E16C32"/>
    <w:rsid w:val="00E227DA"/>
    <w:rsid w:val="00E27B5B"/>
    <w:rsid w:val="00E57103"/>
    <w:rsid w:val="00E621E8"/>
    <w:rsid w:val="00E80A1C"/>
    <w:rsid w:val="00E84919"/>
    <w:rsid w:val="00EB425C"/>
    <w:rsid w:val="00EC304C"/>
    <w:rsid w:val="00EC548B"/>
    <w:rsid w:val="00ED20D7"/>
    <w:rsid w:val="00ED6718"/>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ga-I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ga-IE"/>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ga-IE"/>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DE2087"/>
    <w:pPr>
      <w:tabs>
        <w:tab w:val="center" w:pos="4535"/>
        <w:tab w:val="right" w:pos="9071"/>
      </w:tabs>
      <w:spacing w:before="0"/>
    </w:pPr>
  </w:style>
  <w:style w:type="character" w:customStyle="1" w:styleId="HeaderChar">
    <w:name w:val="Header Char"/>
    <w:basedOn w:val="DefaultParagraphFont"/>
    <w:link w:val="Header"/>
    <w:uiPriority w:val="99"/>
    <w:rsid w:val="00DE2087"/>
    <w:rPr>
      <w:rFonts w:ascii="Times New Roman" w:hAnsi="Times New Roman" w:cs="Times New Roman"/>
      <w:sz w:val="24"/>
      <w:lang w:val="ga-IE"/>
    </w:rPr>
  </w:style>
  <w:style w:type="paragraph" w:styleId="Footer">
    <w:name w:val="footer"/>
    <w:basedOn w:val="Normal"/>
    <w:link w:val="FooterChar"/>
    <w:uiPriority w:val="99"/>
    <w:unhideWhenUsed/>
    <w:rsid w:val="00DE2087"/>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E2087"/>
    <w:rPr>
      <w:rFonts w:ascii="Times New Roman" w:hAnsi="Times New Roman" w:cs="Times New Roman"/>
      <w:sz w:val="24"/>
      <w:lang w:val="ga-I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ga-I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ga-I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ga-I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ga-I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ga-I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ga-I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ga-I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DE2087"/>
    <w:pPr>
      <w:tabs>
        <w:tab w:val="center" w:pos="7285"/>
        <w:tab w:val="right" w:pos="14003"/>
      </w:tabs>
      <w:spacing w:before="0"/>
    </w:pPr>
  </w:style>
  <w:style w:type="paragraph" w:customStyle="1" w:styleId="FooterLandscape">
    <w:name w:val="FooterLandscape"/>
    <w:basedOn w:val="Normal"/>
    <w:rsid w:val="00DE2087"/>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E208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E2087"/>
    <w:pPr>
      <w:spacing w:before="0"/>
      <w:jc w:val="right"/>
    </w:pPr>
    <w:rPr>
      <w:sz w:val="28"/>
    </w:rPr>
  </w:style>
  <w:style w:type="paragraph" w:customStyle="1" w:styleId="FooterSensitivity">
    <w:name w:val="Footer Sensitivity"/>
    <w:basedOn w:val="Normal"/>
    <w:rsid w:val="00DE208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Tiret5">
    <w:name w:val="Tiret 5"/>
    <w:basedOn w:val="Point5"/>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NumPar5">
    <w:name w:val="NumPar 5"/>
    <w:basedOn w:val="Normal"/>
    <w:next w:val="Text2"/>
    <w:pPr>
      <w:numPr>
        <w:ilvl w:val="4"/>
        <w:numId w:val="23"/>
      </w:numPr>
    </w:pPr>
  </w:style>
  <w:style w:type="paragraph" w:customStyle="1" w:styleId="NumPar6">
    <w:name w:val="NumPar 6"/>
    <w:basedOn w:val="Normal"/>
    <w:next w:val="Text2"/>
    <w:pPr>
      <w:numPr>
        <w:ilvl w:val="5"/>
        <w:numId w:val="23"/>
      </w:numPr>
    </w:pPr>
  </w:style>
  <w:style w:type="paragraph" w:customStyle="1" w:styleId="NumPar7">
    <w:name w:val="NumPar 7"/>
    <w:basedOn w:val="Normal"/>
    <w:next w:val="Text2"/>
    <w:pPr>
      <w:numPr>
        <w:ilvl w:val="6"/>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9986F-7796-480E-A910-85AA1827F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10</TotalTime>
  <Pages>7</Pages>
  <Words>2179</Words>
  <Characters>11772</Characters>
  <Application>Microsoft Office Word</Application>
  <DocSecurity>0</DocSecurity>
  <Lines>202</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48</cp:revision>
  <dcterms:created xsi:type="dcterms:W3CDTF">2022-10-28T13:10:00Z</dcterms:created>
  <dcterms:modified xsi:type="dcterms:W3CDTF">2022-11-27T18:31:00Z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