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0C61DA" w:rsidRDefault="00B66FB9" w:rsidP="00B66FB9">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B76E082D-5CA5-418A-91A1-FD5AEC69DD2E" style="width:455.25pt;height:414pt">
            <v:imagedata r:id="rId8" o:title=""/>
          </v:shape>
        </w:pict>
      </w:r>
    </w:p>
    <w:p w:rsidR="003C122C" w:rsidRPr="000C61DA" w:rsidRDefault="003C122C">
      <w:pPr>
        <w:rPr>
          <w:noProof/>
        </w:rPr>
        <w:sectPr w:rsidR="003C122C" w:rsidRPr="000C61DA" w:rsidSect="00B66FB9">
          <w:footerReference w:type="default" r:id="rId9"/>
          <w:pgSz w:w="11907" w:h="16839"/>
          <w:pgMar w:top="1134" w:right="1417" w:bottom="1134" w:left="1417" w:header="709" w:footer="709" w:gutter="0"/>
          <w:pgNumType w:start="0"/>
          <w:cols w:space="720"/>
          <w:docGrid w:linePitch="360"/>
        </w:sectPr>
      </w:pPr>
    </w:p>
    <w:p w:rsidR="003C122C" w:rsidRPr="000C61DA" w:rsidRDefault="000C61DA" w:rsidP="000C61DA">
      <w:pPr>
        <w:pStyle w:val="Typedudocument"/>
        <w:rPr>
          <w:noProof/>
        </w:rPr>
      </w:pPr>
      <w:bookmarkStart w:id="0" w:name="_GoBack"/>
      <w:bookmarkEnd w:id="0"/>
      <w:r w:rsidRPr="000C61DA">
        <w:rPr>
          <w:noProof/>
        </w:rPr>
        <w:lastRenderedPageBreak/>
        <w:t>ΕΚΤΕΛΕΣΤΙΚΟΣ ΚΑΝΟΝΙΣΜΟΣ (ΕΕ) …/... ΤΗΣ ΕΠΙΤΡΟΠΗΣ</w:t>
      </w:r>
    </w:p>
    <w:p w:rsidR="003C122C" w:rsidRPr="000C61DA" w:rsidRDefault="00BE0377" w:rsidP="000C61DA">
      <w:pPr>
        <w:pStyle w:val="Datedadoption"/>
        <w:rPr>
          <w:noProof/>
        </w:rPr>
      </w:pPr>
      <w:r>
        <w:t>της 30.11.2022</w:t>
      </w:r>
    </w:p>
    <w:p w:rsidR="003C122C" w:rsidRPr="000C61DA" w:rsidRDefault="000C61DA" w:rsidP="000C61DA">
      <w:pPr>
        <w:pStyle w:val="Titreobjet"/>
        <w:rPr>
          <w:noProof/>
        </w:rPr>
      </w:pPr>
      <w:r w:rsidRPr="000C61DA">
        <w:rPr>
          <w:noProof/>
        </w:rPr>
        <w:t xml:space="preserve">για την τροποποίηση των εκτελεστικών τεχνικών προτύπων που καθορίζονται στον εκτελεστικό κανονισμό (ΕΕ) 2021/637 όσον αφορά τη δημοσιοποίηση περιβαλλοντικών, κοινωνικών και σχετικών με τη διακυβέρνηση κινδύνων </w:t>
      </w:r>
      <w:r w:rsidRPr="000C61DA">
        <w:rPr>
          <w:noProof/>
        </w:rPr>
        <w:br/>
      </w:r>
    </w:p>
    <w:p w:rsidR="003C122C" w:rsidRPr="000C61DA" w:rsidRDefault="000C61DA" w:rsidP="000C61DA">
      <w:pPr>
        <w:pStyle w:val="IntrtEEE"/>
        <w:rPr>
          <w:noProof/>
        </w:rPr>
      </w:pPr>
      <w:r w:rsidRPr="000C61DA">
        <w:rPr>
          <w:noProof/>
        </w:rPr>
        <w:t>(Κείμενο που παρουσιάζει ενδιαφέρον για τον ΕΟΧ)</w:t>
      </w:r>
    </w:p>
    <w:p w:rsidR="003C122C" w:rsidRPr="000C61DA" w:rsidRDefault="003C122C" w:rsidP="004E1EF9">
      <w:pPr>
        <w:pStyle w:val="Institutionquiagit"/>
        <w:rPr>
          <w:noProof/>
        </w:rPr>
      </w:pPr>
      <w:r w:rsidRPr="000C61DA">
        <w:rPr>
          <w:noProof/>
        </w:rPr>
        <w:t>Η ΕΥΡΩΠΑΪΚΗ ΕΠΙΤΡΟΠΗ,</w:t>
      </w:r>
    </w:p>
    <w:p w:rsidR="003C122C" w:rsidRPr="000C61DA" w:rsidRDefault="003C122C" w:rsidP="003C122C">
      <w:pPr>
        <w:rPr>
          <w:noProof/>
          <w:color w:val="000000"/>
        </w:rPr>
      </w:pPr>
      <w:r w:rsidRPr="000C61DA">
        <w:rPr>
          <w:noProof/>
          <w:color w:val="000000"/>
        </w:rPr>
        <w:t>Έχοντας υπόψη τη Συνθήκη για τη λειτουργία της Ευρωπαϊκής Ένωσης,</w:t>
      </w:r>
    </w:p>
    <w:p w:rsidR="003C122C" w:rsidRPr="000C61DA" w:rsidRDefault="003C122C" w:rsidP="003C122C">
      <w:pPr>
        <w:rPr>
          <w:noProof/>
          <w:color w:val="000000"/>
        </w:rPr>
      </w:pPr>
      <w:r w:rsidRPr="000C61DA">
        <w:rPr>
          <w:noProof/>
          <w:color w:val="000000"/>
        </w:rPr>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για την τροποποίηση του κανονισμού (ΕΕ) αριθ. 648/2012</w:t>
      </w:r>
      <w:r w:rsidRPr="000C61DA">
        <w:rPr>
          <w:rStyle w:val="FootnoteReference"/>
          <w:noProof/>
        </w:rPr>
        <w:footnoteReference w:id="1"/>
      </w:r>
      <w:r w:rsidRPr="000C61DA">
        <w:rPr>
          <w:noProof/>
          <w:color w:val="000000"/>
        </w:rPr>
        <w:t>, και ιδίως το άρθρο 434α,</w:t>
      </w:r>
    </w:p>
    <w:p w:rsidR="003C122C" w:rsidRPr="000C61DA" w:rsidRDefault="003C122C" w:rsidP="004E1EF9">
      <w:pPr>
        <w:rPr>
          <w:noProof/>
        </w:rPr>
      </w:pPr>
      <w:r w:rsidRPr="000C61DA">
        <w:rPr>
          <w:noProof/>
        </w:rPr>
        <w:t>Εκτιμώντας τα ακόλουθα:</w:t>
      </w:r>
    </w:p>
    <w:p w:rsidR="00410340" w:rsidRPr="000C61DA" w:rsidRDefault="000549C4" w:rsidP="000549C4">
      <w:pPr>
        <w:pStyle w:val="ManualConsidrant"/>
        <w:rPr>
          <w:noProof/>
          <w:color w:val="000000"/>
        </w:rPr>
      </w:pPr>
      <w:r w:rsidRPr="000549C4">
        <w:t>(1)</w:t>
      </w:r>
      <w:r w:rsidRPr="000549C4">
        <w:tab/>
      </w:r>
      <w:r w:rsidR="007067A9" w:rsidRPr="000C61DA">
        <w:rPr>
          <w:noProof/>
        </w:rPr>
        <w:t>Ο εκτελεστικός κανονισμός (ΕΕ) 2021/637 της Επιτροπής</w:t>
      </w:r>
      <w:r w:rsidR="007067A9" w:rsidRPr="000C61DA">
        <w:rPr>
          <w:rStyle w:val="FootnoteReference"/>
          <w:noProof/>
        </w:rPr>
        <w:footnoteReference w:id="2"/>
      </w:r>
      <w:r w:rsidR="007067A9" w:rsidRPr="000C61DA">
        <w:rPr>
          <w:noProof/>
        </w:rPr>
        <w:t xml:space="preserve"> καθορίζει ομοιόμορφους μορφότυπους δημοσιοποίησης και συναφείς οδηγίες για τις δημοσιοποιήσεις που απαιτούνται βάσει των τίτλων II και III του κανονισμού (ΕΕ) αριθ. 575/2013. Ο κανονισμός (ΕΕ) αριθ. 575/2013 τροποποιήθηκε με τον κανονισμό (ΕΕ) 2019/876</w:t>
      </w:r>
      <w:r w:rsidR="007067A9" w:rsidRPr="000C61DA">
        <w:rPr>
          <w:rStyle w:val="FootnoteReference"/>
          <w:noProof/>
        </w:rPr>
        <w:footnoteReference w:id="3"/>
      </w:r>
      <w:r w:rsidR="007067A9" w:rsidRPr="000C61DA">
        <w:rPr>
          <w:noProof/>
        </w:rPr>
        <w:t>, μεταξύ άλλων με την εισαγωγή του νέου άρθρου 449α. Το εν λόγω άρθρο απαιτεί από τα μεγάλα ιδρύματα που έχουν εκδώσει τίτλους οι οποίοι είναι εισηγμένοι προς διαπραγμάτευση σε ρυθμιζόμενη αγορά οποιουδήποτε κράτους μέλους να δημοσιοποιούν, από τις 28 Ιουνίου 2022, πληροφορίες σχετικά με περιβαλλοντικούς, κοινωνικούς και σχετικούς με τη διακυβέρνηση (ΠΚΔ) κινδύνους, συμπεριλαμβανομένων των υλικών κινδύνων και των κινδύνων μετάβασης. Η εν λόγω τροποποίηση του κανονισμού (ΕΕ) αριθ. 575/2013 θα πρέπει να αντικατοπτρίζεται στον εκτελεστικό κανονισμό (ΕΕ) 2021/637 της Επιτροπής, ο οποίος θα πρέπει να καθορίζει, εκτός από τους υφιστάμενους ομοιόμορφους μορφότυπους δημοσιοποίησης και τις συναφείς οδηγίες, πρόσθετους ομοιόμορφους μορφότυπους δημοσιοποίησης και συναφείς οδηγίες για τις δημοσιοποιήσεις των κινδύνων ΠΚΔ.</w:t>
      </w:r>
    </w:p>
    <w:p w:rsidR="00410340" w:rsidRPr="000C61DA" w:rsidRDefault="000549C4" w:rsidP="000549C4">
      <w:pPr>
        <w:pStyle w:val="ManualConsidrant"/>
        <w:rPr>
          <w:noProof/>
        </w:rPr>
      </w:pPr>
      <w:r w:rsidRPr="000549C4">
        <w:t>(2)</w:t>
      </w:r>
      <w:r w:rsidRPr="000549C4">
        <w:tab/>
      </w:r>
      <w:r w:rsidR="00410340" w:rsidRPr="000C61DA">
        <w:rPr>
          <w:noProof/>
        </w:rPr>
        <w:t>Κατά τον καθορισμό ομοιόμορφων μορφότυπων δημοσιοποίησης, θα πρέπει να λαμβάνεται υπόψη η πλήρης σημαντικότητα των πληροφοριών που πρέπει να δημοσιοποιούνται. Αυτό σημαίνει ότι οι δημοσιοποιήσεις των ιδρυμάτων θα πρέπει να καλύπτουν, αφενός, τις δημοσιονομικές επιπτώσεις των παραγόντων ΠΚΔ στις οικονομικές και χρηματοπιστωτικές δραστηριότητες των ιδρυμάτων (έξωθεν προοπτική) και, αφετέρου, τους παράγοντες ΠΚΔ που μπορούν να ενεργοποιηθούν από τις δραστηριότητες των ιδρυμάτων, οι οποίοι με τη σειρά τους αποκτούν οικονομική σημασία όταν επηρεάζουν τα ενδιαφερόμενα μέρη των ιδρυμάτων (έσωθεν προοπτική). Ως εκ τούτου, οι πίνακες και τα υποδείγματα που χρησιμοποιούνται για τις εν λόγω δημοσιοποιήσεις θα πρέπει να παρέχουν επαρκώς ολοκληρωμένες και συγκρίσιμες πληροφορίες σχετικά με τους κινδύνους ΠΚΔ, επιτρέποντας έτσι στους χρήστες των εν λόγω πληροφοριών να αξιολογούν το προφίλ κινδύνου των ιδρυμάτων.</w:t>
      </w:r>
    </w:p>
    <w:p w:rsidR="00410340" w:rsidRPr="000C61DA" w:rsidRDefault="000549C4" w:rsidP="000549C4">
      <w:pPr>
        <w:pStyle w:val="ManualConsidrant"/>
        <w:rPr>
          <w:noProof/>
        </w:rPr>
      </w:pPr>
      <w:r w:rsidRPr="000549C4">
        <w:t>(3)</w:t>
      </w:r>
      <w:r w:rsidRPr="000549C4">
        <w:tab/>
      </w:r>
      <w:r w:rsidR="00A525E2" w:rsidRPr="000C61DA">
        <w:rPr>
          <w:noProof/>
        </w:rPr>
        <w:t>Είναι αναγκαίο να διασφαλίζεται η συνοχή και η συνέπεια με άλλες νομοθετικές πράξεις της Ένωσης στον τομέα των κινδύνων ΠΚΔ. Ως εκ τούτου, οι κανόνες σχετικά με τη δημοσιοποίηση των κινδύνων ΠΚΔ θα πρέπει να λαμβάνουν υπόψη τα κριτήρια, τις ταξινομήσεις και τους ορισμούς που προβλέπονται στην εν λόγω ενωσιακή νομοθεσία. Οι εν λόγω κανόνες θα πρέπει ειδικότερα να λαμβάνουν υπόψη τα κριτήρια για τον προσδιορισμό και την ταξινόμηση των περιβαλλοντικά βιώσιμων οικονομικών δραστηριοτήτων, όπως ορίζονται στον κανονισμό (ΕΕ) 2020/852 του Ευρωπαϊκού Κοινοβουλίου και του Συμβουλίου</w:t>
      </w:r>
      <w:r w:rsidR="00A525E2" w:rsidRPr="000C61DA">
        <w:rPr>
          <w:rStyle w:val="FootnoteReference"/>
          <w:noProof/>
        </w:rPr>
        <w:footnoteReference w:id="4"/>
      </w:r>
      <w:r w:rsidR="00A525E2" w:rsidRPr="000C61DA">
        <w:rPr>
          <w:noProof/>
        </w:rPr>
        <w:t xml:space="preserve"> και στον κατ’ εξουσιοδότηση κανονισμό (ΕΕ) 2020/1818 της Επιτροπής</w:t>
      </w:r>
      <w:r w:rsidR="00A525E2" w:rsidRPr="000C61DA">
        <w:rPr>
          <w:rStyle w:val="FootnoteReference"/>
          <w:noProof/>
        </w:rPr>
        <w:footnoteReference w:id="5"/>
      </w:r>
      <w:r w:rsidR="00A525E2" w:rsidRPr="000C61DA">
        <w:rPr>
          <w:noProof/>
        </w:rPr>
        <w:t>. Όσον αφορά τη δημοσιοποίηση πληροφοριών σχετικά με την ενεργειακή απόδοση του χαρτοφυλακίου ακινήτων των ιδρυμάτων, θα πρέπει να λαμβάνονται υπόψη οι πληροφορίες που παρέχονται από το πιστοποιητικό ενεργειακής απόδοσης, όπως ορίζεται στο άρθρο 2 σημείο 12 της οδηγίας 2010/31/ΕΕ του Ευρωπαϊκού Κοινοβουλίου και του Συμβουλίου</w:t>
      </w:r>
      <w:r w:rsidR="00A525E2" w:rsidRPr="000C61DA">
        <w:rPr>
          <w:rStyle w:val="FootnoteReference"/>
          <w:noProof/>
        </w:rPr>
        <w:footnoteReference w:id="6"/>
      </w:r>
      <w:r w:rsidR="00A525E2" w:rsidRPr="000C61DA">
        <w:rPr>
          <w:noProof/>
        </w:rPr>
        <w:t>.</w:t>
      </w:r>
    </w:p>
    <w:p w:rsidR="00135CD4" w:rsidRPr="000C61DA" w:rsidRDefault="000549C4" w:rsidP="000549C4">
      <w:pPr>
        <w:pStyle w:val="ManualConsidrant"/>
        <w:rPr>
          <w:noProof/>
        </w:rPr>
      </w:pPr>
      <w:r w:rsidRPr="000549C4">
        <w:t>(4)</w:t>
      </w:r>
      <w:r w:rsidRPr="000549C4">
        <w:tab/>
      </w:r>
      <w:r w:rsidR="00135CD4" w:rsidRPr="000C61DA">
        <w:rPr>
          <w:noProof/>
        </w:rPr>
        <w:t>Στα άρθρα 19α και 29α της οδηγίας 2013/34/ΕΕ του Ευρωπαϊκού Κοινοβουλίου και του Συμβουλίου</w:t>
      </w:r>
      <w:r w:rsidR="00135CD4" w:rsidRPr="000C61DA">
        <w:rPr>
          <w:rStyle w:val="FootnoteReference"/>
          <w:noProof/>
        </w:rPr>
        <w:footnoteReference w:id="7"/>
      </w:r>
      <w:r w:rsidR="00135CD4" w:rsidRPr="000C61DA">
        <w:rPr>
          <w:noProof/>
        </w:rPr>
        <w:t xml:space="preserve"> απαιτείται από ορισμένες μεγάλες επιχειρήσεις που είναι οντότητες δημόσιου συμφέροντος ή οντότητες δημόσιου συμφέροντος που είναι μητρικές επιχειρήσεις μεγάλου ομίλου, αντίστοιχα, να περιλαμβάνουν στην έκθεση διαχείρισης ή στην ενοποιημένη έκθεση διαχείρισης πληροφορίες σχετικά με τον αντίκτυπο των δραστηριοτήτων τους σε περιβαλλοντικά, κοινωνικά και εργασιακά θέματα, τον σεβασμό των δικαιωμάτων του ανθρώπου, την καταπολέμηση της διαφθοράς και με θέματα σχετικά με τη δωροδοκία. Ωστόσο, η υποχρέωση αυτή δεν ισχύει για άλλες επιχειρήσεις. Κατά συνέπεια, οι επιχειρήσεις που δεν υπόκεινται στα άρθρα 19α και 29α της οδηγίας 2013/34/ΕΕ δεν υποχρεούνται να δημοσιοποιούν τις εν λόγω πληροφορίες και ενδέχεται να μην είναι σε θέση να παρέχουν τις πληροφορίες αυτές στα ιδρύματα. Ως εκ τούτου, οι εν λόγω επιχειρήσεις που είναι αντισυμβαλλόμενοι σε ιδρύματα μπορούν να υποχρεούνται να παρέχουν τις εν λόγω πληροφορίες και δεδομένα μόνο σε οικειοθελή βάση. Ωστόσο, είναι σκόπιμο να παρασχεθούν στις εν λόγω επιχειρήσεις οδηγίες σχετικά με τον υπολογισμό του ποσοστού των ανοιγμάτων σε δραστηριότητες που είναι περιβαλλοντικά βιώσιμες οικονομικές δραστηριότητες, όπως αναφέρεται στο άρθρο 3 του κανονισμού (ΕΕ) 2020/852, ώστε οι εν λόγω πληροφορίες και τα εν λόγω δεδομένα να μπορούν να παρουσιάζονται σε τυποποιημένο και συγκρίσιμο μορφότυπο. Όταν οι εν λόγω πληροφορίες και τα εν λόγω δεδομένα δεν παρέχονται οικειοθελώς, τα ιδρύματα θα πρέπει να είναι σε θέση να υπολογίζουν το ποσοστό των ευθυγραμμισμένων με την ταξινομία ανοιγμάτων χρησιμοποιώντας εκτιμήσεις ή προσεγγιστικά δεδομένα.</w:t>
      </w:r>
    </w:p>
    <w:p w:rsidR="00921483" w:rsidRPr="000C61DA" w:rsidRDefault="000549C4" w:rsidP="000549C4">
      <w:pPr>
        <w:pStyle w:val="ManualConsidrant"/>
        <w:rPr>
          <w:noProof/>
        </w:rPr>
      </w:pPr>
      <w:r w:rsidRPr="000549C4">
        <w:t>(5)</w:t>
      </w:r>
      <w:r w:rsidRPr="000549C4">
        <w:tab/>
      </w:r>
      <w:r w:rsidR="00A97285" w:rsidRPr="000C61DA">
        <w:rPr>
          <w:noProof/>
        </w:rPr>
        <w:t>Το άρθρο 449α του κανονισμού (ΕΕ) αριθ. 575/2013 ορίζει ότι οι πληροφορίες σχετικά με τους κινδύνους ΠΚΔ πρέπει να δημοσιοποιούνται από τις 28 Ιουνίου 2022, σε ετήσια βάση για το πρώτο έτος και εξαμηνιαίως στη συνέχεια. Για τους λόγους αυτούς, ως πρώτη ετήσια ημερομηνία αναφοράς για τη δημοσιοποίηση θα πρέπει να οριστεί η 31η Δεκεμβρίου 2022.</w:t>
      </w:r>
    </w:p>
    <w:p w:rsidR="00ED20D7" w:rsidRPr="000C61DA" w:rsidRDefault="000549C4" w:rsidP="000549C4">
      <w:pPr>
        <w:pStyle w:val="ManualConsidrant"/>
        <w:rPr>
          <w:noProof/>
        </w:rPr>
      </w:pPr>
      <w:r w:rsidRPr="000549C4">
        <w:t>(6)</w:t>
      </w:r>
      <w:r w:rsidRPr="000549C4">
        <w:tab/>
      </w:r>
      <w:r w:rsidR="00410340" w:rsidRPr="000C61DA">
        <w:rPr>
          <w:noProof/>
        </w:rPr>
        <w:t xml:space="preserve">Ο παρών κανονισμός βασίζεται στα σχέδια εκτελεστικών τεχνικών προτύπων που υπέβαλε η Ευρωπαϊκή Αρχή Τραπεζών στην Επιτροπή. </w:t>
      </w:r>
    </w:p>
    <w:p w:rsidR="00410340" w:rsidRPr="000C61DA" w:rsidRDefault="000549C4" w:rsidP="000549C4">
      <w:pPr>
        <w:pStyle w:val="ManualConsidrant"/>
        <w:rPr>
          <w:noProof/>
        </w:rPr>
      </w:pPr>
      <w:r w:rsidRPr="000549C4">
        <w:t>(7)</w:t>
      </w:r>
      <w:r w:rsidRPr="000549C4">
        <w:tab/>
      </w:r>
      <w:r w:rsidR="00ED20D7" w:rsidRPr="000C61DA">
        <w:rPr>
          <w:noProof/>
        </w:rPr>
        <w:t>Η Ευρωπαϊκή Αρχή Τραπεζών διεξήγαγε ανοικτές δημόσιες διαβουλεύσεις όσον αφορά τα σχέδια εκτελεστικών τεχνικών προτύπων στα οποία βασίζεται ο παρών κανονισμός, ανέλυσε τα ενδεχόμενα συναφή κόστη και τις ωφέλειες και ζήτησε τη γνώμη της ομάδας τραπεζικών συμφεροντούχων που συστάθηκε σύμφωνα με το άρθρο 37 του κανονισμού (ΕΕ) αριθ. 1093/2010 του Ευρωπαϊκού Κοινοβουλίου και του Συμβουλίου</w:t>
      </w:r>
      <w:r w:rsidR="00ED20D7" w:rsidRPr="000C61DA">
        <w:rPr>
          <w:rStyle w:val="FootnoteReference"/>
          <w:noProof/>
        </w:rPr>
        <w:footnoteReference w:id="8"/>
      </w:r>
      <w:r w:rsidR="00ED20D7" w:rsidRPr="000C61DA">
        <w:rPr>
          <w:noProof/>
        </w:rPr>
        <w:t>.</w:t>
      </w:r>
    </w:p>
    <w:p w:rsidR="00410340" w:rsidRPr="000C61DA" w:rsidRDefault="000549C4" w:rsidP="000549C4">
      <w:pPr>
        <w:pStyle w:val="ManualConsidrant"/>
        <w:rPr>
          <w:noProof/>
        </w:rPr>
      </w:pPr>
      <w:r w:rsidRPr="000549C4">
        <w:t>(8)</w:t>
      </w:r>
      <w:r w:rsidRPr="000549C4">
        <w:tab/>
      </w:r>
      <w:r w:rsidR="00410340" w:rsidRPr="000C61DA">
        <w:rPr>
          <w:noProof/>
        </w:rPr>
        <w:t>Επομένως, ο εκτελεστικός κανονισμός (ΕΕ) 2021/637 θα πρέπει να τροποποιηθεί αναλόγως,</w:t>
      </w:r>
    </w:p>
    <w:p w:rsidR="003C122C" w:rsidRPr="000C61DA" w:rsidRDefault="003C122C" w:rsidP="004E1EF9">
      <w:pPr>
        <w:pStyle w:val="Formuledadoption"/>
        <w:rPr>
          <w:noProof/>
          <w:szCs w:val="24"/>
        </w:rPr>
      </w:pPr>
      <w:r w:rsidRPr="000C61DA">
        <w:rPr>
          <w:noProof/>
        </w:rPr>
        <w:t>ΕΞΕΔΩΣΕ ΤΟΝ ΠΑΡΟΝΤΑ ΚΑΝΟΝΙΣΜΟ:</w:t>
      </w:r>
    </w:p>
    <w:p w:rsidR="003C122C" w:rsidRPr="000C61DA" w:rsidRDefault="003C122C" w:rsidP="004E1EF9">
      <w:pPr>
        <w:pStyle w:val="Titrearticle"/>
        <w:rPr>
          <w:noProof/>
          <w:szCs w:val="24"/>
        </w:rPr>
      </w:pPr>
      <w:r w:rsidRPr="000C61DA">
        <w:rPr>
          <w:noProof/>
        </w:rPr>
        <w:t>Άρθρο 1</w:t>
      </w:r>
    </w:p>
    <w:p w:rsidR="007F4F83" w:rsidRPr="000C61DA" w:rsidRDefault="007F4F83" w:rsidP="00D00193">
      <w:pPr>
        <w:pStyle w:val="Titrearticle"/>
        <w:spacing w:before="120"/>
        <w:rPr>
          <w:b/>
          <w:i w:val="0"/>
          <w:noProof/>
          <w:szCs w:val="24"/>
        </w:rPr>
      </w:pPr>
      <w:r w:rsidRPr="000C61DA">
        <w:rPr>
          <w:b/>
          <w:i w:val="0"/>
          <w:noProof/>
        </w:rPr>
        <w:t>Τροποποιήσεις του εκτελεστικού κανονισμού (ΕΕ) 2021/637</w:t>
      </w:r>
    </w:p>
    <w:p w:rsidR="007F4F83" w:rsidRPr="000C61DA" w:rsidRDefault="007F4F83" w:rsidP="007F4F83">
      <w:pPr>
        <w:pStyle w:val="Titrearticle"/>
        <w:jc w:val="left"/>
        <w:rPr>
          <w:rFonts w:eastAsiaTheme="minorEastAsia"/>
          <w:i w:val="0"/>
          <w:noProof/>
          <w:szCs w:val="24"/>
        </w:rPr>
      </w:pPr>
      <w:r w:rsidRPr="000C61DA">
        <w:rPr>
          <w:i w:val="0"/>
          <w:noProof/>
        </w:rPr>
        <w:t>Ο εκτελεστικός κανονισμός (ΕΕ) 2021/637 τροποποιείται ως εξής:</w:t>
      </w:r>
    </w:p>
    <w:p w:rsidR="007F4F83" w:rsidRPr="000C61DA" w:rsidRDefault="000549C4" w:rsidP="000549C4">
      <w:pPr>
        <w:pStyle w:val="Point0"/>
        <w:rPr>
          <w:noProof/>
        </w:rPr>
      </w:pPr>
      <w:r w:rsidRPr="000549C4">
        <w:t>(1)</w:t>
      </w:r>
      <w:r w:rsidRPr="000549C4">
        <w:tab/>
      </w:r>
      <w:r w:rsidR="007F4F83" w:rsidRPr="000C61DA">
        <w:rPr>
          <w:noProof/>
        </w:rPr>
        <w:t>προστίθεται το ακόλουθο άρθρο 18α:</w:t>
      </w:r>
    </w:p>
    <w:p w:rsidR="007F4F83" w:rsidRPr="000C61DA" w:rsidRDefault="006542E5" w:rsidP="004046D9">
      <w:pPr>
        <w:pStyle w:val="Titrearticle"/>
        <w:spacing w:before="120"/>
        <w:ind w:left="567" w:right="568"/>
        <w:rPr>
          <w:noProof/>
        </w:rPr>
      </w:pPr>
      <w:r w:rsidRPr="000C61DA">
        <w:rPr>
          <w:noProof/>
        </w:rPr>
        <w:t>«Άρθρο 18α</w:t>
      </w:r>
    </w:p>
    <w:p w:rsidR="007F4F83" w:rsidRPr="000C61DA" w:rsidRDefault="007F4F83" w:rsidP="004046D9">
      <w:pPr>
        <w:pStyle w:val="Titrearticle"/>
        <w:spacing w:before="120"/>
        <w:ind w:left="567" w:right="568"/>
        <w:rPr>
          <w:b/>
          <w:i w:val="0"/>
          <w:noProof/>
        </w:rPr>
      </w:pPr>
      <w:r w:rsidRPr="000C61DA">
        <w:rPr>
          <w:b/>
          <w:i w:val="0"/>
          <w:noProof/>
        </w:rPr>
        <w:t>Δημοσιοποίηση περιβαλλοντικών, κοινωνικών και σχετικών με τη διακυβέρνηση κινδύνων (κίνδυνοι ΠΚΔ)</w:t>
      </w:r>
    </w:p>
    <w:p w:rsidR="007F4F83" w:rsidRPr="000C61DA" w:rsidRDefault="000549C4" w:rsidP="000549C4">
      <w:pPr>
        <w:pStyle w:val="ManualNumPar1"/>
        <w:rPr>
          <w:noProof/>
        </w:rPr>
      </w:pPr>
      <w:r w:rsidRPr="000549C4">
        <w:t>1.</w:t>
      </w:r>
      <w:r w:rsidRPr="000549C4">
        <w:tab/>
      </w:r>
      <w:r w:rsidR="007F4F83" w:rsidRPr="000C61DA">
        <w:rPr>
          <w:noProof/>
        </w:rPr>
        <w:t>Τα ιδρύματα δημοσιοποιούν τις πληροφορίες που αναφέρονται στο άρθρο 449α του κανονισμού (ΕΕ) αριθ. 575/2013, ως εξής:</w:t>
      </w:r>
    </w:p>
    <w:p w:rsidR="002D1236" w:rsidRPr="000C61DA" w:rsidRDefault="000C61DA" w:rsidP="000C61DA">
      <w:pPr>
        <w:pStyle w:val="Point1"/>
        <w:rPr>
          <w:noProof/>
        </w:rPr>
      </w:pPr>
      <w:r>
        <w:rPr>
          <w:noProof/>
        </w:rPr>
        <w:t>α)</w:t>
      </w:r>
      <w:r w:rsidRPr="000C61DA">
        <w:rPr>
          <w:noProof/>
        </w:rPr>
        <w:tab/>
      </w:r>
      <w:r w:rsidR="002D1236" w:rsidRPr="000C61DA">
        <w:rPr>
          <w:noProof/>
        </w:rPr>
        <w:t>ποιοτικές πληροφορίες σχετικά με τους περιβαλλοντικούς, κοινωνικούς και σχετικούς με τη διακυβέρνηση κινδύνους, χρησιμοποιώντας τους πίνακες 1, 2 και 3 του παραρτήματος XXXIX του παρόντος κανονισμού και ακολουθώντας τις οδηγίες που ορίζονται στο παράρτημα XL του παρόντος κανονισμού·</w:t>
      </w:r>
    </w:p>
    <w:p w:rsidR="002D1236" w:rsidRPr="000C61DA" w:rsidRDefault="000C61DA" w:rsidP="000C61DA">
      <w:pPr>
        <w:pStyle w:val="Point1"/>
        <w:rPr>
          <w:noProof/>
        </w:rPr>
      </w:pPr>
      <w:r>
        <w:rPr>
          <w:noProof/>
        </w:rPr>
        <w:t>β)</w:t>
      </w:r>
      <w:r w:rsidRPr="000C61DA">
        <w:rPr>
          <w:noProof/>
        </w:rPr>
        <w:tab/>
      </w:r>
      <w:r w:rsidR="002D1236" w:rsidRPr="000C61DA">
        <w:rPr>
          <w:noProof/>
        </w:rPr>
        <w:t>ποσοτικές πληροφορίες σχετικά με τον κίνδυνο μετάβασης στην κλιματική αλλαγή, χρησιμοποιώντας τα υποδείγματα 1 έως 4 του παραρτήματος XXXIX του παρόντος κανονισμού και ακολουθώντας τις οδηγίες που ορίζονται στο παράρτημα XL του παρόντος κανονισμού·</w:t>
      </w:r>
    </w:p>
    <w:p w:rsidR="002D1236" w:rsidRPr="000C61DA" w:rsidRDefault="000C61DA" w:rsidP="000C61DA">
      <w:pPr>
        <w:pStyle w:val="Point1"/>
        <w:rPr>
          <w:noProof/>
        </w:rPr>
      </w:pPr>
      <w:r>
        <w:rPr>
          <w:noProof/>
        </w:rPr>
        <w:t>γ)</w:t>
      </w:r>
      <w:r w:rsidRPr="000C61DA">
        <w:rPr>
          <w:noProof/>
        </w:rPr>
        <w:tab/>
      </w:r>
      <w:r w:rsidR="002D1236" w:rsidRPr="000C61DA">
        <w:rPr>
          <w:noProof/>
        </w:rPr>
        <w:t>ποσοτικές πληροφορίες σχετικά με τους υλικούς κινδύνους κλιματικής αλλαγής, χρησιμοποιώντας το υπόδειγμα 5 του παραρτήματος XXXIX του παρόντος κανονισμού και ακολουθώντας τις οδηγίες που ορίζονται στο παράρτημα XL του παρόντος κανονισμού·</w:t>
      </w:r>
    </w:p>
    <w:p w:rsidR="002D1236" w:rsidRPr="000C61DA" w:rsidRDefault="000C61DA" w:rsidP="000C61DA">
      <w:pPr>
        <w:pStyle w:val="Point1"/>
        <w:rPr>
          <w:noProof/>
        </w:rPr>
      </w:pPr>
      <w:r>
        <w:rPr>
          <w:noProof/>
        </w:rPr>
        <w:t>δ)</w:t>
      </w:r>
      <w:r w:rsidRPr="000C61DA">
        <w:rPr>
          <w:noProof/>
        </w:rPr>
        <w:tab/>
      </w:r>
      <w:r w:rsidR="002D1236" w:rsidRPr="000C61DA">
        <w:rPr>
          <w:noProof/>
        </w:rPr>
        <w:t xml:space="preserve">ποσοτικές πληροφορίες σχετικά με μέτρα μετριασμού που συνδέονται με οικονομικές δραστηριότητες οι οποίες χαρακτηρίζονται ως περιβαλλοντικά βιώσιμες σύμφωνα με το άρθρο 3 του κανονισμού (ΕΕ) 2020/852 του Ευρωπαϊκού Κοινοβουλίου και του Συμβουλίου*1 έναντι αντισυμβαλλομένων που υπόκεινται στα άρθρα 19α ή 29α της οδηγίας 2013/34/ΕΕ του Ευρωπαϊκού Κοινοβουλίου και του Συμβουλίου *2, </w:t>
      </w:r>
      <w:bookmarkStart w:id="1" w:name="_Hlk92470586"/>
      <w:r w:rsidR="002D1236" w:rsidRPr="000C61DA">
        <w:rPr>
          <w:noProof/>
        </w:rPr>
        <w:t xml:space="preserve">έναντι νοικοκυριών, και έναντι τοπικών κυβερνήσεων, </w:t>
      </w:r>
      <w:bookmarkEnd w:id="1"/>
      <w:r w:rsidR="002D1236" w:rsidRPr="000C61DA">
        <w:rPr>
          <w:noProof/>
        </w:rPr>
        <w:t>όπως αναφέρεται στο παράρτημα V μέρος 1 σημείο 42 στοιχείο β) του εκτελεστικού κανονισμού (ΕΕ) 2021/451*3, χρησιμοποιώντας τα υποδείγματα 6, 7 και 8 του παραρτήματος XXXIX του παρόντος κανονισμού και ακολουθώντας τις οδηγίες που ορίζονται στο παράρτημα XL του παρόντος κανονισμού·</w:t>
      </w:r>
    </w:p>
    <w:p w:rsidR="00995098" w:rsidRPr="000C61DA" w:rsidRDefault="000C61DA" w:rsidP="000C61DA">
      <w:pPr>
        <w:pStyle w:val="Point1"/>
        <w:rPr>
          <w:noProof/>
        </w:rPr>
      </w:pPr>
      <w:r>
        <w:rPr>
          <w:noProof/>
        </w:rPr>
        <w:t>ε)</w:t>
      </w:r>
      <w:r w:rsidRPr="000C61DA">
        <w:rPr>
          <w:noProof/>
        </w:rPr>
        <w:tab/>
      </w:r>
      <w:r w:rsidR="00995098" w:rsidRPr="000C61DA">
        <w:rPr>
          <w:noProof/>
        </w:rPr>
        <w:t>ποσοτικές πληροφορίες σχετικά με άλλα μέτρα μετριασμού και ανοίγματα σε κινδύνους που σχετίζονται με την κλιματική αλλαγή, τα οποία δεν χαρακτηρίζονται ως περιβαλλοντικά βιώσιμες οικονομικές δραστηριότητες σύμφωνα με το άρθρο 3 του κανονισμού (ΕΕ) 2020/852, αλλά στηρίζουν τους αντισυμβαλλομένους στη διαδικασία μετάβασης ή προσαρμογής για την επίτευξη των στόχων του μετριασμού της κλιματικής αλλαγής και της προσαρμογής στην κλιματική αλλαγή, χρησιμοποιώντας το υπόδειγμα 10 του παραρτήματος XXXIX του παρόντος κανονισμού και ακολουθώντας τις οδηγίες που ορίζονται στο παράρτημα XL του παρόντος κανονισμού.</w:t>
      </w:r>
    </w:p>
    <w:p w:rsidR="008D2E23" w:rsidRPr="000C61DA" w:rsidRDefault="000549C4" w:rsidP="000549C4">
      <w:pPr>
        <w:pStyle w:val="ManualNumPar1"/>
        <w:rPr>
          <w:noProof/>
        </w:rPr>
      </w:pPr>
      <w:r w:rsidRPr="000549C4">
        <w:t>2.</w:t>
      </w:r>
      <w:r w:rsidRPr="000549C4">
        <w:tab/>
      </w:r>
      <w:r w:rsidR="000941B5" w:rsidRPr="000C61DA">
        <w:rPr>
          <w:noProof/>
        </w:rPr>
        <w:t xml:space="preserve">Τα ιδρύματα μπορούν να επιλέξουν να δημοσιοποιήσουν ποσοτικές πληροφορίες σχετικά με τα μέτρα μετριασμού και τα ανοίγματα σε κινδύνους που σχετίζονται με την κλιματική αλλαγή οι οποίοι συνδέονται με οικονομικές δραστηριότητες που χαρακτηρίζονται περιβαλλοντικά βιώσιμες σύμφωνα με το άρθρο 3 του κανονισμού (ΕΕ) 2020/852, έναντι αντισυμβαλλομένων </w:t>
      </w:r>
      <w:bookmarkStart w:id="2" w:name="_Hlk92470606"/>
      <w:r w:rsidR="000941B5" w:rsidRPr="000C61DA">
        <w:rPr>
          <w:noProof/>
        </w:rPr>
        <w:t>που είναι μη χρηματοπιστωτικές επιχειρήσεις</w:t>
      </w:r>
      <w:bookmarkEnd w:id="2"/>
      <w:r w:rsidR="000941B5" w:rsidRPr="000C61DA">
        <w:rPr>
          <w:noProof/>
        </w:rPr>
        <w:t>, όπως αναφέρεται στο παράρτημα V μέρος 1 σημείο 42 στοιχείο ε) του εκτελεστικού κανονισμού (ΕΕ) 2021/451, οι οποίοι δεν υπόκεινται στις υποχρεώσεις δημοσιοποίησης που ορίζονται στα άρθρα 19α ή 29α της οδηγίας 2013/34/ΕΕ και δεν υπόκεινται στις υποχρεώσεις δημοσιοποίησης που ορίζονται στον εκτελεστικό κανονισμό (ΕΕ) 2021/2178</w:t>
      </w:r>
      <w:r w:rsidR="000941B5" w:rsidRPr="000C61DA">
        <w:rPr>
          <w:noProof/>
          <w:vertAlign w:val="superscript"/>
        </w:rPr>
        <w:t>*4</w:t>
      </w:r>
      <w:r w:rsidR="000941B5" w:rsidRPr="000C61DA">
        <w:rPr>
          <w:noProof/>
        </w:rPr>
        <w:t xml:space="preserve">, με τη χρήση του υποδείγματος 9 του παραρτήματος XXXIX του παρόντος κανονισμού και σύμφωνα με τις οδηγίες που ορίζονται στο παράρτημα XL του παρόντος κανονισμού. </w:t>
      </w:r>
    </w:p>
    <w:p w:rsidR="002D1236" w:rsidRPr="000C61DA" w:rsidRDefault="002D1236" w:rsidP="00353D88">
      <w:pPr>
        <w:pStyle w:val="Text1"/>
        <w:rPr>
          <w:noProof/>
        </w:rPr>
      </w:pPr>
      <w:r w:rsidRPr="000C61DA">
        <w:rPr>
          <w:noProof/>
        </w:rPr>
        <w:t>Για τον υπολογισμό του ποσοστού των ανοιγμάτων σε δραστηριότητες που συμμορφώνονται με τις απαιτήσεις που ορίζονται στο άρθρο 3 του κανονισμού (ΕΕ) 2020/852 (ανοίγματα ευθυγραμμισμένα με την ταξινομία) έναντι των εν λόγω αντισυμβαλλομένων, τα ιδρύματα:</w:t>
      </w:r>
    </w:p>
    <w:p w:rsidR="00D23734" w:rsidRPr="000C61DA" w:rsidRDefault="000C61DA" w:rsidP="000C61DA">
      <w:pPr>
        <w:pStyle w:val="Point1"/>
        <w:rPr>
          <w:noProof/>
        </w:rPr>
      </w:pPr>
      <w:r>
        <w:rPr>
          <w:noProof/>
        </w:rPr>
        <w:t>α)</w:t>
      </w:r>
      <w:r w:rsidRPr="000C61DA">
        <w:rPr>
          <w:noProof/>
        </w:rPr>
        <w:tab/>
      </w:r>
      <w:r w:rsidR="008E7D06" w:rsidRPr="000C61DA">
        <w:rPr>
          <w:noProof/>
        </w:rPr>
        <w:t>μπορούν, εφόσον είναι διαθέσιμες, να χρησιμοποιούν τις πληροφορίες που λαμβάνουν από τους αντισυμβαλλομένους τους σε οικειοθελή και διμερή βάση μέσω της χορήγησης δανείων και των διαδικασιών τακτικής επανεξέτασης και παρακολούθησης των πιστώσεων·</w:t>
      </w:r>
    </w:p>
    <w:p w:rsidR="00D23734" w:rsidRPr="000C61DA" w:rsidRDefault="000C61DA" w:rsidP="000C61DA">
      <w:pPr>
        <w:pStyle w:val="Point1"/>
        <w:rPr>
          <w:noProof/>
        </w:rPr>
      </w:pPr>
      <w:r>
        <w:rPr>
          <w:noProof/>
        </w:rPr>
        <w:t>β)</w:t>
      </w:r>
      <w:r w:rsidRPr="000C61DA">
        <w:rPr>
          <w:noProof/>
        </w:rPr>
        <w:tab/>
      </w:r>
      <w:r w:rsidR="00B25755" w:rsidRPr="000C61DA">
        <w:rPr>
          <w:noProof/>
        </w:rPr>
        <w:t>όταν ο αντισυμβαλλόμενος δεν είναι σε θέση ή δεν είναι πρόθυμος να παρέχει τα σχετικά δεδομένα σε διμερή βάση, μπορούν να χρησιμοποιήσουν εσωτερικές εκτιμήσεις και προσεγγιστικά δεδομένα και να εξηγούν στο λεκτικό που συνοδεύει το υπόδειγμα σε ποιο βαθμό έχουν χρησιμοποιηθεί οι εν λόγω εσωτερικές εκτιμήσεις και προσεγγιστικά δεδομένα και ποιες εσωτερικές εκτιμήσεις και προσεγγιστικά δεδομένα έχουν εφαρμοστεί·</w:t>
      </w:r>
    </w:p>
    <w:p w:rsidR="002D1236" w:rsidRPr="000C61DA" w:rsidRDefault="000C61DA" w:rsidP="000C61DA">
      <w:pPr>
        <w:pStyle w:val="Point1"/>
        <w:rPr>
          <w:noProof/>
        </w:rPr>
      </w:pPr>
      <w:r>
        <w:rPr>
          <w:noProof/>
        </w:rPr>
        <w:t>γ)</w:t>
      </w:r>
      <w:r w:rsidRPr="000C61DA">
        <w:rPr>
          <w:noProof/>
        </w:rPr>
        <w:tab/>
      </w:r>
      <w:r w:rsidR="00D23734" w:rsidRPr="000C61DA">
        <w:rPr>
          <w:noProof/>
        </w:rPr>
        <w:t>όταν δεν είναι σε θέση να συλλέξουν τις σχετικές πληροφορίες σε διμερή βάση, ή δεν μπορούν να χρησιμοποιήσουν εσωτερικές εκτιμήσεις και προσεγγιστικά δεδομένα, ή δεν μπορούν να συλλέξουν τις εν λόγω πληροφορίες ή να χρησιμοποιήσουν τις εν λόγω εκτιμήσεις και προσεγγιστικά δεδομένα κατά τρόπο που δεν είναι υπερβολικά επαχθής για τα ιδρύματα ή για τους αντισυμβαλλομένους τους, μπορούν να εξηγήσουν την αδυναμία αυτή στο λεκτικό που συνοδεύει το υπόδειγμα.</w:t>
      </w:r>
    </w:p>
    <w:p w:rsidR="00320B78" w:rsidRPr="000C61DA" w:rsidRDefault="00320B78" w:rsidP="00353D88">
      <w:pPr>
        <w:pStyle w:val="Text1"/>
        <w:rPr>
          <w:noProof/>
        </w:rPr>
      </w:pPr>
      <w:r w:rsidRPr="000C61DA">
        <w:rPr>
          <w:noProof/>
        </w:rPr>
        <w:t>Για τους σκοπούς του στοιχείου α), τα ιδρύματα ενημερώνουν τους αντισυμβαλλομένους τους ότι η παροχή των εν λόγω πληροφοριών είναι οικειοθελής.</w:t>
      </w:r>
    </w:p>
    <w:p w:rsidR="007F4F83" w:rsidRPr="000C61DA" w:rsidRDefault="000549C4" w:rsidP="000549C4">
      <w:pPr>
        <w:pStyle w:val="ManualNumPar1"/>
        <w:rPr>
          <w:noProof/>
        </w:rPr>
      </w:pPr>
      <w:r w:rsidRPr="000549C4">
        <w:t>3.</w:t>
      </w:r>
      <w:r w:rsidRPr="000549C4">
        <w:tab/>
      </w:r>
      <w:r w:rsidR="006B71ED" w:rsidRPr="000C61DA">
        <w:rPr>
          <w:noProof/>
        </w:rPr>
        <w:t>Εκτός εάν ορίζεται διαφορετικά στις οδηγίες που του παραρτήματος XL του παρόντος κανονισμού, τα ιδρύματα δημοσιοποιούν, από τις 31 Δεκεμβρίου 2022, τις πληροφορίες που αναφέρονται στο άρθρο 449α του κανονισμού (ΕΕ) αριθ. 575/2013 κατά τις ακόλουθες ημερομηνίες:</w:t>
      </w:r>
    </w:p>
    <w:p w:rsidR="007F4F83" w:rsidRPr="000C61DA" w:rsidRDefault="000C61DA" w:rsidP="000C61DA">
      <w:pPr>
        <w:pStyle w:val="Point1"/>
        <w:rPr>
          <w:noProof/>
        </w:rPr>
      </w:pPr>
      <w:r>
        <w:rPr>
          <w:noProof/>
        </w:rPr>
        <w:t>α)</w:t>
      </w:r>
      <w:r w:rsidRPr="000C61DA">
        <w:rPr>
          <w:noProof/>
        </w:rPr>
        <w:tab/>
      </w:r>
      <w:r w:rsidR="007F4F83" w:rsidRPr="000C61DA">
        <w:rPr>
          <w:noProof/>
        </w:rPr>
        <w:t>όσον αφορά τις ετήσιες δημοσιοποιήσεις: στις 31 Δεκεμβρίου·</w:t>
      </w:r>
    </w:p>
    <w:p w:rsidR="00D01D57" w:rsidRPr="000C61DA" w:rsidRDefault="000C61DA" w:rsidP="000C61DA">
      <w:pPr>
        <w:pStyle w:val="Point1"/>
        <w:rPr>
          <w:noProof/>
        </w:rPr>
      </w:pPr>
      <w:r>
        <w:rPr>
          <w:noProof/>
        </w:rPr>
        <w:t>β)</w:t>
      </w:r>
      <w:r w:rsidRPr="000C61DA">
        <w:rPr>
          <w:noProof/>
        </w:rPr>
        <w:tab/>
      </w:r>
      <w:r w:rsidR="007F4F83" w:rsidRPr="000C61DA">
        <w:rPr>
          <w:noProof/>
        </w:rPr>
        <w:t>όσον αφορά τις εξαμηνιαίες δημοσιοποιήσεις: στις 30 Ιουνίου και στις 31 Δεκεμβρίου κάθε έτους.</w:t>
      </w:r>
    </w:p>
    <w:p w:rsidR="00086FAB" w:rsidRPr="000C61DA" w:rsidRDefault="001904B5" w:rsidP="0087679B">
      <w:pPr>
        <w:pStyle w:val="Text2"/>
        <w:rPr>
          <w:noProof/>
        </w:rPr>
      </w:pPr>
      <w:r w:rsidRPr="000C61DA">
        <w:rPr>
          <w:noProof/>
        </w:rPr>
        <w:tab/>
        <w:t>___________</w:t>
      </w:r>
    </w:p>
    <w:p w:rsidR="00086FAB" w:rsidRPr="000C61DA" w:rsidRDefault="00086FAB" w:rsidP="0087679B">
      <w:pPr>
        <w:pStyle w:val="Text3"/>
        <w:rPr>
          <w:noProof/>
          <w:sz w:val="20"/>
          <w:szCs w:val="20"/>
        </w:rPr>
      </w:pPr>
      <w:r w:rsidRPr="000C61DA">
        <w:rPr>
          <w:noProof/>
          <w:sz w:val="20"/>
          <w:vertAlign w:val="superscript"/>
        </w:rPr>
        <w:t>*1</w:t>
      </w:r>
      <w:r w:rsidRPr="000C61DA">
        <w:rPr>
          <w:noProof/>
        </w:rPr>
        <w:tab/>
      </w:r>
      <w:r w:rsidRPr="000C61DA">
        <w:rPr>
          <w:noProof/>
          <w:sz w:val="20"/>
        </w:rPr>
        <w:t>Κανονισμός (ΕΕ) 2020/852 του Ευρωπαϊκού Κοινοβουλίου και του Συμβουλίου, της 18ης Ιουνίου 2020, σχετικά με τη θέσπιση πλαισίου για τη διευκόλυνση των βιώσιμων επενδύσεων και για την τροποποίηση του κανονισμού (ΕΕ) 2019/2088 (ΕΕ L 198 της 22.6.2020, σ. 13).</w:t>
      </w:r>
    </w:p>
    <w:p w:rsidR="00086FAB" w:rsidRPr="000C61DA" w:rsidRDefault="00086FAB" w:rsidP="004F6722">
      <w:pPr>
        <w:pStyle w:val="Text3"/>
        <w:rPr>
          <w:noProof/>
          <w:sz w:val="20"/>
          <w:szCs w:val="20"/>
        </w:rPr>
      </w:pPr>
      <w:r w:rsidRPr="000C61DA">
        <w:rPr>
          <w:noProof/>
          <w:sz w:val="20"/>
          <w:vertAlign w:val="superscript"/>
        </w:rPr>
        <w:t>*2</w:t>
      </w:r>
      <w:r w:rsidRPr="000C61DA">
        <w:rPr>
          <w:noProof/>
        </w:rPr>
        <w:tab/>
      </w:r>
      <w:r w:rsidRPr="000C61DA">
        <w:rPr>
          <w:noProof/>
          <w:sz w:val="20"/>
        </w:rPr>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p w:rsidR="00086FAB" w:rsidRPr="000C61DA" w:rsidRDefault="00086FAB" w:rsidP="0087679B">
      <w:pPr>
        <w:pStyle w:val="Text3"/>
        <w:rPr>
          <w:noProof/>
          <w:sz w:val="20"/>
          <w:szCs w:val="20"/>
        </w:rPr>
      </w:pPr>
      <w:r w:rsidRPr="000C61DA">
        <w:rPr>
          <w:noProof/>
          <w:sz w:val="20"/>
          <w:vertAlign w:val="superscript"/>
        </w:rPr>
        <w:t>*3</w:t>
      </w:r>
      <w:r w:rsidRPr="000C61DA">
        <w:rPr>
          <w:noProof/>
        </w:rPr>
        <w:tab/>
      </w:r>
      <w:r w:rsidRPr="000C61DA">
        <w:rPr>
          <w:noProof/>
          <w:sz w:val="20"/>
        </w:rPr>
        <w:t>Εκτελεστικός κανονισμός (ΕΕ) 2021/451 της Επιτροπής, της 17ης Δεκεμβρίου 2020, για τη θέσπιση εκτελεστικών τεχνικών προτύπων για την εφαρμογή του κανονισμού (ΕΕ) αριθ. 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680/2014 (ΕΕ L 97 της 19.3.2021, σ. 1).</w:t>
      </w:r>
    </w:p>
    <w:p w:rsidR="00086FAB" w:rsidRPr="000C61DA" w:rsidRDefault="00086FAB" w:rsidP="0087679B">
      <w:pPr>
        <w:pStyle w:val="Text3"/>
        <w:rPr>
          <w:noProof/>
          <w:sz w:val="20"/>
          <w:szCs w:val="20"/>
        </w:rPr>
      </w:pPr>
      <w:r w:rsidRPr="000C61DA">
        <w:rPr>
          <w:noProof/>
          <w:sz w:val="20"/>
          <w:vertAlign w:val="superscript"/>
        </w:rPr>
        <w:t>*4</w:t>
      </w:r>
      <w:r w:rsidRPr="000C61DA">
        <w:rPr>
          <w:noProof/>
        </w:rPr>
        <w:tab/>
      </w:r>
      <w:r w:rsidRPr="000C61DA">
        <w:rPr>
          <w:noProof/>
          <w:sz w:val="20"/>
        </w:rPr>
        <w:t>Κατ’ εξουσιοδότηση κανονισμός (ΕΕ) 2021/2178 της Επιτροπής, της 6ης Ιουλίου 2021, για τη συμπλήρωση του κανονισμού (ΕΕ) 2020/852 του Ευρωπαϊκού Κοινοβουλίου και του Συμβουλίου με τη διευκρίνιση του περιεχομένου και της παρουσίασης των πληροφοριών που πρέπει να δημοσιοποιούνται από τις επιχειρήσεις που εμπίπτουν στο άρθρο 19α ή στο άρθρο 29α της οδηγίας 2013/34/ΕΕ όσον αφορά τις περιβαλλοντικά βιώσιμες οικονομικές δραστηριότητες, και τον καθορισμό της μεθοδολογίας για τη συμμόρφωση με την υποχρέωση γνωστοποίησης (ΕΕ L 443 της 10.12.2021, σ. 9).</w:t>
      </w:r>
    </w:p>
    <w:p w:rsidR="007F4F83" w:rsidRPr="000C61DA" w:rsidRDefault="000549C4" w:rsidP="000549C4">
      <w:pPr>
        <w:pStyle w:val="Point0"/>
        <w:rPr>
          <w:noProof/>
        </w:rPr>
      </w:pPr>
      <w:r w:rsidRPr="000549C4">
        <w:t>(2)</w:t>
      </w:r>
      <w:r w:rsidRPr="000549C4">
        <w:tab/>
      </w:r>
      <w:r w:rsidR="00921483" w:rsidRPr="000C61DA">
        <w:rPr>
          <w:noProof/>
        </w:rPr>
        <w:t xml:space="preserve">το κείμενο που παρατίθεται στο παράρτημα I του παρόντος κανονισμού προστίθεται ως παράρτημα XXXIX· </w:t>
      </w:r>
    </w:p>
    <w:p w:rsidR="007F4F83" w:rsidRPr="000C61DA" w:rsidRDefault="000549C4" w:rsidP="000549C4">
      <w:pPr>
        <w:pStyle w:val="Point0"/>
        <w:rPr>
          <w:noProof/>
        </w:rPr>
      </w:pPr>
      <w:r w:rsidRPr="000549C4">
        <w:t>(3)</w:t>
      </w:r>
      <w:r w:rsidRPr="000549C4">
        <w:tab/>
      </w:r>
      <w:r w:rsidR="00921483" w:rsidRPr="000C61DA">
        <w:rPr>
          <w:noProof/>
        </w:rPr>
        <w:t>το κείμενο που παρατίθεται στο παράρτημα ΙI του παρόντος κανονισμού προστίθεται ως παράρτημα XL.</w:t>
      </w:r>
    </w:p>
    <w:p w:rsidR="007F4F83" w:rsidRPr="000C61DA" w:rsidRDefault="007F4F83" w:rsidP="004046D9">
      <w:pPr>
        <w:pStyle w:val="Titrearticle"/>
        <w:rPr>
          <w:noProof/>
          <w:szCs w:val="24"/>
        </w:rPr>
      </w:pPr>
      <w:r w:rsidRPr="000C61DA">
        <w:rPr>
          <w:noProof/>
        </w:rPr>
        <w:t>Άρθρο 2</w:t>
      </w:r>
    </w:p>
    <w:p w:rsidR="007F4F83" w:rsidRPr="000C61DA" w:rsidRDefault="007F4F83" w:rsidP="007F4F83">
      <w:pPr>
        <w:pStyle w:val="Titrearticle"/>
        <w:spacing w:before="120"/>
        <w:rPr>
          <w:b/>
          <w:i w:val="0"/>
          <w:noProof/>
          <w:szCs w:val="24"/>
        </w:rPr>
      </w:pPr>
      <w:r w:rsidRPr="000C61DA">
        <w:rPr>
          <w:b/>
          <w:i w:val="0"/>
          <w:noProof/>
        </w:rPr>
        <w:t>Έναρξη ισχύος</w:t>
      </w:r>
    </w:p>
    <w:p w:rsidR="007F4F83" w:rsidRPr="000C61DA" w:rsidRDefault="007F4F83" w:rsidP="007F4F83">
      <w:pPr>
        <w:rPr>
          <w:noProof/>
          <w:color w:val="000000" w:themeColor="text1"/>
          <w:szCs w:val="24"/>
        </w:rPr>
      </w:pPr>
      <w:r w:rsidRPr="000C61DA">
        <w:rPr>
          <w:noProof/>
        </w:rPr>
        <w:t xml:space="preserve">Ο παρών κανονισμός αρχίζει να ισχύει την εικοστή ημέρα από τη δημοσίευσή του στην </w:t>
      </w:r>
      <w:r w:rsidRPr="000C61DA">
        <w:rPr>
          <w:i/>
          <w:noProof/>
          <w:color w:val="000000" w:themeColor="text1"/>
        </w:rPr>
        <w:t>Επίσημη Εφημερίδα της Ευρωπαϊκής Ένωσης</w:t>
      </w:r>
      <w:r w:rsidRPr="000C61DA">
        <w:rPr>
          <w:noProof/>
        </w:rPr>
        <w:t>.</w:t>
      </w:r>
      <w:r w:rsidRPr="000C61DA">
        <w:rPr>
          <w:noProof/>
          <w:color w:val="000000" w:themeColor="text1"/>
        </w:rPr>
        <w:t xml:space="preserve"> </w:t>
      </w:r>
    </w:p>
    <w:p w:rsidR="007F4F83" w:rsidRPr="000C61DA" w:rsidRDefault="007F4F83" w:rsidP="007F4F83">
      <w:pPr>
        <w:pStyle w:val="Applicationdirecte"/>
        <w:rPr>
          <w:noProof/>
          <w:color w:val="000000"/>
          <w:szCs w:val="24"/>
        </w:rPr>
      </w:pPr>
      <w:r w:rsidRPr="000C61DA">
        <w:rPr>
          <w:noProof/>
          <w:color w:val="000000"/>
        </w:rPr>
        <w:t>Ο παρών κανονισμός είναι δεσμευτικός ως προς όλα τα μέρη του και ισχύει άμεσα σε κάθε κράτος μέλος.</w:t>
      </w:r>
    </w:p>
    <w:p w:rsidR="003C122C" w:rsidRPr="000C61DA" w:rsidRDefault="00B401CB" w:rsidP="002B148C">
      <w:pPr>
        <w:pStyle w:val="Fait"/>
        <w:rPr>
          <w:noProof/>
        </w:rPr>
      </w:pPr>
      <w:r w:rsidRPr="00B401CB">
        <w:t>Βρυξέλλες, 30.11.2022</w:t>
      </w:r>
    </w:p>
    <w:p w:rsidR="003C122C" w:rsidRPr="000C61DA" w:rsidRDefault="003C122C" w:rsidP="002B148C">
      <w:pPr>
        <w:pStyle w:val="Institutionquisigne"/>
        <w:rPr>
          <w:noProof/>
          <w:szCs w:val="24"/>
        </w:rPr>
      </w:pPr>
      <w:r w:rsidRPr="000C61DA">
        <w:rPr>
          <w:noProof/>
        </w:rPr>
        <w:tab/>
        <w:t>Για την Επιτροπή</w:t>
      </w:r>
    </w:p>
    <w:p w:rsidR="00C32BCD" w:rsidRPr="000C61DA" w:rsidRDefault="00A81198" w:rsidP="002B148C">
      <w:pPr>
        <w:pStyle w:val="Personnequisigne"/>
        <w:keepNext/>
        <w:rPr>
          <w:noProof/>
          <w:szCs w:val="24"/>
        </w:rPr>
      </w:pPr>
      <w:r>
        <w:tab/>
        <w:t>Η Πρόεδρος</w:t>
      </w:r>
      <w:r>
        <w:br/>
      </w:r>
      <w:r>
        <w:tab/>
        <w:t>Ursula VON DER LEYEN</w:t>
      </w:r>
    </w:p>
    <w:p w:rsidR="00C32BCD" w:rsidRPr="000C61DA" w:rsidRDefault="00C32BCD" w:rsidP="00C32BCD">
      <w:pPr>
        <w:pStyle w:val="Personnequisigne"/>
        <w:rPr>
          <w:noProof/>
          <w:szCs w:val="24"/>
        </w:rPr>
      </w:pPr>
    </w:p>
    <w:sectPr w:rsidR="00C32BCD" w:rsidRPr="000C61DA" w:rsidSect="00B66FB9">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B66FB9" w:rsidRDefault="00B66FB9" w:rsidP="00B66FB9">
    <w:pPr>
      <w:pStyle w:val="Footer"/>
      <w:rPr>
        <w:rFonts w:ascii="Arial" w:hAnsi="Arial" w:cs="Arial"/>
        <w:b/>
        <w:sz w:val="48"/>
      </w:rPr>
    </w:pPr>
    <w:r w:rsidRPr="00B66FB9">
      <w:rPr>
        <w:rFonts w:ascii="Arial" w:hAnsi="Arial" w:cs="Arial"/>
        <w:b/>
        <w:sz w:val="48"/>
      </w:rPr>
      <w:t>EL</w:t>
    </w:r>
    <w:r w:rsidRPr="00B66FB9">
      <w:rPr>
        <w:rFonts w:ascii="Arial" w:hAnsi="Arial" w:cs="Arial"/>
        <w:b/>
        <w:sz w:val="48"/>
      </w:rPr>
      <w:tab/>
    </w:r>
    <w:r w:rsidRPr="00B66FB9">
      <w:rPr>
        <w:rFonts w:ascii="Arial" w:hAnsi="Arial" w:cs="Arial"/>
        <w:b/>
        <w:sz w:val="48"/>
      </w:rPr>
      <w:tab/>
    </w:r>
    <w:r w:rsidRPr="00B66FB9">
      <w:tab/>
    </w:r>
    <w:r w:rsidRPr="00B66FB9">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FB9" w:rsidRPr="00B66FB9" w:rsidRDefault="00B66FB9" w:rsidP="00B66FB9">
    <w:pPr>
      <w:pStyle w:val="Footer"/>
      <w:rPr>
        <w:rFonts w:ascii="Arial" w:hAnsi="Arial" w:cs="Arial"/>
        <w:b/>
        <w:sz w:val="48"/>
      </w:rPr>
    </w:pPr>
    <w:r w:rsidRPr="00B66FB9">
      <w:rPr>
        <w:rFonts w:ascii="Arial" w:hAnsi="Arial" w:cs="Arial"/>
        <w:b/>
        <w:sz w:val="48"/>
      </w:rPr>
      <w:t>EL</w:t>
    </w:r>
    <w:r w:rsidRPr="00B66FB9">
      <w:rPr>
        <w:rFonts w:ascii="Arial" w:hAnsi="Arial" w:cs="Arial"/>
        <w:b/>
        <w:sz w:val="48"/>
      </w:rPr>
      <w:tab/>
    </w:r>
    <w:r>
      <w:fldChar w:fldCharType="begin"/>
    </w:r>
    <w:r>
      <w:instrText xml:space="preserve"> PAGE  \* MERGEFORMAT </w:instrText>
    </w:r>
    <w:r>
      <w:fldChar w:fldCharType="separate"/>
    </w:r>
    <w:r w:rsidR="002B148C">
      <w:rPr>
        <w:noProof/>
      </w:rPr>
      <w:t>6</w:t>
    </w:r>
    <w:r>
      <w:fldChar w:fldCharType="end"/>
    </w:r>
    <w:r>
      <w:tab/>
    </w:r>
    <w:r w:rsidRPr="00B66FB9">
      <w:tab/>
    </w:r>
    <w:r w:rsidRPr="00B66FB9">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FB9" w:rsidRPr="00B66FB9" w:rsidRDefault="00B66FB9" w:rsidP="00B66F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ΕΕ L 176 της 27.6.2013, σ. 1.</w:t>
      </w:r>
    </w:p>
  </w:footnote>
  <w:footnote w:id="2">
    <w:p w:rsidR="007067A9" w:rsidRPr="00FC42BE" w:rsidRDefault="007067A9" w:rsidP="007067A9">
      <w:pPr>
        <w:pStyle w:val="FootnoteText"/>
      </w:pPr>
      <w:r>
        <w:rPr>
          <w:rStyle w:val="FootnoteReference"/>
        </w:rPr>
        <w:footnoteRef/>
      </w:r>
      <w:r>
        <w:tab/>
        <w:t>Εκτελεστικός κανονισμός (ΕΕ) 2021/637 της Επιτροπής, της 15ης Μαρτίου 2021, για τον καθορισμό εκτελεστικών τεχνικών προτύπων όσον αφορά τη δημοσιοποίηση από τα ιδρύματα των πληροφοριών που αναφέρονται στο όγδοο μέρος τίτλοι II και III του κανονισμού (ΕΕ) αριθ. 575/2013 του Ευρωπαϊκού Κοινοβουλίου και του Συμβουλίου και για την κατάργηση του εκτελεστικού κανονισμού (ΕΕ) αριθ. 1423/2013 της Επιτροπής, του κατ’ εξουσιοδότηση κανονισμού (ΕΕ) 2015/1555 της Επιτροπής, του εκτελεστικού κανονισμού (ΕΕ) 2016/200 της Επιτροπής και του κατ’ εξουσιοδότηση κανονισμού (ΕΕ) 2017/2295 της Επιτροπής (ΕΕ L 136 της 21.4.2021, σ. 1).</w:t>
      </w:r>
    </w:p>
  </w:footnote>
  <w:footnote w:id="3">
    <w:p w:rsidR="007067A9" w:rsidRPr="007067A9" w:rsidRDefault="007067A9" w:rsidP="007067A9">
      <w:pPr>
        <w:pStyle w:val="FootnoteText"/>
      </w:pPr>
      <w:r>
        <w:rPr>
          <w:rStyle w:val="FootnoteReference"/>
        </w:rPr>
        <w:footnoteRef/>
      </w:r>
      <w:r>
        <w:tab/>
        <w:t>Κανονισμός (ΕΕ) 2019/876 του Ευρωπαϊκού Κοινοβουλίου και του Συμβουλίου, της 20ής Μαΐου 2019, για την τροποποίηση του κανονισμού (ΕΕ) αριθ. 575/2013 όσον αφορά τον δείκτη μόχλευσης, τον δείκτη καθαρής σταθερής χρηματοδότησης, τις απαιτήσεις ιδίων κεφαλαίων και επιλέξιμων υποχρεώσεων, τον πιστωτικό κίνδυνο αντισυμβαλλομένου, τον κίνδυνο αγοράς, τα ανοίγματα έναντι κεντρικών αντισυμβαλλομένων, τα ανοίγματα έναντι οργανισμών συλλογικών επενδύσεων, τα μεγάλα χρηματοδοτικά ανοίγματα και τις υποχρεώσεις υποβολής αναφορών και δημοσιοποίησης, καθώς και του κανονισμού (ΕΕ) αριθ. 648/2012 (ΕΕ L 150 της 7.6.2019, σ. 1).</w:t>
      </w:r>
    </w:p>
  </w:footnote>
  <w:footnote w:id="4">
    <w:p w:rsidR="00410340" w:rsidRPr="007067A9" w:rsidRDefault="00410340" w:rsidP="008B3E83">
      <w:pPr>
        <w:pStyle w:val="FootnoteText"/>
      </w:pPr>
      <w:r>
        <w:rPr>
          <w:rStyle w:val="FootnoteReference"/>
        </w:rPr>
        <w:footnoteRef/>
      </w:r>
      <w:r>
        <w:tab/>
        <w:t>Κανονισμός (ΕΕ) 2020/852 του Ευρωπαϊκού Κοινοβουλίου και του Συμβουλίου, της 18ης Ιουνίου 2020, σχετικά με τη θέσπιση πλαισίου για τη διευκόλυνση των βιώσιμων επενδύσεων και για την τροποποίηση του κανονισμού (ΕΕ) 2019/2088 (</w:t>
      </w:r>
      <w:r>
        <w:rPr>
          <w:rStyle w:val="Emphasis"/>
          <w:i w:val="0"/>
        </w:rPr>
        <w:t>ΕΕ L 198 της 22.6.2020, σ. 13).</w:t>
      </w:r>
    </w:p>
  </w:footnote>
  <w:footnote w:id="5">
    <w:p w:rsidR="00410340" w:rsidRPr="007067A9" w:rsidRDefault="00410340" w:rsidP="008B3E83">
      <w:pPr>
        <w:pStyle w:val="FootnoteText"/>
        <w:rPr>
          <w:i/>
        </w:rPr>
      </w:pPr>
      <w:r>
        <w:rPr>
          <w:rStyle w:val="FootnoteReference"/>
        </w:rPr>
        <w:footnoteRef/>
      </w:r>
      <w:r>
        <w:tab/>
        <w:t>Κατ’ εξουσιοδότηση κανονισμός (ΕΕ) 2020/1818 της Επιτροπής, της 17ης Ιουλίου 2020, για τη συμπλήρωση του κανονισμού (ΕΕ) 2016/1011 του Ευρωπαϊκού Κοινοβουλίου και του Συμβουλίου όσον αφορά ελάχιστα πρότυπα για ενωσιακούς δείκτες αναφοράς για την κλιματική μετάβαση και ευθυγραμμισμένους με τη συμφωνία του Παρισιού ενωσιακούς δείκτες αναφοράς (</w:t>
      </w:r>
      <w:r>
        <w:rPr>
          <w:rStyle w:val="Emphasis"/>
          <w:i w:val="0"/>
        </w:rPr>
        <w:t>ΕΕ L 406 της 3.12.2020, σ. 17).</w:t>
      </w:r>
    </w:p>
  </w:footnote>
  <w:footnote w:id="6">
    <w:p w:rsidR="00410340" w:rsidRPr="007067A9" w:rsidRDefault="00410340" w:rsidP="008B3E83">
      <w:pPr>
        <w:pStyle w:val="FootnoteText"/>
        <w:rPr>
          <w:color w:val="444444"/>
        </w:rPr>
      </w:pPr>
      <w:r>
        <w:rPr>
          <w:rStyle w:val="FootnoteReference"/>
        </w:rPr>
        <w:footnoteRef/>
      </w:r>
      <w:r>
        <w:tab/>
        <w:t>Οδηγία 2010/31/ΕΕ του Ευρωπαϊκού Κοινοβουλίου και του Συμβουλίου, της 19ης Μαΐου 2010, για την ενεργειακή απόδοση των κτιρίων (</w:t>
      </w:r>
      <w:r>
        <w:rPr>
          <w:rStyle w:val="Emphasis"/>
          <w:i w:val="0"/>
        </w:rPr>
        <w:t>ΕΕ L 153 της 18.6.2010, σ. 13).</w:t>
      </w:r>
    </w:p>
  </w:footnote>
  <w:footnote w:id="7">
    <w:p w:rsidR="00135CD4" w:rsidRPr="00135CD4" w:rsidRDefault="00135CD4" w:rsidP="00135CD4">
      <w:pPr>
        <w:pStyle w:val="FootnoteText"/>
      </w:pPr>
      <w:r>
        <w:rPr>
          <w:rStyle w:val="FootnoteReference"/>
        </w:rPr>
        <w:footnoteRef/>
      </w:r>
      <w:r>
        <w:tab/>
        <w:t>Οδηγία 2013/34/EE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78/660/EOK και 83/349/ΕΟΚ του Συμβουλίου (ΕΕ L 182 της 29.6.2013, σ. 19).</w:t>
      </w:r>
    </w:p>
  </w:footnote>
  <w:footnote w:id="8">
    <w:p w:rsidR="00410340" w:rsidRPr="007067A9" w:rsidRDefault="00410340" w:rsidP="00410340">
      <w:pPr>
        <w:pStyle w:val="FootnoteText"/>
      </w:pPr>
      <w:r>
        <w:rPr>
          <w:rStyle w:val="FootnoteReference"/>
        </w:rPr>
        <w:footnoteRef/>
      </w:r>
      <w:r>
        <w:tab/>
        <w:t>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3:10"/>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76E082D-5CA5-418A-91A1-FD5AEC69DD2E"/>
    <w:docVar w:name="LW_COVERPAGE_TYPE" w:val="1"/>
    <w:docVar w:name="LW_CROSSREFERENCE" w:val="&lt;UNUSED&gt;"/>
    <w:docVar w:name="LW_DATE.ADOPT.CP" w:val="\u964?\u951?\u962? 30.11.2022"/>
    <w:docVar w:name="LW_DATE.ADOPT.CP_DATEFORMAT" w:val="\u964?\u951?\u962? %DATE%"/>
    <w:docVar w:name="LW_DATE.ADOPT.CP_ISODATE" w:val="2022-11-30"/>
    <w:docVar w:name="LW_DocType" w:val="COM"/>
    <w:docVar w:name="LW_EMISSION" w:val="30.11.2022"/>
    <w:docVar w:name="LW_EMISSION_ISODATE" w:val="2022-11-30"/>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Κείμενο που παρουσιάζει ενδιαφέρον για τον ΕΟΧ)"/>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για την τροποποίηση των εκτελεστικών τεχνικών προτύπων που καθορίζονται στον εκτελεστικό κανονισμό (ΕΕ) 2021/637 όσον αφορά τη δημοσιοποίηση περιβαλλοντικών, κοινωνικών και σχετικών με τη διακυβέρνηση κινδύνων _x000b_"/>
    <w:docVar w:name="LW_TYPE.DOC.CP" w:val="ΕΚΤΕΛΕΣΤΙΚΟΣ ΚΑΝΟΝΙΣΜΟΣ (ΕΕ) …/... ΤΗΣ ΕΠΙΤΡΟΠΗΣ"/>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549C4"/>
    <w:rsid w:val="0006070A"/>
    <w:rsid w:val="00066156"/>
    <w:rsid w:val="00083B2C"/>
    <w:rsid w:val="00086FAB"/>
    <w:rsid w:val="00092C7C"/>
    <w:rsid w:val="000941B5"/>
    <w:rsid w:val="00095049"/>
    <w:rsid w:val="000A39E5"/>
    <w:rsid w:val="000A7517"/>
    <w:rsid w:val="000B1F8E"/>
    <w:rsid w:val="000B76A4"/>
    <w:rsid w:val="000C0D47"/>
    <w:rsid w:val="000C61DA"/>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48C"/>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D93"/>
    <w:rsid w:val="003C122C"/>
    <w:rsid w:val="003C70D6"/>
    <w:rsid w:val="003D22F0"/>
    <w:rsid w:val="003D5E0A"/>
    <w:rsid w:val="003E1B7D"/>
    <w:rsid w:val="004046D9"/>
    <w:rsid w:val="00407280"/>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D35EE"/>
    <w:rsid w:val="008E08C7"/>
    <w:rsid w:val="008E44ED"/>
    <w:rsid w:val="008E7033"/>
    <w:rsid w:val="008E7D06"/>
    <w:rsid w:val="00905BE0"/>
    <w:rsid w:val="00911BBB"/>
    <w:rsid w:val="00921483"/>
    <w:rsid w:val="00930B06"/>
    <w:rsid w:val="0093114D"/>
    <w:rsid w:val="009311B8"/>
    <w:rsid w:val="00935E8E"/>
    <w:rsid w:val="0094232C"/>
    <w:rsid w:val="00945DFA"/>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1198"/>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01CB"/>
    <w:rsid w:val="00B4247A"/>
    <w:rsid w:val="00B45C88"/>
    <w:rsid w:val="00B555F4"/>
    <w:rsid w:val="00B667EA"/>
    <w:rsid w:val="00B66FB9"/>
    <w:rsid w:val="00B75C81"/>
    <w:rsid w:val="00B76A3B"/>
    <w:rsid w:val="00B8705E"/>
    <w:rsid w:val="00B87C8F"/>
    <w:rsid w:val="00B90FD9"/>
    <w:rsid w:val="00B94522"/>
    <w:rsid w:val="00BB6E75"/>
    <w:rsid w:val="00BC21DD"/>
    <w:rsid w:val="00BE0377"/>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E1AB9"/>
    <w:rsid w:val="00CE6E2A"/>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0689"/>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l-G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el-GR"/>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el-GR"/>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B66FB9"/>
    <w:pPr>
      <w:tabs>
        <w:tab w:val="center" w:pos="4535"/>
        <w:tab w:val="right" w:pos="9071"/>
      </w:tabs>
      <w:spacing w:before="0"/>
    </w:pPr>
  </w:style>
  <w:style w:type="character" w:customStyle="1" w:styleId="HeaderChar">
    <w:name w:val="Header Char"/>
    <w:basedOn w:val="DefaultParagraphFont"/>
    <w:link w:val="Header"/>
    <w:uiPriority w:val="99"/>
    <w:rsid w:val="00B66FB9"/>
    <w:rPr>
      <w:rFonts w:ascii="Times New Roman" w:hAnsi="Times New Roman" w:cs="Times New Roman"/>
      <w:sz w:val="24"/>
      <w:lang w:val="el-GR"/>
    </w:rPr>
  </w:style>
  <w:style w:type="paragraph" w:styleId="Footer">
    <w:name w:val="footer"/>
    <w:basedOn w:val="Normal"/>
    <w:link w:val="FooterChar"/>
    <w:uiPriority w:val="99"/>
    <w:unhideWhenUsed/>
    <w:rsid w:val="00B66FB9"/>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66FB9"/>
    <w:rPr>
      <w:rFonts w:ascii="Times New Roman" w:hAnsi="Times New Roman" w:cs="Times New Roman"/>
      <w:sz w:val="24"/>
      <w:lang w:val="el-G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B66FB9"/>
    <w:pPr>
      <w:tabs>
        <w:tab w:val="center" w:pos="7285"/>
        <w:tab w:val="right" w:pos="14003"/>
      </w:tabs>
      <w:spacing w:before="0"/>
    </w:pPr>
  </w:style>
  <w:style w:type="paragraph" w:customStyle="1" w:styleId="FooterLandscape">
    <w:name w:val="FooterLandscape"/>
    <w:basedOn w:val="Normal"/>
    <w:rsid w:val="00B66FB9"/>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66FB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66FB9"/>
    <w:pPr>
      <w:spacing w:before="0"/>
      <w:jc w:val="right"/>
    </w:pPr>
    <w:rPr>
      <w:sz w:val="28"/>
    </w:rPr>
  </w:style>
  <w:style w:type="paragraph" w:customStyle="1" w:styleId="FooterSensitivity">
    <w:name w:val="Footer Sensitivity"/>
    <w:basedOn w:val="Normal"/>
    <w:rsid w:val="00B66FB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2"/>
      </w:numPr>
    </w:pPr>
  </w:style>
  <w:style w:type="paragraph" w:customStyle="1" w:styleId="Tiret1">
    <w:name w:val="Tiret 1"/>
    <w:basedOn w:val="Point1"/>
    <w:pPr>
      <w:numPr>
        <w:numId w:val="33"/>
      </w:numPr>
    </w:pPr>
  </w:style>
  <w:style w:type="paragraph" w:customStyle="1" w:styleId="Tiret2">
    <w:name w:val="Tiret 2"/>
    <w:basedOn w:val="Point2"/>
    <w:pPr>
      <w:numPr>
        <w:numId w:val="34"/>
      </w:numPr>
    </w:pPr>
  </w:style>
  <w:style w:type="paragraph" w:customStyle="1" w:styleId="Tiret3">
    <w:name w:val="Tiret 3"/>
    <w:basedOn w:val="Point3"/>
    <w:pPr>
      <w:numPr>
        <w:numId w:val="35"/>
      </w:numPr>
    </w:pPr>
  </w:style>
  <w:style w:type="paragraph" w:customStyle="1" w:styleId="Tiret4">
    <w:name w:val="Tiret 4"/>
    <w:basedOn w:val="Point4"/>
    <w:pPr>
      <w:numPr>
        <w:numId w:val="36"/>
      </w:numPr>
    </w:pPr>
  </w:style>
  <w:style w:type="paragraph" w:customStyle="1" w:styleId="Tiret5">
    <w:name w:val="Tiret 5"/>
    <w:basedOn w:val="Point5"/>
    <w:pPr>
      <w:numPr>
        <w:numId w:val="3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8"/>
      </w:numPr>
    </w:pPr>
  </w:style>
  <w:style w:type="paragraph" w:customStyle="1" w:styleId="NumPar2">
    <w:name w:val="NumPar 2"/>
    <w:basedOn w:val="Normal"/>
    <w:next w:val="Text1"/>
    <w:pPr>
      <w:numPr>
        <w:ilvl w:val="1"/>
        <w:numId w:val="38"/>
      </w:numPr>
    </w:pPr>
  </w:style>
  <w:style w:type="paragraph" w:customStyle="1" w:styleId="NumPar3">
    <w:name w:val="NumPar 3"/>
    <w:basedOn w:val="Normal"/>
    <w:next w:val="Text1"/>
    <w:pPr>
      <w:numPr>
        <w:ilvl w:val="2"/>
        <w:numId w:val="38"/>
      </w:numPr>
    </w:pPr>
  </w:style>
  <w:style w:type="paragraph" w:customStyle="1" w:styleId="NumPar4">
    <w:name w:val="NumPar 4"/>
    <w:basedOn w:val="Normal"/>
    <w:next w:val="Text1"/>
    <w:pPr>
      <w:numPr>
        <w:ilvl w:val="3"/>
        <w:numId w:val="38"/>
      </w:numPr>
    </w:pPr>
  </w:style>
  <w:style w:type="paragraph" w:customStyle="1" w:styleId="NumPar5">
    <w:name w:val="NumPar 5"/>
    <w:basedOn w:val="Normal"/>
    <w:next w:val="Text2"/>
    <w:pPr>
      <w:numPr>
        <w:ilvl w:val="4"/>
        <w:numId w:val="38"/>
      </w:numPr>
    </w:pPr>
  </w:style>
  <w:style w:type="paragraph" w:customStyle="1" w:styleId="NumPar6">
    <w:name w:val="NumPar 6"/>
    <w:basedOn w:val="Normal"/>
    <w:next w:val="Text2"/>
    <w:pPr>
      <w:numPr>
        <w:ilvl w:val="5"/>
        <w:numId w:val="38"/>
      </w:numPr>
    </w:pPr>
  </w:style>
  <w:style w:type="paragraph" w:customStyle="1" w:styleId="NumPar7">
    <w:name w:val="NumPar 7"/>
    <w:basedOn w:val="Normal"/>
    <w:next w:val="Text2"/>
    <w:pPr>
      <w:numPr>
        <w:ilvl w:val="6"/>
        <w:numId w:val="3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0"/>
      </w:numPr>
    </w:pPr>
  </w:style>
  <w:style w:type="paragraph" w:customStyle="1" w:styleId="Point1number">
    <w:name w:val="Point 1 (number)"/>
    <w:basedOn w:val="Normal"/>
    <w:pPr>
      <w:numPr>
        <w:ilvl w:val="2"/>
        <w:numId w:val="40"/>
      </w:numPr>
    </w:pPr>
  </w:style>
  <w:style w:type="paragraph" w:customStyle="1" w:styleId="Point2number">
    <w:name w:val="Point 2 (number)"/>
    <w:basedOn w:val="Normal"/>
    <w:pPr>
      <w:numPr>
        <w:ilvl w:val="4"/>
        <w:numId w:val="40"/>
      </w:numPr>
    </w:pPr>
  </w:style>
  <w:style w:type="paragraph" w:customStyle="1" w:styleId="Point3number">
    <w:name w:val="Point 3 (number)"/>
    <w:basedOn w:val="Normal"/>
    <w:pPr>
      <w:numPr>
        <w:ilvl w:val="6"/>
        <w:numId w:val="40"/>
      </w:numPr>
    </w:pPr>
  </w:style>
  <w:style w:type="paragraph" w:customStyle="1" w:styleId="Point0letter">
    <w:name w:val="Point 0 (letter)"/>
    <w:basedOn w:val="Normal"/>
    <w:pPr>
      <w:numPr>
        <w:ilvl w:val="1"/>
        <w:numId w:val="40"/>
      </w:numPr>
    </w:pPr>
  </w:style>
  <w:style w:type="paragraph" w:customStyle="1" w:styleId="Point1letter">
    <w:name w:val="Point 1 (letter)"/>
    <w:basedOn w:val="Normal"/>
    <w:pPr>
      <w:numPr>
        <w:ilvl w:val="3"/>
        <w:numId w:val="40"/>
      </w:numPr>
    </w:pPr>
  </w:style>
  <w:style w:type="paragraph" w:customStyle="1" w:styleId="Point2letter">
    <w:name w:val="Point 2 (letter)"/>
    <w:basedOn w:val="Normal"/>
    <w:pPr>
      <w:numPr>
        <w:ilvl w:val="5"/>
        <w:numId w:val="40"/>
      </w:numPr>
    </w:pPr>
  </w:style>
  <w:style w:type="paragraph" w:customStyle="1" w:styleId="Point3letter">
    <w:name w:val="Point 3 (letter)"/>
    <w:basedOn w:val="Normal"/>
    <w:pPr>
      <w:numPr>
        <w:ilvl w:val="7"/>
        <w:numId w:val="40"/>
      </w:numPr>
    </w:pPr>
  </w:style>
  <w:style w:type="paragraph" w:customStyle="1" w:styleId="Point4letter">
    <w:name w:val="Point 4 (letter)"/>
    <w:basedOn w:val="Normal"/>
    <w:pPr>
      <w:numPr>
        <w:ilvl w:val="8"/>
        <w:numId w:val="40"/>
      </w:numPr>
    </w:pPr>
  </w:style>
  <w:style w:type="paragraph" w:customStyle="1" w:styleId="Bullet0">
    <w:name w:val="Bullet 0"/>
    <w:basedOn w:val="Normal"/>
    <w:pPr>
      <w:numPr>
        <w:numId w:val="41"/>
      </w:numPr>
    </w:pPr>
  </w:style>
  <w:style w:type="paragraph" w:customStyle="1" w:styleId="Bullet1">
    <w:name w:val="Bullet 1"/>
    <w:basedOn w:val="Normal"/>
    <w:pPr>
      <w:numPr>
        <w:numId w:val="42"/>
      </w:numPr>
    </w:pPr>
  </w:style>
  <w:style w:type="paragraph" w:customStyle="1" w:styleId="Bullet2">
    <w:name w:val="Bullet 2"/>
    <w:basedOn w:val="Normal"/>
    <w:pPr>
      <w:numPr>
        <w:numId w:val="43"/>
      </w:numPr>
    </w:pPr>
  </w:style>
  <w:style w:type="paragraph" w:customStyle="1" w:styleId="Bullet3">
    <w:name w:val="Bullet 3"/>
    <w:basedOn w:val="Normal"/>
    <w:pPr>
      <w:numPr>
        <w:numId w:val="44"/>
      </w:numPr>
    </w:pPr>
  </w:style>
  <w:style w:type="paragraph" w:customStyle="1" w:styleId="Bullet4">
    <w:name w:val="Bullet 4"/>
    <w:basedOn w:val="Normal"/>
    <w:pPr>
      <w:numPr>
        <w:numId w:val="4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C201E-A562-4153-B08A-E346B1772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6</TotalTime>
  <Pages>7</Pages>
  <Words>1972</Words>
  <Characters>11953</Characters>
  <Application>Microsoft Office Word</Application>
  <DocSecurity>0</DocSecurity>
  <Lines>221</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46</cp:revision>
  <dcterms:created xsi:type="dcterms:W3CDTF">2022-10-28T13:10:00Z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