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16" w:rsidRPr="00796640" w:rsidRDefault="00BF1EC5" w:rsidP="00BF1EC5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alt="557A6477-6A05-4BA4-8B5F-88125D545076" style="width:455.25pt;height:414pt">
            <v:imagedata r:id="rId8" o:title=""/>
          </v:shape>
        </w:pict>
      </w:r>
    </w:p>
    <w:p w:rsidR="003C122C" w:rsidRPr="00796640" w:rsidRDefault="003C122C">
      <w:pPr>
        <w:rPr>
          <w:noProof/>
        </w:rPr>
        <w:sectPr w:rsidR="003C122C" w:rsidRPr="00796640" w:rsidSect="00BF1EC5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3C122C" w:rsidRPr="00796640" w:rsidRDefault="005D211F" w:rsidP="005D211F">
      <w:pPr>
        <w:pStyle w:val="Typedudocument"/>
        <w:rPr>
          <w:noProof/>
        </w:rPr>
      </w:pPr>
      <w:bookmarkStart w:id="0" w:name="_GoBack"/>
      <w:bookmarkEnd w:id="0"/>
      <w:r w:rsidRPr="005D211F">
        <w:rPr>
          <w:noProof/>
        </w:rPr>
        <w:lastRenderedPageBreak/>
        <w:t>ROZPORZĄDZENIE WYKONAWCZE KOMISJI (UE) …/…</w:t>
      </w:r>
    </w:p>
    <w:p w:rsidR="003C122C" w:rsidRPr="00796640" w:rsidRDefault="009E2D9A" w:rsidP="005D211F">
      <w:pPr>
        <w:pStyle w:val="Datedadoption"/>
        <w:rPr>
          <w:noProof/>
        </w:rPr>
      </w:pPr>
      <w:r>
        <w:t>z dnia 30.11.2022 r.</w:t>
      </w:r>
    </w:p>
    <w:p w:rsidR="003C122C" w:rsidRPr="00796640" w:rsidRDefault="005D211F" w:rsidP="005D211F">
      <w:pPr>
        <w:pStyle w:val="Titreobjet"/>
        <w:rPr>
          <w:noProof/>
        </w:rPr>
      </w:pPr>
      <w:r w:rsidRPr="005D211F">
        <w:rPr>
          <w:noProof/>
        </w:rPr>
        <w:t xml:space="preserve">zmieniające wykonawcze standardy techniczne określone w rozporządzeniu wykonawczym (UE) 2021/637 w odniesieniu do ujawniania informacji na temat ryzyk z zakresu ochrony środowiska, polityki społecznej i ładu korporacyjnego </w:t>
      </w:r>
      <w:r w:rsidRPr="005D211F">
        <w:rPr>
          <w:noProof/>
        </w:rPr>
        <w:br/>
      </w:r>
    </w:p>
    <w:p w:rsidR="003C122C" w:rsidRPr="00796640" w:rsidRDefault="005D211F" w:rsidP="005D211F">
      <w:pPr>
        <w:pStyle w:val="IntrtEEE"/>
        <w:rPr>
          <w:noProof/>
        </w:rPr>
      </w:pPr>
      <w:r w:rsidRPr="005D211F">
        <w:rPr>
          <w:noProof/>
        </w:rPr>
        <w:t>(Tekst mający znaczenie dla EOG)</w:t>
      </w:r>
    </w:p>
    <w:p w:rsidR="003C122C" w:rsidRPr="00796640" w:rsidRDefault="003C122C" w:rsidP="004E1EF9">
      <w:pPr>
        <w:pStyle w:val="Institutionquiagit"/>
        <w:rPr>
          <w:noProof/>
        </w:rPr>
      </w:pPr>
      <w:r w:rsidRPr="00796640">
        <w:rPr>
          <w:noProof/>
        </w:rPr>
        <w:t>KOMISJA EUROPEJSKA,</w:t>
      </w:r>
    </w:p>
    <w:p w:rsidR="003C122C" w:rsidRPr="00796640" w:rsidRDefault="003C122C" w:rsidP="003C122C">
      <w:pPr>
        <w:rPr>
          <w:noProof/>
          <w:color w:val="000000"/>
        </w:rPr>
      </w:pPr>
      <w:r w:rsidRPr="00796640">
        <w:rPr>
          <w:noProof/>
          <w:color w:val="000000"/>
        </w:rPr>
        <w:t>uwzględniając Traktat</w:t>
      </w:r>
      <w:r w:rsidR="005D211F" w:rsidRPr="00796640">
        <w:rPr>
          <w:noProof/>
          <w:color w:val="000000"/>
        </w:rPr>
        <w:t xml:space="preserve"> o</w:t>
      </w:r>
      <w:r w:rsidR="005D211F">
        <w:rPr>
          <w:noProof/>
          <w:color w:val="000000"/>
        </w:rPr>
        <w:t> </w:t>
      </w:r>
      <w:r w:rsidR="005D211F" w:rsidRPr="00796640">
        <w:rPr>
          <w:noProof/>
          <w:color w:val="000000"/>
        </w:rPr>
        <w:t>fun</w:t>
      </w:r>
      <w:r w:rsidRPr="00796640">
        <w:rPr>
          <w:noProof/>
          <w:color w:val="000000"/>
        </w:rPr>
        <w:t>kcjonowaniu Unii Europejskiej,</w:t>
      </w:r>
    </w:p>
    <w:p w:rsidR="003C122C" w:rsidRPr="00796640" w:rsidRDefault="003C122C" w:rsidP="003C122C">
      <w:pPr>
        <w:rPr>
          <w:noProof/>
          <w:color w:val="000000"/>
        </w:rPr>
      </w:pPr>
      <w:r w:rsidRPr="00796640">
        <w:rPr>
          <w:noProof/>
          <w:color w:val="000000"/>
        </w:rPr>
        <w:t>uwzględniając rozporządzenie Parlamentu Europejskiego</w:t>
      </w:r>
      <w:r w:rsidR="005D211F" w:rsidRPr="00796640">
        <w:rPr>
          <w:noProof/>
          <w:color w:val="000000"/>
        </w:rPr>
        <w:t xml:space="preserve"> i</w:t>
      </w:r>
      <w:r w:rsidR="005D211F">
        <w:rPr>
          <w:noProof/>
          <w:color w:val="000000"/>
        </w:rPr>
        <w:t> </w:t>
      </w:r>
      <w:r w:rsidR="005D211F" w:rsidRPr="00796640">
        <w:rPr>
          <w:noProof/>
          <w:color w:val="000000"/>
        </w:rPr>
        <w:t>Rad</w:t>
      </w:r>
      <w:r w:rsidRPr="00796640">
        <w:rPr>
          <w:noProof/>
          <w:color w:val="000000"/>
        </w:rPr>
        <w:t xml:space="preserve">y (UE) </w:t>
      </w:r>
      <w:r w:rsidRPr="005D211F">
        <w:rPr>
          <w:noProof/>
          <w:color w:val="000000"/>
        </w:rPr>
        <w:t>nr</w:t>
      </w:r>
      <w:r w:rsidR="005D211F" w:rsidRPr="005D211F">
        <w:rPr>
          <w:noProof/>
          <w:color w:val="000000"/>
        </w:rPr>
        <w:t> </w:t>
      </w:r>
      <w:r w:rsidRPr="005D211F">
        <w:rPr>
          <w:noProof/>
          <w:color w:val="000000"/>
        </w:rPr>
        <w:t>5</w:t>
      </w:r>
      <w:r w:rsidRPr="00796640">
        <w:rPr>
          <w:noProof/>
          <w:color w:val="000000"/>
        </w:rPr>
        <w:t>75/2013</w:t>
      </w:r>
      <w:r w:rsidR="005D211F" w:rsidRPr="00796640">
        <w:rPr>
          <w:noProof/>
          <w:color w:val="000000"/>
        </w:rPr>
        <w:t xml:space="preserve"> z</w:t>
      </w:r>
      <w:r w:rsidR="005D211F">
        <w:rPr>
          <w:noProof/>
          <w:color w:val="000000"/>
        </w:rPr>
        <w:t> </w:t>
      </w:r>
      <w:r w:rsidR="005D211F" w:rsidRPr="00796640">
        <w:rPr>
          <w:noProof/>
          <w:color w:val="000000"/>
        </w:rPr>
        <w:t>dni</w:t>
      </w:r>
      <w:r w:rsidRPr="00796640">
        <w:rPr>
          <w:noProof/>
          <w:color w:val="000000"/>
        </w:rPr>
        <w:t>a 26 czerwca 20</w:t>
      </w:r>
      <w:r w:rsidRPr="005D211F">
        <w:rPr>
          <w:noProof/>
          <w:color w:val="000000"/>
        </w:rPr>
        <w:t>13</w:t>
      </w:r>
      <w:r w:rsidR="005D211F" w:rsidRPr="005D211F">
        <w:rPr>
          <w:noProof/>
          <w:color w:val="000000"/>
        </w:rPr>
        <w:t> </w:t>
      </w:r>
      <w:r w:rsidRPr="005D211F">
        <w:rPr>
          <w:noProof/>
          <w:color w:val="000000"/>
        </w:rPr>
        <w:t>r.</w:t>
      </w:r>
      <w:r w:rsidR="005D211F" w:rsidRPr="00796640">
        <w:rPr>
          <w:noProof/>
          <w:color w:val="000000"/>
        </w:rPr>
        <w:t xml:space="preserve"> w</w:t>
      </w:r>
      <w:r w:rsidR="005D211F">
        <w:rPr>
          <w:noProof/>
          <w:color w:val="000000"/>
        </w:rPr>
        <w:t> </w:t>
      </w:r>
      <w:r w:rsidR="005D211F" w:rsidRPr="00796640">
        <w:rPr>
          <w:noProof/>
          <w:color w:val="000000"/>
        </w:rPr>
        <w:t>spr</w:t>
      </w:r>
      <w:r w:rsidRPr="00796640">
        <w:rPr>
          <w:noProof/>
          <w:color w:val="000000"/>
        </w:rPr>
        <w:t xml:space="preserve">awie wymogów ostrożnościowych dla instytucji kredytowych oraz zmieniające rozporządzenie (UE) </w:t>
      </w:r>
      <w:r w:rsidRPr="005D211F">
        <w:rPr>
          <w:noProof/>
          <w:color w:val="000000"/>
        </w:rPr>
        <w:t>nr</w:t>
      </w:r>
      <w:r w:rsidR="005D211F" w:rsidRPr="005D211F">
        <w:rPr>
          <w:noProof/>
          <w:color w:val="000000"/>
        </w:rPr>
        <w:t> </w:t>
      </w:r>
      <w:r w:rsidRPr="005D211F">
        <w:rPr>
          <w:noProof/>
          <w:color w:val="000000"/>
        </w:rPr>
        <w:t>6</w:t>
      </w:r>
      <w:r w:rsidRPr="00796640">
        <w:rPr>
          <w:noProof/>
          <w:color w:val="000000"/>
        </w:rPr>
        <w:t>48/2012</w:t>
      </w:r>
      <w:r w:rsidRPr="00796640">
        <w:rPr>
          <w:rStyle w:val="FootnoteReference"/>
          <w:noProof/>
        </w:rPr>
        <w:footnoteReference w:id="1"/>
      </w:r>
      <w:r w:rsidRPr="00796640">
        <w:rPr>
          <w:noProof/>
          <w:color w:val="000000"/>
        </w:rPr>
        <w:t>,</w:t>
      </w:r>
      <w:r w:rsidR="005D211F" w:rsidRPr="00796640">
        <w:rPr>
          <w:noProof/>
          <w:color w:val="000000"/>
        </w:rPr>
        <w:t xml:space="preserve"> w</w:t>
      </w:r>
      <w:r w:rsidR="005D211F">
        <w:rPr>
          <w:noProof/>
          <w:color w:val="000000"/>
        </w:rPr>
        <w:t> </w:t>
      </w:r>
      <w:r w:rsidR="005D211F" w:rsidRPr="00796640">
        <w:rPr>
          <w:noProof/>
          <w:color w:val="000000"/>
        </w:rPr>
        <w:t>szc</w:t>
      </w:r>
      <w:r w:rsidRPr="00796640">
        <w:rPr>
          <w:noProof/>
          <w:color w:val="000000"/>
        </w:rPr>
        <w:t xml:space="preserve">zególności jego </w:t>
      </w:r>
      <w:r w:rsidRPr="005D211F">
        <w:rPr>
          <w:noProof/>
          <w:color w:val="000000"/>
        </w:rPr>
        <w:t>art.</w:t>
      </w:r>
      <w:r w:rsidR="005D211F" w:rsidRPr="005D211F">
        <w:rPr>
          <w:noProof/>
          <w:color w:val="000000"/>
        </w:rPr>
        <w:t> </w:t>
      </w:r>
      <w:r w:rsidRPr="005D211F">
        <w:rPr>
          <w:noProof/>
          <w:color w:val="000000"/>
        </w:rPr>
        <w:t>4</w:t>
      </w:r>
      <w:r w:rsidRPr="00796640">
        <w:rPr>
          <w:noProof/>
          <w:color w:val="000000"/>
        </w:rPr>
        <w:t>34a,</w:t>
      </w:r>
    </w:p>
    <w:p w:rsidR="003C122C" w:rsidRPr="00796640" w:rsidRDefault="003C122C" w:rsidP="004E1EF9">
      <w:pPr>
        <w:rPr>
          <w:noProof/>
        </w:rPr>
      </w:pPr>
      <w:r w:rsidRPr="00796640">
        <w:rPr>
          <w:noProof/>
        </w:rPr>
        <w:t>a także mając na uwadze, co następuje:</w:t>
      </w:r>
    </w:p>
    <w:p w:rsidR="00410340" w:rsidRPr="00796640" w:rsidRDefault="00BA4983" w:rsidP="00BA4983">
      <w:pPr>
        <w:pStyle w:val="ManualConsidrant"/>
        <w:rPr>
          <w:noProof/>
          <w:color w:val="000000"/>
        </w:rPr>
      </w:pPr>
      <w:r w:rsidRPr="00BA4983">
        <w:t>(1)</w:t>
      </w:r>
      <w:r w:rsidRPr="00BA4983">
        <w:tab/>
      </w:r>
      <w:r w:rsidR="007067A9" w:rsidRPr="00796640">
        <w:rPr>
          <w:noProof/>
        </w:rPr>
        <w:t>W rozporządzeniu wykonawczym Komisji (UE) 2021/637</w:t>
      </w:r>
      <w:r w:rsidR="007067A9" w:rsidRPr="00796640">
        <w:rPr>
          <w:rStyle w:val="FootnoteReference"/>
          <w:noProof/>
        </w:rPr>
        <w:footnoteReference w:id="2"/>
      </w:r>
      <w:r w:rsidR="007067A9" w:rsidRPr="00796640">
        <w:rPr>
          <w:noProof/>
        </w:rPr>
        <w:t xml:space="preserve"> określono jednolite formaty ujawniania informacji oraz powiązane instrukcje,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któ</w:t>
      </w:r>
      <w:r w:rsidR="007067A9" w:rsidRPr="00796640">
        <w:rPr>
          <w:noProof/>
        </w:rPr>
        <w:t xml:space="preserve">rymi dokonuje się ujawniania informacji wymaganego na mocy tytułów II i III rozporządzenia (UE) </w:t>
      </w:r>
      <w:r w:rsidR="007067A9" w:rsidRPr="005D211F">
        <w:rPr>
          <w:noProof/>
        </w:rPr>
        <w:t>nr</w:t>
      </w:r>
      <w:r w:rsidR="005D211F" w:rsidRPr="005D211F">
        <w:rPr>
          <w:noProof/>
        </w:rPr>
        <w:t> </w:t>
      </w:r>
      <w:r w:rsidR="007067A9" w:rsidRPr="005D211F">
        <w:rPr>
          <w:noProof/>
        </w:rPr>
        <w:t>5</w:t>
      </w:r>
      <w:r w:rsidR="007067A9" w:rsidRPr="00796640">
        <w:rPr>
          <w:noProof/>
        </w:rPr>
        <w:t xml:space="preserve">75/2013. Rozporządzenie (UE) </w:t>
      </w:r>
      <w:r w:rsidR="007067A9" w:rsidRPr="005D211F">
        <w:rPr>
          <w:noProof/>
        </w:rPr>
        <w:t>nr</w:t>
      </w:r>
      <w:r w:rsidR="005D211F" w:rsidRPr="005D211F">
        <w:rPr>
          <w:noProof/>
        </w:rPr>
        <w:t> </w:t>
      </w:r>
      <w:r w:rsidR="007067A9" w:rsidRPr="005D211F">
        <w:rPr>
          <w:noProof/>
        </w:rPr>
        <w:t>5</w:t>
      </w:r>
      <w:r w:rsidR="007067A9" w:rsidRPr="00796640">
        <w:rPr>
          <w:noProof/>
        </w:rPr>
        <w:t>75/2013 zmieniono rozporządzeniem (UE) 2019/876</w:t>
      </w:r>
      <w:r w:rsidR="007067A9" w:rsidRPr="00796640">
        <w:rPr>
          <w:rStyle w:val="FootnoteReference"/>
          <w:noProof/>
        </w:rPr>
        <w:footnoteReference w:id="3"/>
      </w:r>
      <w:r w:rsidR="007067A9" w:rsidRPr="00796640">
        <w:rPr>
          <w:noProof/>
        </w:rPr>
        <w:t>, między innymi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cel</w:t>
      </w:r>
      <w:r w:rsidR="007067A9" w:rsidRPr="00796640">
        <w:rPr>
          <w:noProof/>
        </w:rPr>
        <w:t xml:space="preserve">u wprowadzenia nowego </w:t>
      </w:r>
      <w:r w:rsidR="007067A9" w:rsidRPr="005D211F">
        <w:rPr>
          <w:noProof/>
        </w:rPr>
        <w:t>art.</w:t>
      </w:r>
      <w:r w:rsidR="005D211F" w:rsidRPr="005D211F">
        <w:rPr>
          <w:noProof/>
        </w:rPr>
        <w:t> </w:t>
      </w:r>
      <w:r w:rsidR="007067A9" w:rsidRPr="005D211F">
        <w:rPr>
          <w:noProof/>
        </w:rPr>
        <w:t>4</w:t>
      </w:r>
      <w:r w:rsidR="007067A9" w:rsidRPr="00796640">
        <w:rPr>
          <w:noProof/>
        </w:rPr>
        <w:t>49a</w:t>
      </w:r>
      <w:r w:rsidR="005D211F" w:rsidRPr="00796640">
        <w:rPr>
          <w:noProof/>
        </w:rPr>
        <w:t>. W</w:t>
      </w:r>
      <w:r w:rsidR="005D211F">
        <w:rPr>
          <w:noProof/>
        </w:rPr>
        <w:t> </w:t>
      </w:r>
      <w:r w:rsidR="005D211F" w:rsidRPr="00796640">
        <w:rPr>
          <w:noProof/>
        </w:rPr>
        <w:t>art</w:t>
      </w:r>
      <w:r w:rsidR="007067A9" w:rsidRPr="00796640">
        <w:rPr>
          <w:noProof/>
        </w:rPr>
        <w:t xml:space="preserve">ykule tym na duże instytucje, które wyemitowały papiery wartościowe dopuszczone do obrotu na rynku regulowanym dowolnego państwa członkowskiego, nałożono obowiązek ujawniania, począwszy </w:t>
      </w:r>
      <w:r w:rsidR="007067A9" w:rsidRPr="005D211F">
        <w:rPr>
          <w:noProof/>
        </w:rPr>
        <w:t>od</w:t>
      </w:r>
      <w:r w:rsidR="005D211F" w:rsidRPr="005D211F">
        <w:rPr>
          <w:noProof/>
        </w:rPr>
        <w:t> </w:t>
      </w:r>
      <w:r w:rsidR="007067A9" w:rsidRPr="005D211F">
        <w:rPr>
          <w:noProof/>
        </w:rPr>
        <w:t>2</w:t>
      </w:r>
      <w:r w:rsidR="007067A9" w:rsidRPr="00796640">
        <w:rPr>
          <w:noProof/>
        </w:rPr>
        <w:t>8 czerwca 20</w:t>
      </w:r>
      <w:r w:rsidR="007067A9" w:rsidRPr="005D211F">
        <w:rPr>
          <w:noProof/>
        </w:rPr>
        <w:t>22</w:t>
      </w:r>
      <w:r w:rsidR="005D211F" w:rsidRPr="005D211F">
        <w:rPr>
          <w:noProof/>
        </w:rPr>
        <w:t> </w:t>
      </w:r>
      <w:r w:rsidR="007067A9" w:rsidRPr="005D211F">
        <w:rPr>
          <w:noProof/>
        </w:rPr>
        <w:t>r.</w:t>
      </w:r>
      <w:r w:rsidR="007067A9" w:rsidRPr="00796640">
        <w:rPr>
          <w:noProof/>
        </w:rPr>
        <w:t>, informacji na temat ryzyk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zak</w:t>
      </w:r>
      <w:r w:rsidR="007067A9" w:rsidRPr="00796640">
        <w:rPr>
          <w:noProof/>
        </w:rPr>
        <w:t>resu ochrony środowiska, polityki społecznej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ład</w:t>
      </w:r>
      <w:r w:rsidR="007067A9" w:rsidRPr="00796640">
        <w:rPr>
          <w:noProof/>
        </w:rPr>
        <w:t>u korporacyjnego (ESG),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tym</w:t>
      </w:r>
      <w:r w:rsidR="007067A9" w:rsidRPr="00796640">
        <w:rPr>
          <w:noProof/>
        </w:rPr>
        <w:t xml:space="preserve"> ryzyk fizycznych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ryz</w:t>
      </w:r>
      <w:r w:rsidR="007067A9" w:rsidRPr="00796640">
        <w:rPr>
          <w:noProof/>
        </w:rPr>
        <w:t xml:space="preserve">yk przejścia. Tę zmianę rozporządzenia (UE) </w:t>
      </w:r>
      <w:r w:rsidR="007067A9" w:rsidRPr="005D211F">
        <w:rPr>
          <w:noProof/>
        </w:rPr>
        <w:t>nr</w:t>
      </w:r>
      <w:r w:rsidR="005D211F" w:rsidRPr="005D211F">
        <w:rPr>
          <w:noProof/>
        </w:rPr>
        <w:t> </w:t>
      </w:r>
      <w:r w:rsidR="007067A9" w:rsidRPr="005D211F">
        <w:rPr>
          <w:noProof/>
        </w:rPr>
        <w:t>5</w:t>
      </w:r>
      <w:r w:rsidR="007067A9" w:rsidRPr="00796640">
        <w:rPr>
          <w:noProof/>
        </w:rPr>
        <w:t>75/2013 należy odzwierciedlić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roz</w:t>
      </w:r>
      <w:r w:rsidR="007067A9" w:rsidRPr="00796640">
        <w:rPr>
          <w:noProof/>
        </w:rPr>
        <w:t>porządzeniu wykonawczym Komisji (UE) 2021/637,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któ</w:t>
      </w:r>
      <w:r w:rsidR="007067A9" w:rsidRPr="00796640">
        <w:rPr>
          <w:noProof/>
        </w:rPr>
        <w:t>rym oprócz istniejących jednolitych formatów ujawniania informacji oraz powiązanych instrukcji należy określić dodatkowe jednolite formaty ujawniania informacji oraz powiązane instrukcje dotyczące ujawniania informacji na temat ryzyk ESG.</w:t>
      </w:r>
    </w:p>
    <w:p w:rsidR="00410340" w:rsidRPr="00796640" w:rsidRDefault="00BA4983" w:rsidP="00BA4983">
      <w:pPr>
        <w:pStyle w:val="ManualConsidrant"/>
        <w:rPr>
          <w:noProof/>
        </w:rPr>
      </w:pPr>
      <w:r w:rsidRPr="00BA4983">
        <w:t>(2)</w:t>
      </w:r>
      <w:r w:rsidRPr="00BA4983">
        <w:tab/>
      </w:r>
      <w:r w:rsidR="00410340" w:rsidRPr="00796640">
        <w:rPr>
          <w:noProof/>
        </w:rPr>
        <w:t>Przy określaniu jednolitych formatów ujawniania informacji należy uwzględnić całkowitą istotność informacji, które mają być ujawniane. Oznacza to, że informacje ujawniane przez instytucje powinny obejmować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jed</w:t>
      </w:r>
      <w:r w:rsidR="00410340" w:rsidRPr="00796640">
        <w:rPr>
          <w:noProof/>
        </w:rPr>
        <w:t>nej strony skutki finansowe czynników ESG dla działalności gospodarczej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fin</w:t>
      </w:r>
      <w:r w:rsidR="00410340" w:rsidRPr="00796640">
        <w:rPr>
          <w:noProof/>
        </w:rPr>
        <w:t>ansowej instytucji (perspektywa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zew</w:t>
      </w:r>
      <w:r w:rsidR="00410340" w:rsidRPr="00796640">
        <w:rPr>
          <w:noProof/>
        </w:rPr>
        <w:t>nątrz),</w:t>
      </w:r>
      <w:r w:rsidR="005D211F" w:rsidRPr="00796640">
        <w:rPr>
          <w:noProof/>
        </w:rPr>
        <w:t xml:space="preserve"> a</w:t>
      </w:r>
      <w:r w:rsidR="005D211F">
        <w:rPr>
          <w:noProof/>
        </w:rPr>
        <w:t> </w:t>
      </w:r>
      <w:r w:rsidR="005D211F" w:rsidRPr="00796640">
        <w:rPr>
          <w:noProof/>
        </w:rPr>
        <w:t>z</w:t>
      </w:r>
      <w:r w:rsidR="005D211F">
        <w:rPr>
          <w:noProof/>
        </w:rPr>
        <w:t> </w:t>
      </w:r>
      <w:r w:rsidR="005D211F" w:rsidRPr="00796640">
        <w:rPr>
          <w:noProof/>
        </w:rPr>
        <w:t>dru</w:t>
      </w:r>
      <w:r w:rsidR="00410340" w:rsidRPr="00796640">
        <w:rPr>
          <w:noProof/>
        </w:rPr>
        <w:t>giej strony czynniki ESG, które mogą być wywołane przez działalność własną instytucji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któ</w:t>
      </w:r>
      <w:r w:rsidR="00410340" w:rsidRPr="00796640">
        <w:rPr>
          <w:noProof/>
        </w:rPr>
        <w:t>re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kol</w:t>
      </w:r>
      <w:r w:rsidR="00410340" w:rsidRPr="00796640">
        <w:rPr>
          <w:noProof/>
        </w:rPr>
        <w:t>ei stają się istotne pod względem finansowym, gdy wpływają na zainteresowane strony instytucji (perspektywa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wew</w:t>
      </w:r>
      <w:r w:rsidR="00410340" w:rsidRPr="00796640">
        <w:rPr>
          <w:noProof/>
        </w:rPr>
        <w:t>nątrz)</w:t>
      </w:r>
      <w:r w:rsidR="005D211F" w:rsidRPr="00796640">
        <w:rPr>
          <w:noProof/>
        </w:rPr>
        <w:t>. W</w:t>
      </w:r>
      <w:r w:rsidR="005D211F">
        <w:rPr>
          <w:noProof/>
        </w:rPr>
        <w:t> </w:t>
      </w:r>
      <w:r w:rsidR="005D211F" w:rsidRPr="00796640">
        <w:rPr>
          <w:noProof/>
        </w:rPr>
        <w:t>zwi</w:t>
      </w:r>
      <w:r w:rsidR="00410340" w:rsidRPr="00796640">
        <w:rPr>
          <w:noProof/>
        </w:rPr>
        <w:t>ązku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tym</w:t>
      </w:r>
      <w:r w:rsidR="00410340" w:rsidRPr="00796640">
        <w:rPr>
          <w:noProof/>
        </w:rPr>
        <w:t xml:space="preserve"> tabele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wzo</w:t>
      </w:r>
      <w:r w:rsidR="00410340" w:rsidRPr="00796640">
        <w:rPr>
          <w:noProof/>
        </w:rPr>
        <w:t>ry stosowane do celów ujawniania tych informacji powinny zawierać dostatecznie wyczerpujące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por</w:t>
      </w:r>
      <w:r w:rsidR="00410340" w:rsidRPr="00796640">
        <w:rPr>
          <w:noProof/>
        </w:rPr>
        <w:t>ównywalne informacje na temat ryzyk ESG, umożliwiając tym samym użytkownikom tych informacji ocenę profilu ryzyka instytucji.</w:t>
      </w:r>
    </w:p>
    <w:p w:rsidR="00410340" w:rsidRPr="00796640" w:rsidRDefault="00BA4983" w:rsidP="00BA4983">
      <w:pPr>
        <w:pStyle w:val="ManualConsidrant"/>
        <w:rPr>
          <w:noProof/>
        </w:rPr>
      </w:pPr>
      <w:r w:rsidRPr="00BA4983">
        <w:t>(3)</w:t>
      </w:r>
      <w:r w:rsidRPr="00BA4983">
        <w:tab/>
      </w:r>
      <w:r w:rsidR="00A525E2" w:rsidRPr="00796640">
        <w:rPr>
          <w:noProof/>
        </w:rPr>
        <w:t>Konieczne jest zapewnienie spójności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zgo</w:t>
      </w:r>
      <w:r w:rsidR="00A525E2" w:rsidRPr="00796640">
        <w:rPr>
          <w:noProof/>
        </w:rPr>
        <w:t>dności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inn</w:t>
      </w:r>
      <w:r w:rsidR="00A525E2" w:rsidRPr="00796640">
        <w:rPr>
          <w:noProof/>
        </w:rPr>
        <w:t>ymi przepisami Unii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obs</w:t>
      </w:r>
      <w:r w:rsidR="00A525E2" w:rsidRPr="00796640">
        <w:rPr>
          <w:noProof/>
        </w:rPr>
        <w:t>zarze ryzyk ESG</w:t>
      </w:r>
      <w:r w:rsidR="005D211F" w:rsidRPr="00796640">
        <w:rPr>
          <w:noProof/>
        </w:rPr>
        <w:t>. W</w:t>
      </w:r>
      <w:r w:rsidR="005D211F">
        <w:rPr>
          <w:noProof/>
        </w:rPr>
        <w:t> </w:t>
      </w:r>
      <w:r w:rsidR="005D211F" w:rsidRPr="00796640">
        <w:rPr>
          <w:noProof/>
        </w:rPr>
        <w:t>prz</w:t>
      </w:r>
      <w:r w:rsidR="00A525E2" w:rsidRPr="00796640">
        <w:rPr>
          <w:noProof/>
        </w:rPr>
        <w:t>episach dotyczących ujawniania informacji na temat ryzyk ESG należy zatem uwzględnić kryteria, klasyfikacje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def</w:t>
      </w:r>
      <w:r w:rsidR="00A525E2" w:rsidRPr="00796640">
        <w:rPr>
          <w:noProof/>
        </w:rPr>
        <w:t>inicje określone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sto</w:t>
      </w:r>
      <w:r w:rsidR="00A525E2" w:rsidRPr="00796640">
        <w:rPr>
          <w:noProof/>
        </w:rPr>
        <w:t>sownych aktach prawnych Unii</w:t>
      </w:r>
      <w:r w:rsidR="005D211F" w:rsidRPr="00796640">
        <w:rPr>
          <w:noProof/>
        </w:rPr>
        <w:t>. W</w:t>
      </w:r>
      <w:r w:rsidR="005D211F">
        <w:rPr>
          <w:noProof/>
        </w:rPr>
        <w:t> </w:t>
      </w:r>
      <w:r w:rsidR="005D211F" w:rsidRPr="00796640">
        <w:rPr>
          <w:noProof/>
        </w:rPr>
        <w:t>prz</w:t>
      </w:r>
      <w:r w:rsidR="00A525E2" w:rsidRPr="00796640">
        <w:rPr>
          <w:noProof/>
        </w:rPr>
        <w:t>episach tych należy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szc</w:t>
      </w:r>
      <w:r w:rsidR="00A525E2" w:rsidRPr="00796640">
        <w:rPr>
          <w:noProof/>
        </w:rPr>
        <w:t>zególności uwzględnić kryteria dotyczące identyfikowania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kla</w:t>
      </w:r>
      <w:r w:rsidR="00A525E2" w:rsidRPr="00796640">
        <w:rPr>
          <w:noProof/>
        </w:rPr>
        <w:t>syfikacji zrównoważonej środowiskowo działalności gospodarczej, określone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roz</w:t>
      </w:r>
      <w:r w:rsidR="00A525E2" w:rsidRPr="00796640">
        <w:rPr>
          <w:noProof/>
        </w:rPr>
        <w:t>porządzeniu Parlamentu Europejskiego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Rad</w:t>
      </w:r>
      <w:r w:rsidR="00A525E2" w:rsidRPr="00796640">
        <w:rPr>
          <w:noProof/>
        </w:rPr>
        <w:t>y (UE) 2020/852</w:t>
      </w:r>
      <w:r w:rsidR="00A525E2" w:rsidRPr="00796640">
        <w:rPr>
          <w:rStyle w:val="FootnoteReference"/>
          <w:noProof/>
        </w:rPr>
        <w:footnoteReference w:id="4"/>
      </w:r>
      <w:r w:rsidR="00A525E2" w:rsidRPr="00796640">
        <w:rPr>
          <w:noProof/>
        </w:rPr>
        <w:t xml:space="preserve"> oraz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roz</w:t>
      </w:r>
      <w:r w:rsidR="00A525E2" w:rsidRPr="00796640">
        <w:rPr>
          <w:noProof/>
        </w:rPr>
        <w:t>porządzeniu delegowanym Komisji (UE) 2020/1818</w:t>
      </w:r>
      <w:r w:rsidR="00A525E2" w:rsidRPr="00796640">
        <w:rPr>
          <w:rStyle w:val="FootnoteReference"/>
          <w:noProof/>
        </w:rPr>
        <w:footnoteReference w:id="5"/>
      </w:r>
      <w:r w:rsidR="005D211F" w:rsidRPr="00796640">
        <w:rPr>
          <w:noProof/>
        </w:rPr>
        <w:t>. W</w:t>
      </w:r>
      <w:r w:rsidR="005D211F">
        <w:rPr>
          <w:noProof/>
        </w:rPr>
        <w:t> </w:t>
      </w:r>
      <w:r w:rsidR="005D211F" w:rsidRPr="00796640">
        <w:rPr>
          <w:noProof/>
        </w:rPr>
        <w:t>odn</w:t>
      </w:r>
      <w:r w:rsidR="00A525E2" w:rsidRPr="00796640">
        <w:rPr>
          <w:noProof/>
        </w:rPr>
        <w:t>iesieniu do ujawniania informacji na temat charakterystyki energetycznej portfela nieruchomości instytucji należy uwzględnić informacje zawarte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świ</w:t>
      </w:r>
      <w:r w:rsidR="00A525E2" w:rsidRPr="00796640">
        <w:rPr>
          <w:noProof/>
        </w:rPr>
        <w:t>adectwie charakterystyki energetycznej, zdefiniowanym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5D211F">
        <w:rPr>
          <w:noProof/>
        </w:rPr>
        <w:t>art</w:t>
      </w:r>
      <w:r w:rsidR="00A525E2" w:rsidRPr="005D211F">
        <w:rPr>
          <w:noProof/>
        </w:rPr>
        <w:t>.</w:t>
      </w:r>
      <w:r w:rsidR="005D211F" w:rsidRPr="005D211F">
        <w:rPr>
          <w:noProof/>
        </w:rPr>
        <w:t> </w:t>
      </w:r>
      <w:r w:rsidR="00A525E2" w:rsidRPr="005D211F">
        <w:rPr>
          <w:noProof/>
        </w:rPr>
        <w:t>2</w:t>
      </w:r>
      <w:r w:rsidR="00A525E2" w:rsidRPr="00796640">
        <w:rPr>
          <w:noProof/>
        </w:rPr>
        <w:t xml:space="preserve"> </w:t>
      </w:r>
      <w:r w:rsidR="00A525E2" w:rsidRPr="005D211F">
        <w:rPr>
          <w:noProof/>
        </w:rPr>
        <w:t>pkt</w:t>
      </w:r>
      <w:r w:rsidR="005D211F" w:rsidRPr="005D211F">
        <w:rPr>
          <w:noProof/>
        </w:rPr>
        <w:t> </w:t>
      </w:r>
      <w:r w:rsidR="00A525E2" w:rsidRPr="005D211F">
        <w:rPr>
          <w:noProof/>
        </w:rPr>
        <w:t>1</w:t>
      </w:r>
      <w:r w:rsidR="00A525E2" w:rsidRPr="00796640">
        <w:rPr>
          <w:noProof/>
        </w:rPr>
        <w:t>2 dyrektywy Parlamentu Europejskiego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Rad</w:t>
      </w:r>
      <w:r w:rsidR="00A525E2" w:rsidRPr="00796640">
        <w:rPr>
          <w:noProof/>
        </w:rPr>
        <w:t>y 2010/31/UE</w:t>
      </w:r>
      <w:r w:rsidR="00A525E2" w:rsidRPr="00796640">
        <w:rPr>
          <w:rStyle w:val="FootnoteReference"/>
          <w:noProof/>
        </w:rPr>
        <w:footnoteReference w:id="6"/>
      </w:r>
      <w:r w:rsidR="00A525E2" w:rsidRPr="00796640">
        <w:rPr>
          <w:noProof/>
        </w:rPr>
        <w:t>.</w:t>
      </w:r>
    </w:p>
    <w:p w:rsidR="00135CD4" w:rsidRPr="00796640" w:rsidRDefault="00BA4983" w:rsidP="00BA4983">
      <w:pPr>
        <w:pStyle w:val="ManualConsidrant"/>
        <w:rPr>
          <w:noProof/>
        </w:rPr>
      </w:pPr>
      <w:r w:rsidRPr="00BA4983">
        <w:t>(4)</w:t>
      </w:r>
      <w:r w:rsidRPr="00BA4983">
        <w:tab/>
      </w:r>
      <w:r w:rsidR="00135CD4" w:rsidRPr="00796640">
        <w:rPr>
          <w:noProof/>
        </w:rPr>
        <w:t xml:space="preserve">W </w:t>
      </w:r>
      <w:r w:rsidR="00135CD4" w:rsidRPr="005D211F">
        <w:rPr>
          <w:noProof/>
        </w:rPr>
        <w:t>art.</w:t>
      </w:r>
      <w:r w:rsidR="005D211F" w:rsidRPr="005D211F">
        <w:rPr>
          <w:noProof/>
        </w:rPr>
        <w:t> </w:t>
      </w:r>
      <w:r w:rsidR="00135CD4" w:rsidRPr="005D211F">
        <w:rPr>
          <w:noProof/>
        </w:rPr>
        <w:t>1</w:t>
      </w:r>
      <w:r w:rsidR="00135CD4" w:rsidRPr="00796640">
        <w:rPr>
          <w:noProof/>
        </w:rPr>
        <w:t>9a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2</w:t>
      </w:r>
      <w:r w:rsidR="00135CD4" w:rsidRPr="00796640">
        <w:rPr>
          <w:noProof/>
        </w:rPr>
        <w:t>9a dyrektywy Parlamentu Europejskiego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Rad</w:t>
      </w:r>
      <w:r w:rsidR="00135CD4" w:rsidRPr="00796640">
        <w:rPr>
          <w:noProof/>
        </w:rPr>
        <w:t>y 2013/34/UE</w:t>
      </w:r>
      <w:r w:rsidR="00135CD4" w:rsidRPr="00796640">
        <w:rPr>
          <w:rStyle w:val="FootnoteReference"/>
          <w:noProof/>
        </w:rPr>
        <w:footnoteReference w:id="7"/>
      </w:r>
      <w:r w:rsidR="00135CD4" w:rsidRPr="00796640">
        <w:rPr>
          <w:noProof/>
        </w:rPr>
        <w:t xml:space="preserve"> nałożono na niektóre duże jednostki, które są jednostkami interesu publicznego, lub odpowiednio jednostki interesu publicznego, które są jednostkami dominującymi dużej grupy, wymóg ujmowania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ich</w:t>
      </w:r>
      <w:r w:rsidR="00135CD4" w:rsidRPr="00796640">
        <w:rPr>
          <w:noProof/>
        </w:rPr>
        <w:t xml:space="preserve"> sprawozdaniu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dzi</w:t>
      </w:r>
      <w:r w:rsidR="00135CD4" w:rsidRPr="00796640">
        <w:rPr>
          <w:noProof/>
        </w:rPr>
        <w:t>ałalności lub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sko</w:t>
      </w:r>
      <w:r w:rsidR="00135CD4" w:rsidRPr="00796640">
        <w:rPr>
          <w:noProof/>
        </w:rPr>
        <w:t>nsolidowanym sprawozdaniu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dzi</w:t>
      </w:r>
      <w:r w:rsidR="00135CD4" w:rsidRPr="00796640">
        <w:rPr>
          <w:noProof/>
        </w:rPr>
        <w:t>ałalności informacji</w:t>
      </w:r>
      <w:r w:rsidR="005D211F" w:rsidRPr="00796640">
        <w:rPr>
          <w:noProof/>
        </w:rPr>
        <w:t xml:space="preserve"> o</w:t>
      </w:r>
      <w:r w:rsidR="005D211F">
        <w:rPr>
          <w:noProof/>
        </w:rPr>
        <w:t> </w:t>
      </w:r>
      <w:r w:rsidR="005D211F" w:rsidRPr="00796640">
        <w:rPr>
          <w:noProof/>
        </w:rPr>
        <w:t>wpł</w:t>
      </w:r>
      <w:r w:rsidR="00135CD4" w:rsidRPr="00796640">
        <w:rPr>
          <w:noProof/>
        </w:rPr>
        <w:t>ywie ich działalności na kwestie środowiskowe, społeczne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pra</w:t>
      </w:r>
      <w:r w:rsidR="00135CD4" w:rsidRPr="00796640">
        <w:rPr>
          <w:noProof/>
        </w:rPr>
        <w:t>cownicze, poszanowanie praw człowieka oraz przeciwdziałanie korupcji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łap</w:t>
      </w:r>
      <w:r w:rsidR="00135CD4" w:rsidRPr="00796640">
        <w:rPr>
          <w:noProof/>
        </w:rPr>
        <w:t>ownictwu. Obowiązek ten nie dotyczy jednak innych jednostek</w:t>
      </w:r>
      <w:r w:rsidR="005D211F" w:rsidRPr="00796640">
        <w:rPr>
          <w:noProof/>
        </w:rPr>
        <w:t>. W</w:t>
      </w:r>
      <w:r w:rsidR="005D211F">
        <w:rPr>
          <w:noProof/>
        </w:rPr>
        <w:t> </w:t>
      </w:r>
      <w:r w:rsidR="005D211F" w:rsidRPr="00796640">
        <w:rPr>
          <w:noProof/>
        </w:rPr>
        <w:t>zwi</w:t>
      </w:r>
      <w:r w:rsidR="00135CD4" w:rsidRPr="00796640">
        <w:rPr>
          <w:noProof/>
        </w:rPr>
        <w:t>ązku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tym</w:t>
      </w:r>
      <w:r w:rsidR="00135CD4" w:rsidRPr="00796640">
        <w:rPr>
          <w:noProof/>
        </w:rPr>
        <w:t xml:space="preserve"> jednostki, które nie podlegają </w:t>
      </w:r>
      <w:r w:rsidR="00135CD4" w:rsidRPr="005D211F">
        <w:rPr>
          <w:noProof/>
        </w:rPr>
        <w:t>art.</w:t>
      </w:r>
      <w:r w:rsidR="005D211F" w:rsidRPr="005D211F">
        <w:rPr>
          <w:noProof/>
        </w:rPr>
        <w:t> </w:t>
      </w:r>
      <w:r w:rsidR="00135CD4" w:rsidRPr="005D211F">
        <w:rPr>
          <w:noProof/>
        </w:rPr>
        <w:t>1</w:t>
      </w:r>
      <w:r w:rsidR="00135CD4" w:rsidRPr="00796640">
        <w:rPr>
          <w:noProof/>
        </w:rPr>
        <w:t xml:space="preserve">9a </w:t>
      </w:r>
      <w:r w:rsidR="00135CD4" w:rsidRPr="005D211F">
        <w:rPr>
          <w:noProof/>
        </w:rPr>
        <w:t>lub</w:t>
      </w:r>
      <w:r w:rsidR="005D211F" w:rsidRPr="005D211F">
        <w:rPr>
          <w:noProof/>
        </w:rPr>
        <w:t> </w:t>
      </w:r>
      <w:r w:rsidR="00135CD4" w:rsidRPr="005D211F">
        <w:rPr>
          <w:noProof/>
        </w:rPr>
        <w:t>2</w:t>
      </w:r>
      <w:r w:rsidR="00135CD4" w:rsidRPr="00796640">
        <w:rPr>
          <w:noProof/>
        </w:rPr>
        <w:t>9a dyrektywy 2013/34/UE, nie mają obowiązku ujawniania takich informacji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mog</w:t>
      </w:r>
      <w:r w:rsidR="00135CD4" w:rsidRPr="00796640">
        <w:rPr>
          <w:noProof/>
        </w:rPr>
        <w:t>ą nie być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sta</w:t>
      </w:r>
      <w:r w:rsidR="00135CD4" w:rsidRPr="00796640">
        <w:rPr>
          <w:noProof/>
        </w:rPr>
        <w:t>nie przekazać takich informacji instytucjom. Od tych jednostek, które są kontrahentami instytucji, można zatem oczekiwać jedynie dobrowolnego przekazywania takich informacji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dan</w:t>
      </w:r>
      <w:r w:rsidR="00135CD4" w:rsidRPr="00796640">
        <w:rPr>
          <w:noProof/>
        </w:rPr>
        <w:t>ych. Należy jednak zapewnić tym jednostkom wytyczne dotyczące obliczania odsetka ekspozycji na działalność będącą zrównoważoną środowiskowo działalnością gospodarczą,</w:t>
      </w:r>
      <w:r w:rsidR="005D211F" w:rsidRPr="00796640">
        <w:rPr>
          <w:noProof/>
        </w:rPr>
        <w:t xml:space="preserve"> o</w:t>
      </w:r>
      <w:r w:rsidR="005D211F">
        <w:rPr>
          <w:noProof/>
        </w:rPr>
        <w:t> </w:t>
      </w:r>
      <w:r w:rsidR="005D211F" w:rsidRPr="00796640">
        <w:rPr>
          <w:noProof/>
        </w:rPr>
        <w:t>któ</w:t>
      </w:r>
      <w:r w:rsidR="00135CD4" w:rsidRPr="00796640">
        <w:rPr>
          <w:noProof/>
        </w:rPr>
        <w:t>rej mowa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5D211F">
        <w:rPr>
          <w:noProof/>
        </w:rPr>
        <w:t>art</w:t>
      </w:r>
      <w:r w:rsidR="00135CD4" w:rsidRPr="005D211F">
        <w:rPr>
          <w:noProof/>
        </w:rPr>
        <w:t>.</w:t>
      </w:r>
      <w:r w:rsidR="005D211F" w:rsidRPr="005D211F">
        <w:rPr>
          <w:noProof/>
        </w:rPr>
        <w:t> </w:t>
      </w:r>
      <w:r w:rsidR="00135CD4" w:rsidRPr="005D211F">
        <w:rPr>
          <w:noProof/>
        </w:rPr>
        <w:t>3</w:t>
      </w:r>
      <w:r w:rsidR="00135CD4" w:rsidRPr="00796640">
        <w:rPr>
          <w:noProof/>
        </w:rPr>
        <w:t xml:space="preserve"> rozporządzenia (UE) 2020/852, tak aby te informacje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dan</w:t>
      </w:r>
      <w:r w:rsidR="00135CD4" w:rsidRPr="00796640">
        <w:rPr>
          <w:noProof/>
        </w:rPr>
        <w:t>e można było przedstawiać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sta</w:t>
      </w:r>
      <w:r w:rsidR="00135CD4" w:rsidRPr="00796640">
        <w:rPr>
          <w:noProof/>
        </w:rPr>
        <w:t>ndardowym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por</w:t>
      </w:r>
      <w:r w:rsidR="00135CD4" w:rsidRPr="00796640">
        <w:rPr>
          <w:noProof/>
        </w:rPr>
        <w:t>ównywalnym formacie</w:t>
      </w:r>
      <w:r w:rsidR="005D211F" w:rsidRPr="00796640">
        <w:rPr>
          <w:noProof/>
        </w:rPr>
        <w:t>. W</w:t>
      </w:r>
      <w:r w:rsidR="005D211F">
        <w:rPr>
          <w:noProof/>
        </w:rPr>
        <w:t> </w:t>
      </w:r>
      <w:r w:rsidR="005D211F" w:rsidRPr="00796640">
        <w:rPr>
          <w:noProof/>
        </w:rPr>
        <w:t>prz</w:t>
      </w:r>
      <w:r w:rsidR="00135CD4" w:rsidRPr="00796640">
        <w:rPr>
          <w:noProof/>
        </w:rPr>
        <w:t>ypadku gdy te informacje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dan</w:t>
      </w:r>
      <w:r w:rsidR="00135CD4" w:rsidRPr="00796640">
        <w:rPr>
          <w:noProof/>
        </w:rPr>
        <w:t>e nie są przekazywane dobrowolnie, instytucje powinny mieć możliwość obliczenia odsetka ekspozycji na działalność zgodną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sys</w:t>
      </w:r>
      <w:r w:rsidR="00135CD4" w:rsidRPr="00796640">
        <w:rPr>
          <w:noProof/>
        </w:rPr>
        <w:t>tematyką za pomocą danych szacunkowych lub przybliżonych.</w:t>
      </w:r>
    </w:p>
    <w:p w:rsidR="00921483" w:rsidRPr="00796640" w:rsidRDefault="00BA4983" w:rsidP="00BA4983">
      <w:pPr>
        <w:pStyle w:val="ManualConsidrant"/>
        <w:rPr>
          <w:noProof/>
        </w:rPr>
      </w:pPr>
      <w:r w:rsidRPr="00BA4983">
        <w:t>(5)</w:t>
      </w:r>
      <w:r w:rsidRPr="00BA4983">
        <w:tab/>
      </w:r>
      <w:r w:rsidR="00A97285" w:rsidRPr="00796640">
        <w:rPr>
          <w:noProof/>
        </w:rPr>
        <w:t xml:space="preserve">W </w:t>
      </w:r>
      <w:r w:rsidR="00A97285" w:rsidRPr="005D211F">
        <w:rPr>
          <w:noProof/>
        </w:rPr>
        <w:t>art.</w:t>
      </w:r>
      <w:r w:rsidR="005D211F" w:rsidRPr="005D211F">
        <w:rPr>
          <w:noProof/>
        </w:rPr>
        <w:t> </w:t>
      </w:r>
      <w:r w:rsidR="00A97285" w:rsidRPr="005D211F">
        <w:rPr>
          <w:noProof/>
        </w:rPr>
        <w:t>4</w:t>
      </w:r>
      <w:r w:rsidR="00A97285" w:rsidRPr="00796640">
        <w:rPr>
          <w:noProof/>
        </w:rPr>
        <w:t xml:space="preserve">49a rozporządzenia (UE) </w:t>
      </w:r>
      <w:r w:rsidR="00A97285" w:rsidRPr="005D211F">
        <w:rPr>
          <w:noProof/>
        </w:rPr>
        <w:t>nr</w:t>
      </w:r>
      <w:r w:rsidR="005D211F" w:rsidRPr="005D211F">
        <w:rPr>
          <w:noProof/>
        </w:rPr>
        <w:t> </w:t>
      </w:r>
      <w:r w:rsidR="00A97285" w:rsidRPr="005D211F">
        <w:rPr>
          <w:noProof/>
        </w:rPr>
        <w:t>5</w:t>
      </w:r>
      <w:r w:rsidR="00A97285" w:rsidRPr="00796640">
        <w:rPr>
          <w:noProof/>
        </w:rPr>
        <w:t xml:space="preserve">75/2013 wymaga się, aby informacje na temat ryzyk ESG ujawniano </w:t>
      </w:r>
      <w:r w:rsidR="00A97285" w:rsidRPr="005D211F">
        <w:rPr>
          <w:noProof/>
        </w:rPr>
        <w:t>od</w:t>
      </w:r>
      <w:r w:rsidR="005D211F" w:rsidRPr="005D211F">
        <w:rPr>
          <w:noProof/>
        </w:rPr>
        <w:t> </w:t>
      </w:r>
      <w:r w:rsidR="00A97285" w:rsidRPr="005D211F">
        <w:rPr>
          <w:noProof/>
        </w:rPr>
        <w:t>2</w:t>
      </w:r>
      <w:r w:rsidR="00A97285" w:rsidRPr="00796640">
        <w:rPr>
          <w:noProof/>
        </w:rPr>
        <w:t>8 czerwca 20</w:t>
      </w:r>
      <w:r w:rsidR="00A97285" w:rsidRPr="005D211F">
        <w:rPr>
          <w:noProof/>
        </w:rPr>
        <w:t>22</w:t>
      </w:r>
      <w:r w:rsidR="005D211F" w:rsidRPr="005D211F">
        <w:rPr>
          <w:noProof/>
        </w:rPr>
        <w:t> </w:t>
      </w:r>
      <w:r w:rsidR="00A97285" w:rsidRPr="005D211F">
        <w:rPr>
          <w:noProof/>
        </w:rPr>
        <w:t>r.</w:t>
      </w:r>
      <w:r w:rsidR="00A97285" w:rsidRPr="00796640">
        <w:rPr>
          <w:noProof/>
        </w:rPr>
        <w:t>, przy czym raz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rok</w:t>
      </w:r>
      <w:r w:rsidR="00A97285" w:rsidRPr="00796640">
        <w:rPr>
          <w:noProof/>
        </w:rPr>
        <w:t>u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odn</w:t>
      </w:r>
      <w:r w:rsidR="00A97285" w:rsidRPr="00796640">
        <w:rPr>
          <w:noProof/>
        </w:rPr>
        <w:t>iesieniu do pierwszego roku,</w:t>
      </w:r>
      <w:r w:rsidR="005D211F" w:rsidRPr="00796640">
        <w:rPr>
          <w:noProof/>
        </w:rPr>
        <w:t xml:space="preserve"> a</w:t>
      </w:r>
      <w:r w:rsidR="005D211F">
        <w:rPr>
          <w:noProof/>
        </w:rPr>
        <w:t> </w:t>
      </w:r>
      <w:r w:rsidR="005D211F" w:rsidRPr="00796640">
        <w:rPr>
          <w:noProof/>
        </w:rPr>
        <w:t>nas</w:t>
      </w:r>
      <w:r w:rsidR="00A97285" w:rsidRPr="00796640">
        <w:rPr>
          <w:noProof/>
        </w:rPr>
        <w:t>tępnie dwa razy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rok</w:t>
      </w:r>
      <w:r w:rsidR="00A97285" w:rsidRPr="00796640">
        <w:rPr>
          <w:noProof/>
        </w:rPr>
        <w:t>u</w:t>
      </w:r>
      <w:r w:rsidR="005D211F" w:rsidRPr="00796640">
        <w:rPr>
          <w:noProof/>
        </w:rPr>
        <w:t>. Z</w:t>
      </w:r>
      <w:r w:rsidR="005D211F">
        <w:rPr>
          <w:noProof/>
        </w:rPr>
        <w:t> </w:t>
      </w:r>
      <w:r w:rsidR="005D211F" w:rsidRPr="00796640">
        <w:rPr>
          <w:noProof/>
        </w:rPr>
        <w:t>tyc</w:t>
      </w:r>
      <w:r w:rsidR="00A97285" w:rsidRPr="00796640">
        <w:rPr>
          <w:noProof/>
        </w:rPr>
        <w:t>h powodów pierwszy dzień odniesienia do celów ujawnienia informacji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prz</w:t>
      </w:r>
      <w:r w:rsidR="00A97285" w:rsidRPr="00796640">
        <w:rPr>
          <w:noProof/>
        </w:rPr>
        <w:t>ypadku informacji ujawnianych corocznie należy wyznaczyć na dzień 31 grudnia 20</w:t>
      </w:r>
      <w:r w:rsidR="00A97285" w:rsidRPr="005D211F">
        <w:rPr>
          <w:noProof/>
        </w:rPr>
        <w:t>22</w:t>
      </w:r>
      <w:r w:rsidR="005D211F" w:rsidRPr="005D211F">
        <w:rPr>
          <w:noProof/>
        </w:rPr>
        <w:t> </w:t>
      </w:r>
      <w:r w:rsidR="00A97285" w:rsidRPr="005D211F">
        <w:rPr>
          <w:noProof/>
        </w:rPr>
        <w:t>r.</w:t>
      </w:r>
    </w:p>
    <w:p w:rsidR="00ED20D7" w:rsidRPr="00796640" w:rsidRDefault="00BA4983" w:rsidP="00BA4983">
      <w:pPr>
        <w:pStyle w:val="ManualConsidrant"/>
        <w:rPr>
          <w:noProof/>
        </w:rPr>
      </w:pPr>
      <w:r w:rsidRPr="00BA4983">
        <w:t>(6)</w:t>
      </w:r>
      <w:r w:rsidRPr="00BA4983">
        <w:tab/>
      </w:r>
      <w:r w:rsidR="00410340" w:rsidRPr="00796640">
        <w:rPr>
          <w:noProof/>
        </w:rPr>
        <w:t xml:space="preserve">Podstawę niniejszego rozporządzenia stanowi projekt wykonawczych standardów technicznych przedłożony Komisji przez Europejski Urząd Nadzoru Bankowego. </w:t>
      </w:r>
    </w:p>
    <w:p w:rsidR="00410340" w:rsidRPr="00796640" w:rsidRDefault="00BA4983" w:rsidP="00BA4983">
      <w:pPr>
        <w:pStyle w:val="ManualConsidrant"/>
        <w:rPr>
          <w:noProof/>
        </w:rPr>
      </w:pPr>
      <w:r w:rsidRPr="00BA4983">
        <w:t>(7)</w:t>
      </w:r>
      <w:r w:rsidRPr="00BA4983">
        <w:tab/>
      </w:r>
      <w:r w:rsidR="00ED20D7" w:rsidRPr="00796640">
        <w:rPr>
          <w:noProof/>
        </w:rPr>
        <w:t>Europejski Urząd Nadzoru Bankowego przeprowadził otwarte konsultacje publiczne na temat projektu wykonawczych standardów technicznych, który stanowi podstawę niniejszego rozporządzenia, dokonał analizy potencjalnych powiązanych kosztów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kor</w:t>
      </w:r>
      <w:r w:rsidR="00ED20D7" w:rsidRPr="00796640">
        <w:rPr>
          <w:noProof/>
        </w:rPr>
        <w:t>zyści oraz zasięgnął porady Bankowej Grupy Interesariuszy powołanej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5D211F">
        <w:rPr>
          <w:noProof/>
        </w:rPr>
        <w:t>art</w:t>
      </w:r>
      <w:r w:rsidR="00ED20D7" w:rsidRPr="005D211F">
        <w:rPr>
          <w:noProof/>
        </w:rPr>
        <w:t>.</w:t>
      </w:r>
      <w:r w:rsidR="005D211F" w:rsidRPr="005D211F">
        <w:rPr>
          <w:noProof/>
        </w:rPr>
        <w:t> </w:t>
      </w:r>
      <w:r w:rsidR="00ED20D7" w:rsidRPr="005D211F">
        <w:rPr>
          <w:noProof/>
        </w:rPr>
        <w:t>3</w:t>
      </w:r>
      <w:r w:rsidR="00ED20D7" w:rsidRPr="00796640">
        <w:rPr>
          <w:noProof/>
        </w:rPr>
        <w:t>7 rozporządzenia Parlamentu Europejskiego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Rad</w:t>
      </w:r>
      <w:r w:rsidR="00ED20D7" w:rsidRPr="00796640">
        <w:rPr>
          <w:noProof/>
        </w:rPr>
        <w:t xml:space="preserve">y (UE) </w:t>
      </w:r>
      <w:r w:rsidR="00ED20D7" w:rsidRPr="005D211F">
        <w:rPr>
          <w:noProof/>
        </w:rPr>
        <w:t>nr</w:t>
      </w:r>
      <w:r w:rsidR="005D211F" w:rsidRPr="005D211F">
        <w:rPr>
          <w:noProof/>
        </w:rPr>
        <w:t> </w:t>
      </w:r>
      <w:r w:rsidR="00ED20D7" w:rsidRPr="005D211F">
        <w:rPr>
          <w:noProof/>
        </w:rPr>
        <w:t>1</w:t>
      </w:r>
      <w:r w:rsidR="00ED20D7" w:rsidRPr="00796640">
        <w:rPr>
          <w:noProof/>
        </w:rPr>
        <w:t>093/2010</w:t>
      </w:r>
      <w:r w:rsidR="00ED20D7" w:rsidRPr="00796640">
        <w:rPr>
          <w:rStyle w:val="FootnoteReference"/>
          <w:noProof/>
        </w:rPr>
        <w:footnoteReference w:id="8"/>
      </w:r>
      <w:r w:rsidR="00ED20D7" w:rsidRPr="00796640">
        <w:rPr>
          <w:noProof/>
        </w:rPr>
        <w:t>.</w:t>
      </w:r>
    </w:p>
    <w:p w:rsidR="00410340" w:rsidRPr="00796640" w:rsidRDefault="00BA4983" w:rsidP="00BA4983">
      <w:pPr>
        <w:pStyle w:val="ManualConsidrant"/>
        <w:rPr>
          <w:noProof/>
        </w:rPr>
      </w:pPr>
      <w:r w:rsidRPr="00BA4983">
        <w:t>(8)</w:t>
      </w:r>
      <w:r w:rsidRPr="00BA4983">
        <w:tab/>
      </w:r>
      <w:r w:rsidR="00410340" w:rsidRPr="00796640">
        <w:rPr>
          <w:noProof/>
        </w:rPr>
        <w:t xml:space="preserve">Należy zatem odpowiednio zmienić rozporządzenie wykonawcze (UE) </w:t>
      </w:r>
      <w:r w:rsidR="00410340" w:rsidRPr="00796640">
        <w:rPr>
          <w:noProof/>
          <w:sz w:val="22"/>
        </w:rPr>
        <w:t>2021/637</w:t>
      </w:r>
      <w:r w:rsidR="00410340" w:rsidRPr="00796640">
        <w:rPr>
          <w:noProof/>
        </w:rPr>
        <w:t>,</w:t>
      </w:r>
    </w:p>
    <w:p w:rsidR="003C122C" w:rsidRPr="00796640" w:rsidRDefault="003C122C" w:rsidP="004E1EF9">
      <w:pPr>
        <w:pStyle w:val="Formuledadoption"/>
        <w:rPr>
          <w:noProof/>
          <w:szCs w:val="24"/>
        </w:rPr>
      </w:pPr>
      <w:r w:rsidRPr="00796640">
        <w:rPr>
          <w:noProof/>
        </w:rPr>
        <w:t>PRZYJMUJE NINIEJSZE ROZPORZĄDZENIE:</w:t>
      </w:r>
    </w:p>
    <w:p w:rsidR="003C122C" w:rsidRPr="00796640" w:rsidRDefault="003C122C" w:rsidP="004E1EF9">
      <w:pPr>
        <w:pStyle w:val="Titrearticle"/>
        <w:rPr>
          <w:noProof/>
          <w:szCs w:val="24"/>
        </w:rPr>
      </w:pPr>
      <w:r w:rsidRPr="00796640">
        <w:rPr>
          <w:noProof/>
        </w:rPr>
        <w:t>Artykuł 1</w:t>
      </w:r>
    </w:p>
    <w:p w:rsidR="007F4F83" w:rsidRPr="00796640" w:rsidRDefault="007F4F83" w:rsidP="00D00193">
      <w:pPr>
        <w:pStyle w:val="Titrearticle"/>
        <w:spacing w:before="120"/>
        <w:rPr>
          <w:b/>
          <w:i w:val="0"/>
          <w:noProof/>
          <w:szCs w:val="24"/>
        </w:rPr>
      </w:pPr>
      <w:r w:rsidRPr="00796640">
        <w:rPr>
          <w:b/>
          <w:i w:val="0"/>
          <w:noProof/>
        </w:rPr>
        <w:t>Zmiany</w:t>
      </w:r>
      <w:r w:rsidR="005D211F" w:rsidRPr="00796640">
        <w:rPr>
          <w:b/>
          <w:i w:val="0"/>
          <w:noProof/>
        </w:rPr>
        <w:t xml:space="preserve"> w</w:t>
      </w:r>
      <w:r w:rsidR="005D211F">
        <w:rPr>
          <w:b/>
          <w:i w:val="0"/>
          <w:noProof/>
        </w:rPr>
        <w:t> </w:t>
      </w:r>
      <w:r w:rsidR="005D211F" w:rsidRPr="00796640">
        <w:rPr>
          <w:b/>
          <w:i w:val="0"/>
          <w:noProof/>
        </w:rPr>
        <w:t>roz</w:t>
      </w:r>
      <w:r w:rsidRPr="00796640">
        <w:rPr>
          <w:b/>
          <w:i w:val="0"/>
          <w:noProof/>
        </w:rPr>
        <w:t>porządzeniu wykonawczym (UE) 2021/637</w:t>
      </w:r>
    </w:p>
    <w:p w:rsidR="007F4F83" w:rsidRPr="00796640" w:rsidRDefault="007F4F83" w:rsidP="007F4F83">
      <w:pPr>
        <w:pStyle w:val="Titrearticle"/>
        <w:jc w:val="left"/>
        <w:rPr>
          <w:rFonts w:eastAsiaTheme="minorEastAsia"/>
          <w:i w:val="0"/>
          <w:noProof/>
          <w:szCs w:val="24"/>
        </w:rPr>
      </w:pPr>
      <w:r w:rsidRPr="00796640">
        <w:rPr>
          <w:i w:val="0"/>
          <w:noProof/>
        </w:rPr>
        <w:t>W rozporządzeniu wykonawczym (UE) 2021/637 wprowadza się następujące zmiany:</w:t>
      </w:r>
    </w:p>
    <w:p w:rsidR="007F4F83" w:rsidRPr="00796640" w:rsidRDefault="00D476ED" w:rsidP="00D476ED">
      <w:pPr>
        <w:pStyle w:val="Point0"/>
        <w:rPr>
          <w:noProof/>
        </w:rPr>
      </w:pPr>
      <w:r w:rsidRPr="00796640">
        <w:rPr>
          <w:noProof/>
        </w:rPr>
        <w:t>1)</w:t>
      </w:r>
      <w:r w:rsidRPr="00796640">
        <w:rPr>
          <w:noProof/>
        </w:rPr>
        <w:tab/>
      </w:r>
      <w:r w:rsidR="007F4F83" w:rsidRPr="00796640">
        <w:rPr>
          <w:noProof/>
        </w:rPr>
        <w:t xml:space="preserve">dodaje się </w:t>
      </w:r>
      <w:r w:rsidR="007F4F83" w:rsidRPr="005D211F">
        <w:rPr>
          <w:noProof/>
        </w:rPr>
        <w:t>art.</w:t>
      </w:r>
      <w:r w:rsidR="005D211F" w:rsidRPr="005D211F">
        <w:rPr>
          <w:noProof/>
        </w:rPr>
        <w:t> </w:t>
      </w:r>
      <w:r w:rsidR="007F4F83" w:rsidRPr="005D211F">
        <w:rPr>
          <w:noProof/>
        </w:rPr>
        <w:t>1</w:t>
      </w:r>
      <w:r w:rsidR="007F4F83" w:rsidRPr="00796640">
        <w:rPr>
          <w:noProof/>
        </w:rPr>
        <w:t>8a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brz</w:t>
      </w:r>
      <w:r w:rsidR="007F4F83" w:rsidRPr="00796640">
        <w:rPr>
          <w:noProof/>
        </w:rPr>
        <w:t>mieniu:</w:t>
      </w:r>
    </w:p>
    <w:p w:rsidR="007F4F83" w:rsidRPr="00796640" w:rsidRDefault="006542E5" w:rsidP="004046D9">
      <w:pPr>
        <w:pStyle w:val="Titrearticle"/>
        <w:spacing w:before="120"/>
        <w:ind w:left="567" w:right="568"/>
        <w:rPr>
          <w:noProof/>
        </w:rPr>
      </w:pPr>
      <w:r w:rsidRPr="00796640">
        <w:rPr>
          <w:noProof/>
        </w:rPr>
        <w:t>„Artykuł 18a</w:t>
      </w:r>
    </w:p>
    <w:p w:rsidR="007F4F83" w:rsidRPr="00796640" w:rsidRDefault="007F4F83" w:rsidP="004046D9">
      <w:pPr>
        <w:pStyle w:val="Titrearticle"/>
        <w:spacing w:before="120"/>
        <w:ind w:left="567" w:right="568"/>
        <w:rPr>
          <w:b/>
          <w:i w:val="0"/>
          <w:noProof/>
        </w:rPr>
      </w:pPr>
      <w:r w:rsidRPr="00796640">
        <w:rPr>
          <w:b/>
          <w:i w:val="0"/>
          <w:noProof/>
        </w:rPr>
        <w:t>Ujawnianie informacji na temat ryzyk</w:t>
      </w:r>
      <w:r w:rsidR="005D211F" w:rsidRPr="00796640">
        <w:rPr>
          <w:b/>
          <w:i w:val="0"/>
          <w:noProof/>
        </w:rPr>
        <w:t xml:space="preserve"> z</w:t>
      </w:r>
      <w:r w:rsidR="005D211F">
        <w:rPr>
          <w:b/>
          <w:i w:val="0"/>
          <w:noProof/>
        </w:rPr>
        <w:t> </w:t>
      </w:r>
      <w:r w:rsidR="005D211F" w:rsidRPr="00796640">
        <w:rPr>
          <w:b/>
          <w:i w:val="0"/>
          <w:noProof/>
        </w:rPr>
        <w:t>zak</w:t>
      </w:r>
      <w:r w:rsidRPr="00796640">
        <w:rPr>
          <w:b/>
          <w:i w:val="0"/>
          <w:noProof/>
        </w:rPr>
        <w:t>resu ochrony środowiska, polityki społecznej</w:t>
      </w:r>
      <w:r w:rsidR="005D211F" w:rsidRPr="00796640">
        <w:rPr>
          <w:b/>
          <w:i w:val="0"/>
          <w:noProof/>
        </w:rPr>
        <w:t xml:space="preserve"> i</w:t>
      </w:r>
      <w:r w:rsidR="005D211F">
        <w:rPr>
          <w:b/>
          <w:i w:val="0"/>
          <w:noProof/>
        </w:rPr>
        <w:t> </w:t>
      </w:r>
      <w:r w:rsidR="005D211F" w:rsidRPr="00796640">
        <w:rPr>
          <w:b/>
          <w:i w:val="0"/>
          <w:noProof/>
        </w:rPr>
        <w:t>ład</w:t>
      </w:r>
      <w:r w:rsidRPr="00796640">
        <w:rPr>
          <w:b/>
          <w:i w:val="0"/>
          <w:noProof/>
        </w:rPr>
        <w:t>u korporacyjnego (ryzyk ESG)</w:t>
      </w:r>
    </w:p>
    <w:p w:rsidR="007F4F83" w:rsidRPr="00796640" w:rsidRDefault="00BA4983" w:rsidP="00BA4983">
      <w:pPr>
        <w:pStyle w:val="ManualNumPar1"/>
        <w:rPr>
          <w:noProof/>
        </w:rPr>
      </w:pPr>
      <w:r w:rsidRPr="00BA4983">
        <w:t>1.</w:t>
      </w:r>
      <w:r w:rsidRPr="00BA4983">
        <w:tab/>
      </w:r>
      <w:r w:rsidR="007F4F83" w:rsidRPr="00796640">
        <w:rPr>
          <w:noProof/>
        </w:rPr>
        <w:t>Instytucje ujawniają informacje,</w:t>
      </w:r>
      <w:r w:rsidR="005D211F" w:rsidRPr="00796640">
        <w:rPr>
          <w:noProof/>
        </w:rPr>
        <w:t xml:space="preserve"> o</w:t>
      </w:r>
      <w:r w:rsidR="005D211F">
        <w:rPr>
          <w:noProof/>
        </w:rPr>
        <w:t> </w:t>
      </w:r>
      <w:r w:rsidR="005D211F" w:rsidRPr="00796640">
        <w:rPr>
          <w:noProof/>
        </w:rPr>
        <w:t>któ</w:t>
      </w:r>
      <w:r w:rsidR="007F4F83" w:rsidRPr="00796640">
        <w:rPr>
          <w:noProof/>
        </w:rPr>
        <w:t>rych mowa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5D211F">
        <w:rPr>
          <w:noProof/>
        </w:rPr>
        <w:t>art</w:t>
      </w:r>
      <w:r w:rsidR="007F4F83" w:rsidRPr="005D211F">
        <w:rPr>
          <w:noProof/>
        </w:rPr>
        <w:t>.</w:t>
      </w:r>
      <w:r w:rsidR="005D211F" w:rsidRPr="005D211F">
        <w:rPr>
          <w:noProof/>
        </w:rPr>
        <w:t> </w:t>
      </w:r>
      <w:r w:rsidR="007F4F83" w:rsidRPr="005D211F">
        <w:rPr>
          <w:noProof/>
        </w:rPr>
        <w:t>4</w:t>
      </w:r>
      <w:r w:rsidR="007F4F83" w:rsidRPr="00796640">
        <w:rPr>
          <w:noProof/>
        </w:rPr>
        <w:t xml:space="preserve">49a rozporządzenia (UE) </w:t>
      </w:r>
      <w:r w:rsidR="007F4F83" w:rsidRPr="005D211F">
        <w:rPr>
          <w:noProof/>
        </w:rPr>
        <w:t>nr</w:t>
      </w:r>
      <w:r w:rsidR="005D211F" w:rsidRPr="005D211F">
        <w:rPr>
          <w:noProof/>
        </w:rPr>
        <w:t> </w:t>
      </w:r>
      <w:r w:rsidR="007F4F83" w:rsidRPr="005D211F">
        <w:rPr>
          <w:noProof/>
        </w:rPr>
        <w:t>5</w:t>
      </w:r>
      <w:r w:rsidR="007F4F83" w:rsidRPr="00796640">
        <w:rPr>
          <w:noProof/>
        </w:rPr>
        <w:t>75/2013,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nas</w:t>
      </w:r>
      <w:r w:rsidR="007F4F83" w:rsidRPr="00796640">
        <w:rPr>
          <w:noProof/>
        </w:rPr>
        <w:t>tępujący sposób:</w:t>
      </w:r>
    </w:p>
    <w:p w:rsidR="002D1236" w:rsidRPr="00796640" w:rsidRDefault="00D476ED" w:rsidP="00D476ED">
      <w:pPr>
        <w:pStyle w:val="Point1"/>
        <w:rPr>
          <w:noProof/>
        </w:rPr>
      </w:pPr>
      <w:r w:rsidRPr="00796640">
        <w:rPr>
          <w:noProof/>
        </w:rPr>
        <w:t>a)</w:t>
      </w:r>
      <w:r w:rsidRPr="00796640">
        <w:rPr>
          <w:noProof/>
        </w:rPr>
        <w:tab/>
      </w:r>
      <w:r w:rsidR="002D1236" w:rsidRPr="00796640">
        <w:rPr>
          <w:noProof/>
        </w:rPr>
        <w:t>informacje jakościowe na temat ryzyk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zak</w:t>
      </w:r>
      <w:r w:rsidR="002D1236" w:rsidRPr="00796640">
        <w:rPr>
          <w:noProof/>
        </w:rPr>
        <w:t>resu ochrony środowiska, polityki społecznej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ład</w:t>
      </w:r>
      <w:r w:rsidR="002D1236" w:rsidRPr="00796640">
        <w:rPr>
          <w:noProof/>
        </w:rPr>
        <w:t>u korporacyjnego – korzystając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tab</w:t>
      </w:r>
      <w:r w:rsidR="002D1236" w:rsidRPr="00796640">
        <w:rPr>
          <w:noProof/>
        </w:rPr>
        <w:t>el 1, 2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3</w:t>
      </w:r>
      <w:r w:rsidR="002D1236" w:rsidRPr="00796640">
        <w:rPr>
          <w:noProof/>
        </w:rPr>
        <w:t xml:space="preserve"> określonych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2D1236" w:rsidRPr="00796640">
        <w:rPr>
          <w:noProof/>
        </w:rPr>
        <w:t>ączniku XXXIX do niniejszego rozporządzenia oraz postępując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ins</w:t>
      </w:r>
      <w:r w:rsidR="002D1236" w:rsidRPr="00796640">
        <w:rPr>
          <w:noProof/>
        </w:rPr>
        <w:t>trukcjami zawartymi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2D1236" w:rsidRPr="00796640">
        <w:rPr>
          <w:noProof/>
        </w:rPr>
        <w:t>ączniku XL do niniejszego rozporządzenia;</w:t>
      </w:r>
    </w:p>
    <w:p w:rsidR="002D1236" w:rsidRPr="00796640" w:rsidRDefault="00D476ED" w:rsidP="00D476ED">
      <w:pPr>
        <w:pStyle w:val="Point1"/>
        <w:rPr>
          <w:noProof/>
        </w:rPr>
      </w:pPr>
      <w:r w:rsidRPr="00796640">
        <w:rPr>
          <w:noProof/>
        </w:rPr>
        <w:t>b)</w:t>
      </w:r>
      <w:r w:rsidRPr="00796640">
        <w:rPr>
          <w:noProof/>
        </w:rPr>
        <w:tab/>
      </w:r>
      <w:r w:rsidR="002D1236" w:rsidRPr="00796640">
        <w:rPr>
          <w:noProof/>
        </w:rPr>
        <w:t>informacje ilościowe na temat ryzyka przejścia związanego ze zmianami klimatu – korzystając ze wzorów 1–4 określonych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2D1236" w:rsidRPr="00796640">
        <w:rPr>
          <w:noProof/>
        </w:rPr>
        <w:t>ączniku XXXIX do niniejszego rozporządzenia oraz postępując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ins</w:t>
      </w:r>
      <w:r w:rsidR="002D1236" w:rsidRPr="00796640">
        <w:rPr>
          <w:noProof/>
        </w:rPr>
        <w:t>trukcjami zawartymi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2D1236" w:rsidRPr="00796640">
        <w:rPr>
          <w:noProof/>
        </w:rPr>
        <w:t>ączniku XL do niniejszego rozporządzenia;</w:t>
      </w:r>
    </w:p>
    <w:p w:rsidR="002D1236" w:rsidRPr="00796640" w:rsidRDefault="00D476ED" w:rsidP="00D476ED">
      <w:pPr>
        <w:pStyle w:val="Point1"/>
        <w:rPr>
          <w:noProof/>
        </w:rPr>
      </w:pPr>
      <w:r w:rsidRPr="00796640">
        <w:rPr>
          <w:noProof/>
        </w:rPr>
        <w:t>c)</w:t>
      </w:r>
      <w:r w:rsidRPr="00796640">
        <w:rPr>
          <w:noProof/>
        </w:rPr>
        <w:tab/>
      </w:r>
      <w:r w:rsidR="002D1236" w:rsidRPr="00796640">
        <w:rPr>
          <w:noProof/>
        </w:rPr>
        <w:t>informacje ilościowe na temat ryzyka fizycznego związanego ze zmianami klimatu – korzystając ze wzoru 5 określonego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2D1236" w:rsidRPr="00796640">
        <w:rPr>
          <w:noProof/>
        </w:rPr>
        <w:t>ączniku XXXIX do niniejszego rozporządzenia oraz postępując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ins</w:t>
      </w:r>
      <w:r w:rsidR="002D1236" w:rsidRPr="00796640">
        <w:rPr>
          <w:noProof/>
        </w:rPr>
        <w:t>trukcjami zawartymi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2D1236" w:rsidRPr="00796640">
        <w:rPr>
          <w:noProof/>
        </w:rPr>
        <w:t>ączniku XL do niniejszego rozporządzenia;</w:t>
      </w:r>
    </w:p>
    <w:p w:rsidR="002D1236" w:rsidRPr="00796640" w:rsidRDefault="00D476ED" w:rsidP="00D476ED">
      <w:pPr>
        <w:pStyle w:val="Point1"/>
        <w:rPr>
          <w:noProof/>
        </w:rPr>
      </w:pPr>
      <w:r w:rsidRPr="00796640">
        <w:rPr>
          <w:noProof/>
        </w:rPr>
        <w:t>d)</w:t>
      </w:r>
      <w:r w:rsidRPr="00796640">
        <w:rPr>
          <w:noProof/>
        </w:rPr>
        <w:tab/>
      </w:r>
      <w:r w:rsidR="002D1236" w:rsidRPr="00796640">
        <w:rPr>
          <w:noProof/>
        </w:rPr>
        <w:t>informacje ilościowe na temat działań łagodzących powiązanych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dzi</w:t>
      </w:r>
      <w:r w:rsidR="002D1236" w:rsidRPr="00796640">
        <w:rPr>
          <w:noProof/>
        </w:rPr>
        <w:t>ałalnością gospodarczą, która kwalifikuje się jako zrównoważona środowiskowo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5D211F">
        <w:rPr>
          <w:noProof/>
        </w:rPr>
        <w:t>art</w:t>
      </w:r>
      <w:r w:rsidR="002D1236" w:rsidRPr="005D211F">
        <w:rPr>
          <w:noProof/>
        </w:rPr>
        <w:t>.</w:t>
      </w:r>
      <w:r w:rsidR="005D211F" w:rsidRPr="005D211F">
        <w:rPr>
          <w:noProof/>
        </w:rPr>
        <w:t> </w:t>
      </w:r>
      <w:r w:rsidR="002D1236" w:rsidRPr="005D211F">
        <w:rPr>
          <w:noProof/>
        </w:rPr>
        <w:t>3</w:t>
      </w:r>
      <w:r w:rsidR="002D1236" w:rsidRPr="00796640">
        <w:rPr>
          <w:noProof/>
        </w:rPr>
        <w:t xml:space="preserve"> rozporządzenia Parlamentu Europejskiego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Rad</w:t>
      </w:r>
      <w:r w:rsidR="002D1236" w:rsidRPr="00796640">
        <w:rPr>
          <w:noProof/>
        </w:rPr>
        <w:t>y (UE) 2020/852</w:t>
      </w:r>
      <w:r w:rsidR="002D1236" w:rsidRPr="00796640">
        <w:rPr>
          <w:noProof/>
          <w:vertAlign w:val="superscript"/>
        </w:rPr>
        <w:t>*1</w:t>
      </w:r>
      <w:r w:rsidR="002D1236" w:rsidRPr="00796640">
        <w:rPr>
          <w:noProof/>
        </w:rPr>
        <w:t>,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sto</w:t>
      </w:r>
      <w:r w:rsidR="002D1236" w:rsidRPr="00796640">
        <w:rPr>
          <w:noProof/>
        </w:rPr>
        <w:t xml:space="preserve">sunku do tych kontrahentów, którzy podlegają </w:t>
      </w:r>
      <w:r w:rsidR="002D1236" w:rsidRPr="005D211F">
        <w:rPr>
          <w:noProof/>
        </w:rPr>
        <w:t>art.</w:t>
      </w:r>
      <w:r w:rsidR="005D211F" w:rsidRPr="005D211F">
        <w:rPr>
          <w:noProof/>
        </w:rPr>
        <w:t> </w:t>
      </w:r>
      <w:r w:rsidR="002D1236" w:rsidRPr="005D211F">
        <w:rPr>
          <w:noProof/>
        </w:rPr>
        <w:t>1</w:t>
      </w:r>
      <w:r w:rsidR="002D1236" w:rsidRPr="00796640">
        <w:rPr>
          <w:noProof/>
        </w:rPr>
        <w:t xml:space="preserve">9a </w:t>
      </w:r>
      <w:r w:rsidR="002D1236" w:rsidRPr="005D211F">
        <w:rPr>
          <w:noProof/>
        </w:rPr>
        <w:t>lub</w:t>
      </w:r>
      <w:r w:rsidR="005D211F" w:rsidRPr="005D211F">
        <w:rPr>
          <w:noProof/>
        </w:rPr>
        <w:t> </w:t>
      </w:r>
      <w:r w:rsidR="002D1236" w:rsidRPr="005D211F">
        <w:rPr>
          <w:noProof/>
        </w:rPr>
        <w:t>2</w:t>
      </w:r>
      <w:r w:rsidR="002D1236" w:rsidRPr="00796640">
        <w:rPr>
          <w:noProof/>
        </w:rPr>
        <w:t>9a dyrektywy Parlamentu Europejskiego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Rad</w:t>
      </w:r>
      <w:r w:rsidR="002D1236" w:rsidRPr="00796640">
        <w:rPr>
          <w:noProof/>
        </w:rPr>
        <w:t>y 2013/34/UE</w:t>
      </w:r>
      <w:r w:rsidR="002D1236" w:rsidRPr="00796640">
        <w:rPr>
          <w:noProof/>
          <w:vertAlign w:val="superscript"/>
        </w:rPr>
        <w:t>*2</w:t>
      </w:r>
      <w:r w:rsidR="002D1236" w:rsidRPr="00796640">
        <w:rPr>
          <w:noProof/>
        </w:rPr>
        <w:t>,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bookmarkStart w:id="1" w:name="_Hlk92470586"/>
      <w:r w:rsidR="005D211F" w:rsidRPr="00796640">
        <w:rPr>
          <w:noProof/>
        </w:rPr>
        <w:t>sto</w:t>
      </w:r>
      <w:r w:rsidR="002D1236" w:rsidRPr="00796640">
        <w:rPr>
          <w:noProof/>
        </w:rPr>
        <w:t>sunku do gospodarstw domowych oraz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sto</w:t>
      </w:r>
      <w:r w:rsidR="002D1236" w:rsidRPr="00796640">
        <w:rPr>
          <w:noProof/>
        </w:rPr>
        <w:t>sunku do samorządów terytorialnych</w:t>
      </w:r>
      <w:bookmarkEnd w:id="1"/>
      <w:r w:rsidR="002D1236" w:rsidRPr="00796640">
        <w:rPr>
          <w:noProof/>
        </w:rPr>
        <w:t>,</w:t>
      </w:r>
      <w:r w:rsidR="005D211F" w:rsidRPr="00796640">
        <w:rPr>
          <w:noProof/>
        </w:rPr>
        <w:t xml:space="preserve"> o</w:t>
      </w:r>
      <w:r w:rsidR="005D211F">
        <w:rPr>
          <w:noProof/>
        </w:rPr>
        <w:t> </w:t>
      </w:r>
      <w:r w:rsidR="005D211F" w:rsidRPr="00796640">
        <w:rPr>
          <w:noProof/>
        </w:rPr>
        <w:t>któ</w:t>
      </w:r>
      <w:r w:rsidR="002D1236" w:rsidRPr="00796640">
        <w:rPr>
          <w:noProof/>
        </w:rPr>
        <w:t>rych mowa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czę</w:t>
      </w:r>
      <w:r w:rsidR="002D1236" w:rsidRPr="00796640">
        <w:rPr>
          <w:noProof/>
        </w:rPr>
        <w:t xml:space="preserve">ści 1 </w:t>
      </w:r>
      <w:r w:rsidR="002D1236" w:rsidRPr="005D211F">
        <w:rPr>
          <w:noProof/>
        </w:rPr>
        <w:t>pkt</w:t>
      </w:r>
      <w:r w:rsidR="005D211F" w:rsidRPr="005D211F">
        <w:rPr>
          <w:noProof/>
        </w:rPr>
        <w:t> </w:t>
      </w:r>
      <w:r w:rsidR="002D1236" w:rsidRPr="005D211F">
        <w:rPr>
          <w:noProof/>
        </w:rPr>
        <w:t>4</w:t>
      </w:r>
      <w:r w:rsidR="002D1236" w:rsidRPr="00796640">
        <w:rPr>
          <w:noProof/>
        </w:rPr>
        <w:t xml:space="preserve">2 </w:t>
      </w:r>
      <w:r w:rsidR="002D1236" w:rsidRPr="005D211F">
        <w:rPr>
          <w:noProof/>
        </w:rPr>
        <w:t>lit.</w:t>
      </w:r>
      <w:r w:rsidR="005D211F" w:rsidRPr="005D211F">
        <w:rPr>
          <w:noProof/>
        </w:rPr>
        <w:t> </w:t>
      </w:r>
      <w:r w:rsidR="002D1236" w:rsidRPr="005D211F">
        <w:rPr>
          <w:noProof/>
        </w:rPr>
        <w:t>b)</w:t>
      </w:r>
      <w:r w:rsidR="002D1236" w:rsidRPr="00796640">
        <w:rPr>
          <w:noProof/>
        </w:rPr>
        <w:t xml:space="preserve"> załącznika V do rozporządzenia wykonawczego Komisji (UE) 2021/451</w:t>
      </w:r>
      <w:r w:rsidR="002D1236" w:rsidRPr="00796640">
        <w:rPr>
          <w:noProof/>
          <w:vertAlign w:val="superscript"/>
        </w:rPr>
        <w:t>*3</w:t>
      </w:r>
      <w:r w:rsidR="002D1236" w:rsidRPr="00796640">
        <w:rPr>
          <w:noProof/>
        </w:rPr>
        <w:t xml:space="preserve"> – korzystając ze wzorów 6, 7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8</w:t>
      </w:r>
      <w:r w:rsidR="002D1236" w:rsidRPr="00796640">
        <w:rPr>
          <w:noProof/>
        </w:rPr>
        <w:t xml:space="preserve"> określonych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2D1236" w:rsidRPr="00796640">
        <w:rPr>
          <w:noProof/>
        </w:rPr>
        <w:t>ączniku XXXIX do niniejszego rozporządzenia oraz postępując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ins</w:t>
      </w:r>
      <w:r w:rsidR="002D1236" w:rsidRPr="00796640">
        <w:rPr>
          <w:noProof/>
        </w:rPr>
        <w:t>trukcjami zawartymi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2D1236" w:rsidRPr="00796640">
        <w:rPr>
          <w:noProof/>
        </w:rPr>
        <w:t>ączniku XL do niniejszego rozporządzenia;</w:t>
      </w:r>
    </w:p>
    <w:p w:rsidR="00995098" w:rsidRPr="00796640" w:rsidRDefault="00D476ED" w:rsidP="00D476ED">
      <w:pPr>
        <w:pStyle w:val="Point1"/>
        <w:rPr>
          <w:noProof/>
        </w:rPr>
      </w:pPr>
      <w:r w:rsidRPr="00796640">
        <w:rPr>
          <w:noProof/>
        </w:rPr>
        <w:t>e)</w:t>
      </w:r>
      <w:r w:rsidRPr="00796640">
        <w:rPr>
          <w:noProof/>
        </w:rPr>
        <w:tab/>
      </w:r>
      <w:r w:rsidR="00995098" w:rsidRPr="00796640">
        <w:rPr>
          <w:noProof/>
        </w:rPr>
        <w:t>informacje ilościowe na temat innych działań łagodzących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eks</w:t>
      </w:r>
      <w:r w:rsidR="00995098" w:rsidRPr="00796640">
        <w:rPr>
          <w:noProof/>
        </w:rPr>
        <w:t>pozycji na ryzyko związane ze zmianami klimatu, które nie kwalifikują się jako zrównoważona środowiskowo działalność gospodarcza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5D211F">
        <w:rPr>
          <w:noProof/>
        </w:rPr>
        <w:t>art</w:t>
      </w:r>
      <w:r w:rsidR="00995098" w:rsidRPr="005D211F">
        <w:rPr>
          <w:noProof/>
        </w:rPr>
        <w:t>.</w:t>
      </w:r>
      <w:r w:rsidR="005D211F" w:rsidRPr="005D211F">
        <w:rPr>
          <w:noProof/>
        </w:rPr>
        <w:t> </w:t>
      </w:r>
      <w:r w:rsidR="00995098" w:rsidRPr="005D211F">
        <w:rPr>
          <w:noProof/>
        </w:rPr>
        <w:t>3</w:t>
      </w:r>
      <w:r w:rsidR="00995098" w:rsidRPr="00796640">
        <w:rPr>
          <w:noProof/>
        </w:rPr>
        <w:t xml:space="preserve"> rozporządzenia (UE) 2020/852, ale służą wsparciu kontrahentów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pro</w:t>
      </w:r>
      <w:r w:rsidR="00995098" w:rsidRPr="00796640">
        <w:rPr>
          <w:noProof/>
        </w:rPr>
        <w:t>cesie przejścia lub adaptacji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zwi</w:t>
      </w:r>
      <w:r w:rsidR="00995098" w:rsidRPr="00796640">
        <w:rPr>
          <w:noProof/>
        </w:rPr>
        <w:t>ązku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cel</w:t>
      </w:r>
      <w:r w:rsidR="00995098" w:rsidRPr="00796640">
        <w:rPr>
          <w:noProof/>
        </w:rPr>
        <w:t>ami dotyczącymi łagodzenia zmian klimatu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ada</w:t>
      </w:r>
      <w:r w:rsidR="00995098" w:rsidRPr="00796640">
        <w:rPr>
          <w:noProof/>
        </w:rPr>
        <w:t>ptacji do zmian klimatu – korzystając ze wzoru 10 określonego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995098" w:rsidRPr="00796640">
        <w:rPr>
          <w:noProof/>
        </w:rPr>
        <w:t>ączniku XXXIX do niniejszego rozporządzenia oraz postępując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ins</w:t>
      </w:r>
      <w:r w:rsidR="00995098" w:rsidRPr="00796640">
        <w:rPr>
          <w:noProof/>
        </w:rPr>
        <w:t>trukcjami zawartymi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995098" w:rsidRPr="00796640">
        <w:rPr>
          <w:noProof/>
        </w:rPr>
        <w:t>ączniku XL do niniejszego rozporządzenia.</w:t>
      </w:r>
    </w:p>
    <w:p w:rsidR="008D2E23" w:rsidRPr="00796640" w:rsidRDefault="00BA4983" w:rsidP="00BA4983">
      <w:pPr>
        <w:pStyle w:val="ManualNumPar1"/>
        <w:rPr>
          <w:noProof/>
        </w:rPr>
      </w:pPr>
      <w:r w:rsidRPr="00BA4983">
        <w:t>2.</w:t>
      </w:r>
      <w:r w:rsidRPr="00BA4983">
        <w:tab/>
      </w:r>
      <w:r w:rsidR="000941B5" w:rsidRPr="00796640">
        <w:rPr>
          <w:noProof/>
        </w:rPr>
        <w:t>Instytucje mogą zdecydować</w:t>
      </w:r>
      <w:r w:rsidR="005D211F" w:rsidRPr="00796640">
        <w:rPr>
          <w:noProof/>
        </w:rPr>
        <w:t xml:space="preserve"> o</w:t>
      </w:r>
      <w:r w:rsidR="005D211F">
        <w:rPr>
          <w:noProof/>
        </w:rPr>
        <w:t> </w:t>
      </w:r>
      <w:r w:rsidR="005D211F" w:rsidRPr="00796640">
        <w:rPr>
          <w:noProof/>
        </w:rPr>
        <w:t>uja</w:t>
      </w:r>
      <w:r w:rsidR="000941B5" w:rsidRPr="00796640">
        <w:rPr>
          <w:noProof/>
        </w:rPr>
        <w:t>wnianiu informacji ilościowych na temat działań łagodzących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eks</w:t>
      </w:r>
      <w:r w:rsidR="000941B5" w:rsidRPr="00796640">
        <w:rPr>
          <w:noProof/>
        </w:rPr>
        <w:t>pozycji na ryzyko związane ze zmianami klimatu powiązane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dzi</w:t>
      </w:r>
      <w:r w:rsidR="000941B5" w:rsidRPr="00796640">
        <w:rPr>
          <w:noProof/>
        </w:rPr>
        <w:t>ałalnością gospodarczą, która kwalifikuje się jako zrównoważona środowiskowo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5D211F">
        <w:rPr>
          <w:noProof/>
        </w:rPr>
        <w:t>art</w:t>
      </w:r>
      <w:r w:rsidR="000941B5" w:rsidRPr="005D211F">
        <w:rPr>
          <w:noProof/>
        </w:rPr>
        <w:t>.</w:t>
      </w:r>
      <w:r w:rsidR="005D211F" w:rsidRPr="005D211F">
        <w:rPr>
          <w:noProof/>
        </w:rPr>
        <w:t> </w:t>
      </w:r>
      <w:r w:rsidR="000941B5" w:rsidRPr="005D211F">
        <w:rPr>
          <w:noProof/>
        </w:rPr>
        <w:t>3</w:t>
      </w:r>
      <w:r w:rsidR="000941B5" w:rsidRPr="00796640">
        <w:rPr>
          <w:noProof/>
        </w:rPr>
        <w:t xml:space="preserve"> rozporządzenia (UE) 2020/852,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sto</w:t>
      </w:r>
      <w:r w:rsidR="000941B5" w:rsidRPr="00796640">
        <w:rPr>
          <w:noProof/>
        </w:rPr>
        <w:t xml:space="preserve">sunku do kontrahentów </w:t>
      </w:r>
      <w:bookmarkStart w:id="2" w:name="_Hlk92470606"/>
      <w:r w:rsidR="000941B5" w:rsidRPr="00796640">
        <w:rPr>
          <w:noProof/>
        </w:rPr>
        <w:t>będących przedsiębiorstwami niefinansowymi</w:t>
      </w:r>
      <w:bookmarkEnd w:id="2"/>
      <w:r w:rsidR="000941B5" w:rsidRPr="00796640">
        <w:rPr>
          <w:noProof/>
        </w:rPr>
        <w:t>,</w:t>
      </w:r>
      <w:r w:rsidR="005D211F" w:rsidRPr="00796640">
        <w:rPr>
          <w:noProof/>
        </w:rPr>
        <w:t xml:space="preserve"> o</w:t>
      </w:r>
      <w:r w:rsidR="005D211F">
        <w:rPr>
          <w:noProof/>
        </w:rPr>
        <w:t> </w:t>
      </w:r>
      <w:r w:rsidR="005D211F" w:rsidRPr="00796640">
        <w:rPr>
          <w:noProof/>
        </w:rPr>
        <w:t>któ</w:t>
      </w:r>
      <w:r w:rsidR="000941B5" w:rsidRPr="00796640">
        <w:rPr>
          <w:noProof/>
        </w:rPr>
        <w:t>rych mowa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czę</w:t>
      </w:r>
      <w:r w:rsidR="000941B5" w:rsidRPr="00796640">
        <w:rPr>
          <w:noProof/>
        </w:rPr>
        <w:t xml:space="preserve">ści 1 </w:t>
      </w:r>
      <w:r w:rsidR="000941B5" w:rsidRPr="005D211F">
        <w:rPr>
          <w:noProof/>
        </w:rPr>
        <w:t>pkt</w:t>
      </w:r>
      <w:r w:rsidR="005D211F" w:rsidRPr="005D211F">
        <w:rPr>
          <w:noProof/>
        </w:rPr>
        <w:t> </w:t>
      </w:r>
      <w:r w:rsidR="000941B5" w:rsidRPr="005D211F">
        <w:rPr>
          <w:noProof/>
        </w:rPr>
        <w:t>4</w:t>
      </w:r>
      <w:r w:rsidR="000941B5" w:rsidRPr="00796640">
        <w:rPr>
          <w:noProof/>
        </w:rPr>
        <w:t xml:space="preserve">2 </w:t>
      </w:r>
      <w:r w:rsidR="000941B5" w:rsidRPr="005D211F">
        <w:rPr>
          <w:noProof/>
        </w:rPr>
        <w:t>lit.</w:t>
      </w:r>
      <w:r w:rsidR="005D211F" w:rsidRPr="005D211F">
        <w:rPr>
          <w:noProof/>
        </w:rPr>
        <w:t> </w:t>
      </w:r>
      <w:r w:rsidR="000941B5" w:rsidRPr="005D211F">
        <w:rPr>
          <w:noProof/>
        </w:rPr>
        <w:t>e)</w:t>
      </w:r>
      <w:r w:rsidR="000941B5" w:rsidRPr="00796640">
        <w:rPr>
          <w:noProof/>
        </w:rPr>
        <w:t xml:space="preserve"> załącznika V do rozporządzenia wykonawczego (UE) 2021/451, które nie podlegają obowiązkom ujawniania informacji określonym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5D211F">
        <w:rPr>
          <w:noProof/>
        </w:rPr>
        <w:t>art</w:t>
      </w:r>
      <w:r w:rsidR="000941B5" w:rsidRPr="005D211F">
        <w:rPr>
          <w:noProof/>
        </w:rPr>
        <w:t>.</w:t>
      </w:r>
      <w:r w:rsidR="005D211F" w:rsidRPr="005D211F">
        <w:rPr>
          <w:noProof/>
        </w:rPr>
        <w:t> </w:t>
      </w:r>
      <w:r w:rsidR="000941B5" w:rsidRPr="005D211F">
        <w:rPr>
          <w:noProof/>
        </w:rPr>
        <w:t>1</w:t>
      </w:r>
      <w:r w:rsidR="000941B5" w:rsidRPr="00796640">
        <w:rPr>
          <w:noProof/>
        </w:rPr>
        <w:t xml:space="preserve">9a </w:t>
      </w:r>
      <w:r w:rsidR="000941B5" w:rsidRPr="005D211F">
        <w:rPr>
          <w:noProof/>
        </w:rPr>
        <w:t>lub</w:t>
      </w:r>
      <w:r w:rsidR="005D211F" w:rsidRPr="005D211F">
        <w:rPr>
          <w:noProof/>
        </w:rPr>
        <w:t> </w:t>
      </w:r>
      <w:r w:rsidR="000941B5" w:rsidRPr="005D211F">
        <w:rPr>
          <w:noProof/>
        </w:rPr>
        <w:t>2</w:t>
      </w:r>
      <w:r w:rsidR="000941B5" w:rsidRPr="00796640">
        <w:rPr>
          <w:noProof/>
        </w:rPr>
        <w:t>9a dyrektywy 2013/34/UE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któ</w:t>
      </w:r>
      <w:r w:rsidR="000941B5" w:rsidRPr="00796640">
        <w:rPr>
          <w:noProof/>
        </w:rPr>
        <w:t>re nie podlegają obowiązkom ujawniania informacji określonym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roz</w:t>
      </w:r>
      <w:r w:rsidR="000941B5" w:rsidRPr="00796640">
        <w:rPr>
          <w:noProof/>
        </w:rPr>
        <w:t>porządzeniu wykonawczym Komisji (UE) 2021/2178</w:t>
      </w:r>
      <w:r w:rsidR="000941B5" w:rsidRPr="00796640">
        <w:rPr>
          <w:noProof/>
          <w:vertAlign w:val="superscript"/>
        </w:rPr>
        <w:t>*4</w:t>
      </w:r>
      <w:r w:rsidR="000941B5" w:rsidRPr="00796640">
        <w:rPr>
          <w:noProof/>
        </w:rPr>
        <w:t xml:space="preserve"> – korzystając ze wzoru 9 określonego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0941B5" w:rsidRPr="00796640">
        <w:rPr>
          <w:noProof/>
        </w:rPr>
        <w:t>ączniku XXXIX do niniejszego rozporządzenia oraz postępując zgodnie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ins</w:t>
      </w:r>
      <w:r w:rsidR="000941B5" w:rsidRPr="00796640">
        <w:rPr>
          <w:noProof/>
        </w:rPr>
        <w:t>trukcjami zawartymi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0941B5" w:rsidRPr="00796640">
        <w:rPr>
          <w:noProof/>
        </w:rPr>
        <w:t xml:space="preserve">ączniku XL do niniejszego rozporządzenia. </w:t>
      </w:r>
    </w:p>
    <w:p w:rsidR="002D1236" w:rsidRPr="00796640" w:rsidRDefault="002D1236" w:rsidP="00353D88">
      <w:pPr>
        <w:pStyle w:val="Text1"/>
        <w:rPr>
          <w:noProof/>
        </w:rPr>
      </w:pPr>
      <w:r w:rsidRPr="00796640">
        <w:rPr>
          <w:noProof/>
        </w:rPr>
        <w:t>Aby obliczyć odsetek ekspozycji na działalność spełniającą wymogi określone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5D211F">
        <w:rPr>
          <w:noProof/>
        </w:rPr>
        <w:t>art</w:t>
      </w:r>
      <w:r w:rsidRPr="005D211F">
        <w:rPr>
          <w:noProof/>
        </w:rPr>
        <w:t>.</w:t>
      </w:r>
      <w:r w:rsidR="005D211F" w:rsidRPr="005D211F">
        <w:rPr>
          <w:noProof/>
        </w:rPr>
        <w:t> </w:t>
      </w:r>
      <w:r w:rsidRPr="005D211F">
        <w:rPr>
          <w:noProof/>
        </w:rPr>
        <w:t>3</w:t>
      </w:r>
      <w:r w:rsidRPr="00796640">
        <w:rPr>
          <w:noProof/>
        </w:rPr>
        <w:t xml:space="preserve"> rozporządzenia (UE) 2020/852 (ekspozycje na działalność zgodną</w:t>
      </w:r>
      <w:r w:rsidR="005D211F" w:rsidRPr="00796640">
        <w:rPr>
          <w:noProof/>
        </w:rPr>
        <w:t xml:space="preserve"> z</w:t>
      </w:r>
      <w:r w:rsidR="005D211F">
        <w:rPr>
          <w:noProof/>
        </w:rPr>
        <w:t> </w:t>
      </w:r>
      <w:r w:rsidR="005D211F" w:rsidRPr="00796640">
        <w:rPr>
          <w:noProof/>
        </w:rPr>
        <w:t>sys</w:t>
      </w:r>
      <w:r w:rsidRPr="00796640">
        <w:rPr>
          <w:noProof/>
        </w:rPr>
        <w:t>tematyką)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sto</w:t>
      </w:r>
      <w:r w:rsidRPr="00796640">
        <w:rPr>
          <w:noProof/>
        </w:rPr>
        <w:t>sunku do tych kontrahentów, instytucje:</w:t>
      </w:r>
    </w:p>
    <w:p w:rsidR="00D23734" w:rsidRPr="00796640" w:rsidRDefault="002D2F1B" w:rsidP="002D2F1B">
      <w:pPr>
        <w:pStyle w:val="Point1"/>
        <w:rPr>
          <w:noProof/>
        </w:rPr>
      </w:pPr>
      <w:r w:rsidRPr="00796640">
        <w:rPr>
          <w:noProof/>
        </w:rPr>
        <w:t>a)</w:t>
      </w:r>
      <w:r w:rsidRPr="00796640">
        <w:rPr>
          <w:noProof/>
        </w:rPr>
        <w:tab/>
      </w:r>
      <w:r w:rsidR="008E7D06" w:rsidRPr="00796640">
        <w:rPr>
          <w:noProof/>
        </w:rPr>
        <w:t>mogą,</w:t>
      </w:r>
      <w:r w:rsidR="005D211F" w:rsidRPr="00796640">
        <w:rPr>
          <w:noProof/>
        </w:rPr>
        <w:t xml:space="preserve"> o</w:t>
      </w:r>
      <w:r w:rsidR="005D211F">
        <w:rPr>
          <w:noProof/>
        </w:rPr>
        <w:t> </w:t>
      </w:r>
      <w:r w:rsidR="005D211F" w:rsidRPr="00796640">
        <w:rPr>
          <w:noProof/>
        </w:rPr>
        <w:t>ile</w:t>
      </w:r>
      <w:r w:rsidR="008E7D06" w:rsidRPr="00796640">
        <w:rPr>
          <w:noProof/>
        </w:rPr>
        <w:t xml:space="preserve"> są one dostępne, wykorzystywać informacje, które otrzymały od swoich kontrahentów na zasadzie dobrowolności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w</w:t>
      </w:r>
      <w:r w:rsidR="005D211F">
        <w:rPr>
          <w:noProof/>
        </w:rPr>
        <w:t> </w:t>
      </w:r>
      <w:r w:rsidR="005D211F" w:rsidRPr="00796640">
        <w:rPr>
          <w:noProof/>
        </w:rPr>
        <w:t>try</w:t>
      </w:r>
      <w:r w:rsidR="008E7D06" w:rsidRPr="00796640">
        <w:rPr>
          <w:noProof/>
        </w:rPr>
        <w:t>bie dwustronnym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ram</w:t>
      </w:r>
      <w:r w:rsidR="008E7D06" w:rsidRPr="00796640">
        <w:rPr>
          <w:noProof/>
        </w:rPr>
        <w:t>ach procesu udzielania kredytu oraz regularnego przeglądu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mon</w:t>
      </w:r>
      <w:r w:rsidR="008E7D06" w:rsidRPr="00796640">
        <w:rPr>
          <w:noProof/>
        </w:rPr>
        <w:t>itorowania kredytu;</w:t>
      </w:r>
    </w:p>
    <w:p w:rsidR="00D23734" w:rsidRPr="00796640" w:rsidRDefault="002D2F1B" w:rsidP="002D2F1B">
      <w:pPr>
        <w:pStyle w:val="Point1"/>
        <w:rPr>
          <w:noProof/>
        </w:rPr>
      </w:pPr>
      <w:r w:rsidRPr="00796640">
        <w:rPr>
          <w:noProof/>
        </w:rPr>
        <w:t>b)</w:t>
      </w:r>
      <w:r w:rsidRPr="00796640">
        <w:rPr>
          <w:noProof/>
        </w:rPr>
        <w:tab/>
      </w:r>
      <w:r w:rsidR="00B25755" w:rsidRPr="00796640">
        <w:rPr>
          <w:noProof/>
        </w:rPr>
        <w:t>w przypadku gdy kontrahent nie jest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sta</w:t>
      </w:r>
      <w:r w:rsidR="00B25755" w:rsidRPr="00796640">
        <w:rPr>
          <w:noProof/>
        </w:rPr>
        <w:t>nie lub nie chce przekazać odnośnych informacji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try</w:t>
      </w:r>
      <w:r w:rsidR="00B25755" w:rsidRPr="00796640">
        <w:rPr>
          <w:noProof/>
        </w:rPr>
        <w:t>bie dwustronnym – mogą stosować wewnętrzne oszacowania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prz</w:t>
      </w:r>
      <w:r w:rsidR="00B25755" w:rsidRPr="00796640">
        <w:rPr>
          <w:noProof/>
        </w:rPr>
        <w:t>ybliżenia oraz wyjaśnić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opi</w:t>
      </w:r>
      <w:r w:rsidR="00B25755" w:rsidRPr="00796640">
        <w:rPr>
          <w:noProof/>
        </w:rPr>
        <w:t>sie towarzyszącym wzorowi,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jak</w:t>
      </w:r>
      <w:r w:rsidR="00B25755" w:rsidRPr="00796640">
        <w:rPr>
          <w:noProof/>
        </w:rPr>
        <w:t>im zakresie wykorzystano te wewnętrzne oszacowania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prz</w:t>
      </w:r>
      <w:r w:rsidR="00B25755" w:rsidRPr="00796640">
        <w:rPr>
          <w:noProof/>
        </w:rPr>
        <w:t>ybliżenia oraz jakie wewnętrzne oszacowania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prz</w:t>
      </w:r>
      <w:r w:rsidR="00B25755" w:rsidRPr="00796640">
        <w:rPr>
          <w:noProof/>
        </w:rPr>
        <w:t>ybliżenia zastosowano;</w:t>
      </w:r>
    </w:p>
    <w:p w:rsidR="002D1236" w:rsidRPr="00796640" w:rsidRDefault="002D2F1B" w:rsidP="002D2F1B">
      <w:pPr>
        <w:pStyle w:val="Point1"/>
        <w:rPr>
          <w:noProof/>
        </w:rPr>
      </w:pPr>
      <w:r w:rsidRPr="00796640">
        <w:rPr>
          <w:noProof/>
        </w:rPr>
        <w:t>c)</w:t>
      </w:r>
      <w:r w:rsidRPr="00796640">
        <w:rPr>
          <w:noProof/>
        </w:rPr>
        <w:tab/>
      </w:r>
      <w:r w:rsidR="00D23734" w:rsidRPr="00796640">
        <w:rPr>
          <w:noProof/>
        </w:rPr>
        <w:t>w przypadku gdy nie są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sta</w:t>
      </w:r>
      <w:r w:rsidR="00D23734" w:rsidRPr="00796640">
        <w:rPr>
          <w:noProof/>
        </w:rPr>
        <w:t>nie gromadzić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try</w:t>
      </w:r>
      <w:r w:rsidR="00D23734" w:rsidRPr="00796640">
        <w:rPr>
          <w:noProof/>
        </w:rPr>
        <w:t>bie dwustronnym odnośnych informacji lub nie mogą stosować wewnętrznych oszacowań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prz</w:t>
      </w:r>
      <w:r w:rsidR="00D23734" w:rsidRPr="00796640">
        <w:rPr>
          <w:noProof/>
        </w:rPr>
        <w:t>ybliżeń, lub nie mogą gromadzić tych informacji ani stosować tych oszacowań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prz</w:t>
      </w:r>
      <w:r w:rsidR="00D23734" w:rsidRPr="00796640">
        <w:rPr>
          <w:noProof/>
        </w:rPr>
        <w:t>ybliżeń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spo</w:t>
      </w:r>
      <w:r w:rsidR="00D23734" w:rsidRPr="00796640">
        <w:rPr>
          <w:noProof/>
        </w:rPr>
        <w:t>sób, który nie jest nadmiernie uciążliwy dla nich samych lub ich kontrahentów – mogą wyjaśnić ten brak możliwości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opi</w:t>
      </w:r>
      <w:r w:rsidR="00D23734" w:rsidRPr="00796640">
        <w:rPr>
          <w:noProof/>
        </w:rPr>
        <w:t>sie towarzyszącym wzorowi.</w:t>
      </w:r>
    </w:p>
    <w:p w:rsidR="00320B78" w:rsidRPr="00796640" w:rsidRDefault="00320B78" w:rsidP="00353D88">
      <w:pPr>
        <w:pStyle w:val="Text1"/>
        <w:rPr>
          <w:noProof/>
        </w:rPr>
      </w:pPr>
      <w:r w:rsidRPr="00796640">
        <w:rPr>
          <w:noProof/>
        </w:rPr>
        <w:t xml:space="preserve">Do celów </w:t>
      </w:r>
      <w:r w:rsidRPr="005D211F">
        <w:rPr>
          <w:noProof/>
        </w:rPr>
        <w:t>lit.</w:t>
      </w:r>
      <w:r w:rsidR="005D211F" w:rsidRPr="005D211F">
        <w:rPr>
          <w:noProof/>
        </w:rPr>
        <w:t> </w:t>
      </w:r>
      <w:r w:rsidRPr="005D211F">
        <w:rPr>
          <w:noProof/>
        </w:rPr>
        <w:t>a)</w:t>
      </w:r>
      <w:r w:rsidRPr="00796640">
        <w:rPr>
          <w:noProof/>
        </w:rPr>
        <w:t xml:space="preserve"> instytucje informują swoich kontrahentów, że przekazanie takich informacji jest dobrowolne.</w:t>
      </w:r>
    </w:p>
    <w:p w:rsidR="007F4F83" w:rsidRPr="00796640" w:rsidRDefault="00BA4983" w:rsidP="00BA4983">
      <w:pPr>
        <w:pStyle w:val="ManualNumPar1"/>
        <w:rPr>
          <w:noProof/>
        </w:rPr>
      </w:pPr>
      <w:r w:rsidRPr="00BA4983">
        <w:t>3.</w:t>
      </w:r>
      <w:r w:rsidRPr="00BA4983">
        <w:tab/>
      </w:r>
      <w:r w:rsidR="006B71ED" w:rsidRPr="00796640">
        <w:rPr>
          <w:noProof/>
        </w:rPr>
        <w:t>O ile instrukcje zawarte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zał</w:t>
      </w:r>
      <w:r w:rsidR="006B71ED" w:rsidRPr="00796640">
        <w:rPr>
          <w:noProof/>
        </w:rPr>
        <w:t xml:space="preserve">ączniku XL do niniejszego rozporządzenia nie stanowią inaczej, począwszy </w:t>
      </w:r>
      <w:r w:rsidR="006B71ED" w:rsidRPr="005D211F">
        <w:rPr>
          <w:noProof/>
        </w:rPr>
        <w:t>od</w:t>
      </w:r>
      <w:r w:rsidR="005D211F" w:rsidRPr="005D211F">
        <w:rPr>
          <w:noProof/>
        </w:rPr>
        <w:t> </w:t>
      </w:r>
      <w:r w:rsidR="006B71ED" w:rsidRPr="005D211F">
        <w:rPr>
          <w:noProof/>
        </w:rPr>
        <w:t>3</w:t>
      </w:r>
      <w:r w:rsidR="006B71ED" w:rsidRPr="00796640">
        <w:rPr>
          <w:noProof/>
        </w:rPr>
        <w:t>1 grudnia 20</w:t>
      </w:r>
      <w:r w:rsidR="006B71ED" w:rsidRPr="005D211F">
        <w:rPr>
          <w:noProof/>
        </w:rPr>
        <w:t>22</w:t>
      </w:r>
      <w:r w:rsidR="005D211F" w:rsidRPr="005D211F">
        <w:rPr>
          <w:noProof/>
        </w:rPr>
        <w:t> </w:t>
      </w:r>
      <w:r w:rsidR="006B71ED" w:rsidRPr="005D211F">
        <w:rPr>
          <w:noProof/>
        </w:rPr>
        <w:t>r.</w:t>
      </w:r>
      <w:r w:rsidR="006B71ED" w:rsidRPr="00796640">
        <w:rPr>
          <w:noProof/>
        </w:rPr>
        <w:t xml:space="preserve"> instytucje ujawniają informacje,</w:t>
      </w:r>
      <w:r w:rsidR="005D211F" w:rsidRPr="00796640">
        <w:rPr>
          <w:noProof/>
        </w:rPr>
        <w:t xml:space="preserve"> o</w:t>
      </w:r>
      <w:r w:rsidR="005D211F">
        <w:rPr>
          <w:noProof/>
        </w:rPr>
        <w:t> </w:t>
      </w:r>
      <w:r w:rsidR="005D211F" w:rsidRPr="00796640">
        <w:rPr>
          <w:noProof/>
        </w:rPr>
        <w:t>któ</w:t>
      </w:r>
      <w:r w:rsidR="006B71ED" w:rsidRPr="00796640">
        <w:rPr>
          <w:noProof/>
        </w:rPr>
        <w:t>rych mowa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5D211F">
        <w:rPr>
          <w:noProof/>
        </w:rPr>
        <w:t>art</w:t>
      </w:r>
      <w:r w:rsidR="006B71ED" w:rsidRPr="005D211F">
        <w:rPr>
          <w:noProof/>
        </w:rPr>
        <w:t>.</w:t>
      </w:r>
      <w:r w:rsidR="005D211F" w:rsidRPr="005D211F">
        <w:rPr>
          <w:noProof/>
        </w:rPr>
        <w:t> </w:t>
      </w:r>
      <w:r w:rsidR="006B71ED" w:rsidRPr="005D211F">
        <w:rPr>
          <w:noProof/>
        </w:rPr>
        <w:t>4</w:t>
      </w:r>
      <w:r w:rsidR="006B71ED" w:rsidRPr="00796640">
        <w:rPr>
          <w:noProof/>
        </w:rPr>
        <w:t xml:space="preserve">49a rozporządzenia (UE) </w:t>
      </w:r>
      <w:r w:rsidR="006B71ED" w:rsidRPr="005D211F">
        <w:rPr>
          <w:noProof/>
        </w:rPr>
        <w:t>nr</w:t>
      </w:r>
      <w:r w:rsidR="005D211F" w:rsidRPr="005D211F">
        <w:rPr>
          <w:noProof/>
        </w:rPr>
        <w:t> </w:t>
      </w:r>
      <w:r w:rsidR="006B71ED" w:rsidRPr="005D211F">
        <w:rPr>
          <w:noProof/>
        </w:rPr>
        <w:t>5</w:t>
      </w:r>
      <w:r w:rsidR="006B71ED" w:rsidRPr="00796640">
        <w:rPr>
          <w:noProof/>
        </w:rPr>
        <w:t>75/2013,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nas</w:t>
      </w:r>
      <w:r w:rsidR="006B71ED" w:rsidRPr="00796640">
        <w:rPr>
          <w:noProof/>
        </w:rPr>
        <w:t>tępujących terminach:</w:t>
      </w:r>
    </w:p>
    <w:p w:rsidR="007F4F83" w:rsidRPr="00796640" w:rsidRDefault="002D2F1B" w:rsidP="002D2F1B">
      <w:pPr>
        <w:pStyle w:val="Point1"/>
        <w:rPr>
          <w:noProof/>
        </w:rPr>
      </w:pPr>
      <w:r w:rsidRPr="00796640">
        <w:rPr>
          <w:noProof/>
        </w:rPr>
        <w:t>a)</w:t>
      </w:r>
      <w:r w:rsidRPr="00796640">
        <w:rPr>
          <w:noProof/>
        </w:rPr>
        <w:tab/>
      </w:r>
      <w:r w:rsidR="007F4F83" w:rsidRPr="00796640">
        <w:rPr>
          <w:noProof/>
        </w:rPr>
        <w:t>w przypadku informacji ujawnianych raz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rok</w:t>
      </w:r>
      <w:r w:rsidR="007F4F83" w:rsidRPr="00796640">
        <w:rPr>
          <w:noProof/>
        </w:rPr>
        <w:t>u: 31 grudnia;</w:t>
      </w:r>
    </w:p>
    <w:p w:rsidR="00D01D57" w:rsidRPr="00796640" w:rsidRDefault="002D2F1B" w:rsidP="002D2F1B">
      <w:pPr>
        <w:pStyle w:val="Point1"/>
        <w:rPr>
          <w:noProof/>
        </w:rPr>
      </w:pPr>
      <w:r w:rsidRPr="00796640">
        <w:rPr>
          <w:noProof/>
        </w:rPr>
        <w:t>b)</w:t>
      </w:r>
      <w:r w:rsidRPr="00796640">
        <w:rPr>
          <w:noProof/>
        </w:rPr>
        <w:tab/>
      </w:r>
      <w:r w:rsidR="007F4F83" w:rsidRPr="00796640">
        <w:rPr>
          <w:noProof/>
        </w:rPr>
        <w:t>w przypadku informacji ujawnianych dwa razy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rok</w:t>
      </w:r>
      <w:r w:rsidR="007F4F83" w:rsidRPr="00796640">
        <w:rPr>
          <w:noProof/>
        </w:rPr>
        <w:t>u: 30 czerwca</w:t>
      </w:r>
      <w:r w:rsidR="005D211F" w:rsidRPr="00796640">
        <w:rPr>
          <w:noProof/>
        </w:rPr>
        <w:t xml:space="preserve"> i</w:t>
      </w:r>
      <w:r w:rsidR="005D211F">
        <w:rPr>
          <w:noProof/>
        </w:rPr>
        <w:t> </w:t>
      </w:r>
      <w:r w:rsidR="005D211F" w:rsidRPr="00796640">
        <w:rPr>
          <w:noProof/>
        </w:rPr>
        <w:t>3</w:t>
      </w:r>
      <w:r w:rsidR="007F4F83" w:rsidRPr="00796640">
        <w:rPr>
          <w:noProof/>
        </w:rPr>
        <w:t>1 grudnia każdego roku.</w:t>
      </w:r>
    </w:p>
    <w:p w:rsidR="00086FAB" w:rsidRPr="00796640" w:rsidRDefault="001904B5" w:rsidP="0087679B">
      <w:pPr>
        <w:pStyle w:val="Text2"/>
        <w:rPr>
          <w:noProof/>
        </w:rPr>
      </w:pPr>
      <w:r w:rsidRPr="00796640">
        <w:rPr>
          <w:noProof/>
        </w:rPr>
        <w:tab/>
        <w:t>___________</w:t>
      </w:r>
    </w:p>
    <w:p w:rsidR="00086FAB" w:rsidRPr="00796640" w:rsidRDefault="00086FAB" w:rsidP="0087679B">
      <w:pPr>
        <w:pStyle w:val="Text3"/>
        <w:rPr>
          <w:noProof/>
          <w:sz w:val="20"/>
          <w:szCs w:val="20"/>
        </w:rPr>
      </w:pPr>
      <w:r w:rsidRPr="00796640">
        <w:rPr>
          <w:noProof/>
          <w:sz w:val="20"/>
          <w:vertAlign w:val="superscript"/>
        </w:rPr>
        <w:t>*1</w:t>
      </w:r>
      <w:r w:rsidRPr="00796640">
        <w:rPr>
          <w:noProof/>
        </w:rPr>
        <w:tab/>
      </w:r>
      <w:r w:rsidRPr="00796640">
        <w:rPr>
          <w:noProof/>
          <w:sz w:val="20"/>
        </w:rPr>
        <w:t>Rozporządzenie Parlamentu Europejskiego</w:t>
      </w:r>
      <w:r w:rsidR="005D211F" w:rsidRPr="00796640">
        <w:rPr>
          <w:noProof/>
          <w:sz w:val="20"/>
        </w:rPr>
        <w:t xml:space="preserve"> i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Rad</w:t>
      </w:r>
      <w:r w:rsidRPr="00796640">
        <w:rPr>
          <w:noProof/>
          <w:sz w:val="20"/>
        </w:rPr>
        <w:t>y (UE) 2020/852</w:t>
      </w:r>
      <w:r w:rsidR="005D211F" w:rsidRPr="00796640">
        <w:rPr>
          <w:noProof/>
          <w:sz w:val="20"/>
        </w:rPr>
        <w:t xml:space="preserve"> z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dni</w:t>
      </w:r>
      <w:r w:rsidRPr="00796640">
        <w:rPr>
          <w:noProof/>
          <w:sz w:val="20"/>
        </w:rPr>
        <w:t>a 18 czerwca 2020 r.</w:t>
      </w:r>
      <w:r w:rsidR="005D211F" w:rsidRPr="00796640">
        <w:rPr>
          <w:noProof/>
          <w:sz w:val="20"/>
        </w:rPr>
        <w:t xml:space="preserve"> w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spr</w:t>
      </w:r>
      <w:r w:rsidRPr="00796640">
        <w:rPr>
          <w:noProof/>
          <w:sz w:val="20"/>
        </w:rPr>
        <w:t>awie ustanowienia ram ułatwiających zrównoważone inwestycje, zmieniające rozporządzenie (UE) 2019/2088 (Dz.U. L 198</w:t>
      </w:r>
      <w:r w:rsidR="005D211F" w:rsidRPr="00796640">
        <w:rPr>
          <w:noProof/>
          <w:sz w:val="20"/>
        </w:rPr>
        <w:t xml:space="preserve"> z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2</w:t>
      </w:r>
      <w:r w:rsidRPr="00796640">
        <w:rPr>
          <w:noProof/>
          <w:sz w:val="20"/>
        </w:rPr>
        <w:t>2.6.2020, s. 13).</w:t>
      </w:r>
    </w:p>
    <w:p w:rsidR="00086FAB" w:rsidRPr="00796640" w:rsidRDefault="00086FAB" w:rsidP="004F6722">
      <w:pPr>
        <w:pStyle w:val="Text3"/>
        <w:rPr>
          <w:noProof/>
          <w:sz w:val="20"/>
          <w:szCs w:val="20"/>
        </w:rPr>
      </w:pPr>
      <w:r w:rsidRPr="00796640">
        <w:rPr>
          <w:noProof/>
          <w:sz w:val="20"/>
          <w:vertAlign w:val="superscript"/>
        </w:rPr>
        <w:t>*2</w:t>
      </w:r>
      <w:r w:rsidRPr="00796640">
        <w:rPr>
          <w:noProof/>
        </w:rPr>
        <w:tab/>
      </w:r>
      <w:r w:rsidRPr="00796640">
        <w:rPr>
          <w:noProof/>
          <w:sz w:val="20"/>
        </w:rPr>
        <w:t>Dyrektywa Parlamentu Europejskiego</w:t>
      </w:r>
      <w:r w:rsidR="005D211F" w:rsidRPr="00796640">
        <w:rPr>
          <w:noProof/>
          <w:sz w:val="20"/>
        </w:rPr>
        <w:t xml:space="preserve"> i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Rad</w:t>
      </w:r>
      <w:r w:rsidRPr="00796640">
        <w:rPr>
          <w:noProof/>
          <w:sz w:val="20"/>
        </w:rPr>
        <w:t>y 2013/34/UE</w:t>
      </w:r>
      <w:r w:rsidR="005D211F" w:rsidRPr="00796640">
        <w:rPr>
          <w:noProof/>
          <w:sz w:val="20"/>
        </w:rPr>
        <w:t xml:space="preserve"> z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dni</w:t>
      </w:r>
      <w:r w:rsidRPr="00796640">
        <w:rPr>
          <w:noProof/>
          <w:sz w:val="20"/>
        </w:rPr>
        <w:t>a 26 czerwca 20</w:t>
      </w:r>
      <w:r w:rsidRPr="005D211F">
        <w:rPr>
          <w:noProof/>
          <w:sz w:val="20"/>
        </w:rPr>
        <w:t>13</w:t>
      </w:r>
      <w:r w:rsidR="005D211F" w:rsidRPr="005D211F">
        <w:rPr>
          <w:noProof/>
          <w:sz w:val="20"/>
        </w:rPr>
        <w:t> </w:t>
      </w:r>
      <w:r w:rsidRPr="005D211F">
        <w:rPr>
          <w:noProof/>
          <w:sz w:val="20"/>
        </w:rPr>
        <w:t>r.</w:t>
      </w:r>
      <w:r w:rsidR="005D211F" w:rsidRPr="00796640">
        <w:rPr>
          <w:noProof/>
          <w:sz w:val="20"/>
        </w:rPr>
        <w:t xml:space="preserve"> w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spr</w:t>
      </w:r>
      <w:r w:rsidRPr="00796640">
        <w:rPr>
          <w:noProof/>
          <w:sz w:val="20"/>
        </w:rPr>
        <w:t>awie rocznych sprawozdań finansowych, skonsolidowanych sprawozdań finansowych</w:t>
      </w:r>
      <w:r w:rsidR="005D211F" w:rsidRPr="00796640">
        <w:rPr>
          <w:noProof/>
          <w:sz w:val="20"/>
        </w:rPr>
        <w:t xml:space="preserve"> i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pow</w:t>
      </w:r>
      <w:r w:rsidRPr="00796640">
        <w:rPr>
          <w:noProof/>
          <w:sz w:val="20"/>
        </w:rPr>
        <w:t>iązanych sprawozdań niektórych rodzajów jednostek, zmieniająca dyrektywę Parlamentu Europejskiego</w:t>
      </w:r>
      <w:r w:rsidR="005D211F" w:rsidRPr="00796640">
        <w:rPr>
          <w:noProof/>
          <w:sz w:val="20"/>
        </w:rPr>
        <w:t xml:space="preserve"> i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Rad</w:t>
      </w:r>
      <w:r w:rsidRPr="00796640">
        <w:rPr>
          <w:noProof/>
          <w:sz w:val="20"/>
        </w:rPr>
        <w:t>y 2006/43/WE oraz uchylająca dyrektywy Rady 78/660/EWG</w:t>
      </w:r>
      <w:r w:rsidR="005D211F" w:rsidRPr="00796640">
        <w:rPr>
          <w:noProof/>
          <w:sz w:val="20"/>
        </w:rPr>
        <w:t xml:space="preserve"> i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8</w:t>
      </w:r>
      <w:r w:rsidRPr="00796640">
        <w:rPr>
          <w:noProof/>
          <w:sz w:val="20"/>
        </w:rPr>
        <w:t>3/349/EWG (Dz.U. L 182</w:t>
      </w:r>
      <w:r w:rsidR="005D211F" w:rsidRPr="00796640">
        <w:rPr>
          <w:noProof/>
          <w:sz w:val="20"/>
        </w:rPr>
        <w:t xml:space="preserve"> z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2</w:t>
      </w:r>
      <w:r w:rsidRPr="00796640">
        <w:rPr>
          <w:noProof/>
          <w:sz w:val="20"/>
        </w:rPr>
        <w:t>9.6.2013, s. 19).</w:t>
      </w:r>
    </w:p>
    <w:p w:rsidR="00086FAB" w:rsidRPr="00796640" w:rsidRDefault="00086FAB" w:rsidP="0087679B">
      <w:pPr>
        <w:pStyle w:val="Text3"/>
        <w:rPr>
          <w:noProof/>
          <w:sz w:val="20"/>
          <w:szCs w:val="20"/>
        </w:rPr>
      </w:pPr>
      <w:r w:rsidRPr="00796640">
        <w:rPr>
          <w:noProof/>
          <w:sz w:val="20"/>
          <w:vertAlign w:val="superscript"/>
        </w:rPr>
        <w:t>*3</w:t>
      </w:r>
      <w:r w:rsidRPr="00796640">
        <w:rPr>
          <w:noProof/>
        </w:rPr>
        <w:tab/>
      </w:r>
      <w:r w:rsidRPr="00796640">
        <w:rPr>
          <w:noProof/>
          <w:sz w:val="20"/>
        </w:rPr>
        <w:t>Rozporządzenie wykonawcze Komisji (UE) 2021/451</w:t>
      </w:r>
      <w:r w:rsidR="005D211F" w:rsidRPr="00796640">
        <w:rPr>
          <w:noProof/>
          <w:sz w:val="20"/>
        </w:rPr>
        <w:t xml:space="preserve"> z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dni</w:t>
      </w:r>
      <w:r w:rsidRPr="00796640">
        <w:rPr>
          <w:noProof/>
          <w:sz w:val="20"/>
        </w:rPr>
        <w:t>a 17 grudnia 20</w:t>
      </w:r>
      <w:r w:rsidRPr="005D211F">
        <w:rPr>
          <w:noProof/>
          <w:sz w:val="20"/>
        </w:rPr>
        <w:t>20</w:t>
      </w:r>
      <w:r w:rsidR="005D211F" w:rsidRPr="005D211F">
        <w:rPr>
          <w:noProof/>
          <w:sz w:val="20"/>
        </w:rPr>
        <w:t> </w:t>
      </w:r>
      <w:r w:rsidRPr="005D211F">
        <w:rPr>
          <w:noProof/>
          <w:sz w:val="20"/>
        </w:rPr>
        <w:t>r.</w:t>
      </w:r>
      <w:r w:rsidRPr="00796640">
        <w:rPr>
          <w:noProof/>
          <w:sz w:val="20"/>
        </w:rPr>
        <w:t xml:space="preserve"> ustanawiające wykonawcze standardy techniczne do celów stosowania rozporządzenia Parlamentu Europejskiego</w:t>
      </w:r>
      <w:r w:rsidR="005D211F" w:rsidRPr="00796640">
        <w:rPr>
          <w:noProof/>
          <w:sz w:val="20"/>
        </w:rPr>
        <w:t xml:space="preserve"> i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Rad</w:t>
      </w:r>
      <w:r w:rsidRPr="00796640">
        <w:rPr>
          <w:noProof/>
          <w:sz w:val="20"/>
        </w:rPr>
        <w:t xml:space="preserve">y (UE) </w:t>
      </w:r>
      <w:r w:rsidRPr="005D211F">
        <w:rPr>
          <w:noProof/>
          <w:sz w:val="20"/>
        </w:rPr>
        <w:t>nr</w:t>
      </w:r>
      <w:r w:rsidR="005D211F" w:rsidRPr="005D211F">
        <w:rPr>
          <w:noProof/>
          <w:sz w:val="20"/>
        </w:rPr>
        <w:t> </w:t>
      </w:r>
      <w:r w:rsidRPr="005D211F">
        <w:rPr>
          <w:noProof/>
          <w:sz w:val="20"/>
        </w:rPr>
        <w:t>5</w:t>
      </w:r>
      <w:r w:rsidRPr="00796640">
        <w:rPr>
          <w:noProof/>
          <w:sz w:val="20"/>
        </w:rPr>
        <w:t>75/2013</w:t>
      </w:r>
      <w:r w:rsidR="005D211F" w:rsidRPr="00796640">
        <w:rPr>
          <w:noProof/>
          <w:sz w:val="20"/>
        </w:rPr>
        <w:t xml:space="preserve"> w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odn</w:t>
      </w:r>
      <w:r w:rsidRPr="00796640">
        <w:rPr>
          <w:noProof/>
          <w:sz w:val="20"/>
        </w:rPr>
        <w:t xml:space="preserve">iesieniu do sprawozdań nadzorczych instytucji oraz uchylające rozporządzenie wykonawcze (UE) </w:t>
      </w:r>
      <w:r w:rsidRPr="005D211F">
        <w:rPr>
          <w:noProof/>
          <w:sz w:val="20"/>
        </w:rPr>
        <w:t>nr</w:t>
      </w:r>
      <w:r w:rsidR="005D211F" w:rsidRPr="005D211F">
        <w:rPr>
          <w:noProof/>
          <w:sz w:val="20"/>
        </w:rPr>
        <w:t> </w:t>
      </w:r>
      <w:r w:rsidRPr="005D211F">
        <w:rPr>
          <w:noProof/>
          <w:sz w:val="20"/>
        </w:rPr>
        <w:t>6</w:t>
      </w:r>
      <w:r w:rsidRPr="00796640">
        <w:rPr>
          <w:noProof/>
          <w:sz w:val="20"/>
        </w:rPr>
        <w:t>80/2014 (Dz.U. L 97</w:t>
      </w:r>
      <w:r w:rsidR="005D211F" w:rsidRPr="00796640">
        <w:rPr>
          <w:noProof/>
          <w:sz w:val="20"/>
        </w:rPr>
        <w:t xml:space="preserve"> z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1</w:t>
      </w:r>
      <w:r w:rsidRPr="00796640">
        <w:rPr>
          <w:noProof/>
          <w:sz w:val="20"/>
        </w:rPr>
        <w:t>9.3.2021, s. 1).</w:t>
      </w:r>
    </w:p>
    <w:p w:rsidR="00086FAB" w:rsidRPr="00796640" w:rsidRDefault="00086FAB" w:rsidP="0087679B">
      <w:pPr>
        <w:pStyle w:val="Text3"/>
        <w:rPr>
          <w:noProof/>
          <w:sz w:val="20"/>
          <w:szCs w:val="20"/>
        </w:rPr>
      </w:pPr>
      <w:r w:rsidRPr="00796640">
        <w:rPr>
          <w:noProof/>
          <w:sz w:val="20"/>
          <w:vertAlign w:val="superscript"/>
        </w:rPr>
        <w:t>*4</w:t>
      </w:r>
      <w:r w:rsidRPr="00796640">
        <w:rPr>
          <w:noProof/>
        </w:rPr>
        <w:tab/>
      </w:r>
      <w:r w:rsidRPr="00796640">
        <w:rPr>
          <w:noProof/>
          <w:sz w:val="20"/>
        </w:rPr>
        <w:t>Rozporządzenie delegowane Komisji (UE) 2021/2178</w:t>
      </w:r>
      <w:r w:rsidR="005D211F" w:rsidRPr="00796640">
        <w:rPr>
          <w:noProof/>
          <w:sz w:val="20"/>
        </w:rPr>
        <w:t xml:space="preserve"> z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dni</w:t>
      </w:r>
      <w:r w:rsidRPr="00796640">
        <w:rPr>
          <w:noProof/>
          <w:sz w:val="20"/>
        </w:rPr>
        <w:t>a 6 lipca 2021 r. uzupełniające rozporządzenie Parlamentu Europejskiego</w:t>
      </w:r>
      <w:r w:rsidR="005D211F" w:rsidRPr="00796640">
        <w:rPr>
          <w:noProof/>
          <w:sz w:val="20"/>
        </w:rPr>
        <w:t xml:space="preserve"> i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Rad</w:t>
      </w:r>
      <w:r w:rsidRPr="00796640">
        <w:rPr>
          <w:noProof/>
          <w:sz w:val="20"/>
        </w:rPr>
        <w:t>y (UE) 2020/852 przez sprecyzowanie treści</w:t>
      </w:r>
      <w:r w:rsidR="005D211F" w:rsidRPr="00796640">
        <w:rPr>
          <w:noProof/>
          <w:sz w:val="20"/>
        </w:rPr>
        <w:t xml:space="preserve"> i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pre</w:t>
      </w:r>
      <w:r w:rsidRPr="00796640">
        <w:rPr>
          <w:noProof/>
          <w:sz w:val="20"/>
        </w:rPr>
        <w:t xml:space="preserve">zentacji informacji dotyczących zrównoważonej środowiskowo działalności gospodarczej, które mają być ujawniane przez przedsiębiorstwa podlegające art. 19a </w:t>
      </w:r>
      <w:r w:rsidRPr="005D211F">
        <w:rPr>
          <w:noProof/>
          <w:sz w:val="20"/>
        </w:rPr>
        <w:t>lub</w:t>
      </w:r>
      <w:r w:rsidR="005D211F" w:rsidRPr="005D211F">
        <w:rPr>
          <w:noProof/>
          <w:sz w:val="20"/>
        </w:rPr>
        <w:t> </w:t>
      </w:r>
      <w:r w:rsidRPr="005D211F">
        <w:rPr>
          <w:noProof/>
          <w:sz w:val="20"/>
        </w:rPr>
        <w:t>2</w:t>
      </w:r>
      <w:r w:rsidRPr="00796640">
        <w:rPr>
          <w:noProof/>
          <w:sz w:val="20"/>
        </w:rPr>
        <w:t>9a dyrektywy 2013/34/UE, oraz określenie metody spełnienia tego obowiązku ujawniania informacji (Dz.U. L 443</w:t>
      </w:r>
      <w:r w:rsidR="005D211F" w:rsidRPr="00796640">
        <w:rPr>
          <w:noProof/>
          <w:sz w:val="20"/>
        </w:rPr>
        <w:t xml:space="preserve"> z</w:t>
      </w:r>
      <w:r w:rsidR="005D211F">
        <w:rPr>
          <w:noProof/>
          <w:sz w:val="20"/>
        </w:rPr>
        <w:t> </w:t>
      </w:r>
      <w:r w:rsidR="005D211F" w:rsidRPr="00796640">
        <w:rPr>
          <w:noProof/>
          <w:sz w:val="20"/>
        </w:rPr>
        <w:t>1</w:t>
      </w:r>
      <w:r w:rsidRPr="00796640">
        <w:rPr>
          <w:noProof/>
          <w:sz w:val="20"/>
        </w:rPr>
        <w:t>0.12.2021, s. 9).”;</w:t>
      </w:r>
    </w:p>
    <w:p w:rsidR="007F4F83" w:rsidRPr="00796640" w:rsidRDefault="006E06B7" w:rsidP="006E06B7">
      <w:pPr>
        <w:pStyle w:val="Point0"/>
        <w:rPr>
          <w:noProof/>
        </w:rPr>
      </w:pPr>
      <w:r w:rsidRPr="00796640">
        <w:rPr>
          <w:noProof/>
        </w:rPr>
        <w:t>2)</w:t>
      </w:r>
      <w:r w:rsidRPr="00796640">
        <w:rPr>
          <w:noProof/>
        </w:rPr>
        <w:tab/>
      </w:r>
      <w:r w:rsidR="00921483" w:rsidRPr="00796640">
        <w:rPr>
          <w:noProof/>
        </w:rPr>
        <w:t xml:space="preserve">tekst załącznika I do niniejszego rozporządzenia dodaje się jako załącznik XXXIX; </w:t>
      </w:r>
    </w:p>
    <w:p w:rsidR="007F4F83" w:rsidRPr="00796640" w:rsidRDefault="006E06B7" w:rsidP="006E06B7">
      <w:pPr>
        <w:pStyle w:val="Point0"/>
        <w:rPr>
          <w:noProof/>
        </w:rPr>
      </w:pPr>
      <w:r w:rsidRPr="00796640">
        <w:rPr>
          <w:noProof/>
        </w:rPr>
        <w:t>3)</w:t>
      </w:r>
      <w:r w:rsidRPr="00796640">
        <w:rPr>
          <w:noProof/>
        </w:rPr>
        <w:tab/>
      </w:r>
      <w:r w:rsidR="00921483" w:rsidRPr="00796640">
        <w:rPr>
          <w:noProof/>
        </w:rPr>
        <w:t>tekst załącznika II do niniejszego rozporządzenia dodaje się jako załącznik XL.</w:t>
      </w:r>
    </w:p>
    <w:p w:rsidR="007F4F83" w:rsidRPr="00796640" w:rsidRDefault="007F4F83" w:rsidP="004046D9">
      <w:pPr>
        <w:pStyle w:val="Titrearticle"/>
        <w:rPr>
          <w:noProof/>
          <w:szCs w:val="24"/>
        </w:rPr>
      </w:pPr>
      <w:r w:rsidRPr="00796640">
        <w:rPr>
          <w:noProof/>
        </w:rPr>
        <w:t>Artykuł 2</w:t>
      </w:r>
    </w:p>
    <w:p w:rsidR="007F4F83" w:rsidRPr="00796640" w:rsidRDefault="007F4F83" w:rsidP="007F4F83">
      <w:pPr>
        <w:pStyle w:val="Titrearticle"/>
        <w:spacing w:before="120"/>
        <w:rPr>
          <w:b/>
          <w:i w:val="0"/>
          <w:noProof/>
          <w:szCs w:val="24"/>
        </w:rPr>
      </w:pPr>
      <w:r w:rsidRPr="00796640">
        <w:rPr>
          <w:b/>
          <w:i w:val="0"/>
          <w:noProof/>
        </w:rPr>
        <w:t>Wejście</w:t>
      </w:r>
      <w:r w:rsidR="005D211F" w:rsidRPr="00796640">
        <w:rPr>
          <w:b/>
          <w:i w:val="0"/>
          <w:noProof/>
        </w:rPr>
        <w:t xml:space="preserve"> w</w:t>
      </w:r>
      <w:r w:rsidR="005D211F">
        <w:rPr>
          <w:b/>
          <w:i w:val="0"/>
          <w:noProof/>
        </w:rPr>
        <w:t> </w:t>
      </w:r>
      <w:r w:rsidR="005D211F" w:rsidRPr="00796640">
        <w:rPr>
          <w:b/>
          <w:i w:val="0"/>
          <w:noProof/>
        </w:rPr>
        <w:t>życ</w:t>
      </w:r>
      <w:r w:rsidRPr="00796640">
        <w:rPr>
          <w:b/>
          <w:i w:val="0"/>
          <w:noProof/>
        </w:rPr>
        <w:t>ie</w:t>
      </w:r>
    </w:p>
    <w:p w:rsidR="007F4F83" w:rsidRPr="00796640" w:rsidRDefault="007F4F83" w:rsidP="007F4F83">
      <w:pPr>
        <w:rPr>
          <w:noProof/>
          <w:color w:val="000000" w:themeColor="text1"/>
          <w:szCs w:val="24"/>
        </w:rPr>
      </w:pPr>
      <w:r w:rsidRPr="00796640">
        <w:rPr>
          <w:noProof/>
        </w:rPr>
        <w:t>Niniejsze rozporządzenie wchodzi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noProof/>
        </w:rPr>
        <w:t>życ</w:t>
      </w:r>
      <w:r w:rsidRPr="00796640">
        <w:rPr>
          <w:noProof/>
        </w:rPr>
        <w:t>ie dwudziestego dnia po jego opublikowaniu</w:t>
      </w:r>
      <w:r w:rsidR="005D211F" w:rsidRPr="00796640">
        <w:rPr>
          <w:noProof/>
        </w:rPr>
        <w:t xml:space="preserve"> w</w:t>
      </w:r>
      <w:r w:rsidR="005D211F">
        <w:rPr>
          <w:noProof/>
        </w:rPr>
        <w:t> </w:t>
      </w:r>
      <w:r w:rsidR="005D211F" w:rsidRPr="00796640">
        <w:rPr>
          <w:i/>
          <w:noProof/>
          <w:color w:val="000000" w:themeColor="text1"/>
        </w:rPr>
        <w:t>Dzi</w:t>
      </w:r>
      <w:r w:rsidRPr="00796640">
        <w:rPr>
          <w:i/>
          <w:noProof/>
          <w:color w:val="000000" w:themeColor="text1"/>
        </w:rPr>
        <w:t>enniku Urzędowym Unii Europejskiej</w:t>
      </w:r>
      <w:r w:rsidRPr="00796640">
        <w:rPr>
          <w:noProof/>
          <w:color w:val="000000" w:themeColor="text1"/>
        </w:rPr>
        <w:t xml:space="preserve">. </w:t>
      </w:r>
    </w:p>
    <w:p w:rsidR="007F4F83" w:rsidRPr="00796640" w:rsidRDefault="007F4F83" w:rsidP="00A920C6">
      <w:pPr>
        <w:pStyle w:val="Applicationdirecte"/>
        <w:keepNext/>
        <w:keepLines/>
        <w:rPr>
          <w:noProof/>
          <w:color w:val="000000"/>
          <w:szCs w:val="24"/>
        </w:rPr>
      </w:pPr>
      <w:r w:rsidRPr="00796640">
        <w:rPr>
          <w:noProof/>
          <w:color w:val="000000"/>
        </w:rPr>
        <w:t>Niniejsze rozporządzenie wiąże</w:t>
      </w:r>
      <w:r w:rsidR="005D211F" w:rsidRPr="00796640">
        <w:rPr>
          <w:noProof/>
          <w:color w:val="000000"/>
        </w:rPr>
        <w:t xml:space="preserve"> w</w:t>
      </w:r>
      <w:r w:rsidR="005D211F">
        <w:rPr>
          <w:noProof/>
          <w:color w:val="000000"/>
        </w:rPr>
        <w:t> </w:t>
      </w:r>
      <w:r w:rsidR="005D211F" w:rsidRPr="00796640">
        <w:rPr>
          <w:noProof/>
          <w:color w:val="000000"/>
        </w:rPr>
        <w:t>cał</w:t>
      </w:r>
      <w:r w:rsidRPr="00796640">
        <w:rPr>
          <w:noProof/>
          <w:color w:val="000000"/>
        </w:rPr>
        <w:t>ości</w:t>
      </w:r>
      <w:r w:rsidR="005D211F" w:rsidRPr="00796640">
        <w:rPr>
          <w:noProof/>
          <w:color w:val="000000"/>
        </w:rPr>
        <w:t xml:space="preserve"> i</w:t>
      </w:r>
      <w:r w:rsidR="005D211F">
        <w:rPr>
          <w:noProof/>
          <w:color w:val="000000"/>
        </w:rPr>
        <w:t> </w:t>
      </w:r>
      <w:r w:rsidR="005D211F" w:rsidRPr="00796640">
        <w:rPr>
          <w:noProof/>
          <w:color w:val="000000"/>
        </w:rPr>
        <w:t>jes</w:t>
      </w:r>
      <w:r w:rsidRPr="00796640">
        <w:rPr>
          <w:noProof/>
          <w:color w:val="000000"/>
        </w:rPr>
        <w:t>t bezpośrednio stosowane we wszystkich państwach członkowskich.</w:t>
      </w:r>
    </w:p>
    <w:p w:rsidR="003C122C" w:rsidRPr="00796640" w:rsidRDefault="00BA141B" w:rsidP="00A920C6">
      <w:pPr>
        <w:pStyle w:val="Fait"/>
        <w:rPr>
          <w:noProof/>
        </w:rPr>
      </w:pPr>
      <w:r w:rsidRPr="00BA141B">
        <w:t>Sporządzono w Brukseli dnia 30.11.2022 r.</w:t>
      </w:r>
    </w:p>
    <w:p w:rsidR="003C122C" w:rsidRPr="00796640" w:rsidRDefault="003C122C" w:rsidP="00A920C6">
      <w:pPr>
        <w:pStyle w:val="Institutionquisigne"/>
        <w:rPr>
          <w:noProof/>
          <w:szCs w:val="24"/>
        </w:rPr>
      </w:pPr>
      <w:r w:rsidRPr="00796640">
        <w:rPr>
          <w:noProof/>
        </w:rPr>
        <w:tab/>
        <w:t>W imieniu Komisji</w:t>
      </w:r>
    </w:p>
    <w:p w:rsidR="00C32BCD" w:rsidRPr="00796640" w:rsidRDefault="00482062" w:rsidP="00A920C6">
      <w:pPr>
        <w:pStyle w:val="Personnequisigne"/>
        <w:keepNext/>
        <w:rPr>
          <w:noProof/>
          <w:szCs w:val="24"/>
        </w:rPr>
      </w:pPr>
      <w:r>
        <w:tab/>
        <w:t>Przewodnicząca</w:t>
      </w:r>
      <w:r>
        <w:br/>
      </w:r>
      <w:r>
        <w:tab/>
        <w:t>Ursula VON DER LEYEN</w:t>
      </w:r>
    </w:p>
    <w:p w:rsidR="00C32BCD" w:rsidRPr="00D476ED" w:rsidRDefault="00C32BCD" w:rsidP="00C32BCD">
      <w:pPr>
        <w:pStyle w:val="Personnequisigne"/>
        <w:rPr>
          <w:noProof/>
          <w:szCs w:val="24"/>
        </w:rPr>
      </w:pPr>
    </w:p>
    <w:sectPr w:rsidR="00C32BCD" w:rsidRPr="00D476ED" w:rsidSect="00BF1EC5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EBEA" w16cex:dateUtc="2022-06-16T1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37DE51" w16cid:durableId="2655EBCB"/>
  <w16cid:commentId w16cid:paraId="7A29AA4B" w16cid:durableId="2655EBCC"/>
  <w16cid:commentId w16cid:paraId="3433952E" w16cid:durableId="2655EBCD"/>
  <w16cid:commentId w16cid:paraId="6EED3A3E" w16cid:durableId="2655EBCE"/>
  <w16cid:commentId w16cid:paraId="3EE02E5B" w16cid:durableId="2655EBCF"/>
  <w16cid:commentId w16cid:paraId="01A26344" w16cid:durableId="2655EBD0"/>
  <w16cid:commentId w16cid:paraId="39EDADD7" w16cid:durableId="2655EBD1"/>
  <w16cid:commentId w16cid:paraId="3AF162EE" w16cid:durableId="2628F6CF"/>
  <w16cid:commentId w16cid:paraId="6812BB0D" w16cid:durableId="2655EBD3"/>
  <w16cid:commentId w16cid:paraId="62E5038C" w16cid:durableId="2655EBD4"/>
  <w16cid:commentId w16cid:paraId="1F6C8177" w16cid:durableId="2655EBD5"/>
  <w16cid:commentId w16cid:paraId="0AE9DA68" w16cid:durableId="2655EBD6"/>
  <w16cid:commentId w16cid:paraId="596D06C5" w16cid:durableId="2628F6D1"/>
  <w16cid:commentId w16cid:paraId="46A9AA41" w16cid:durableId="2628F6D2"/>
  <w16cid:commentId w16cid:paraId="41CC9094" w16cid:durableId="2655EBD9"/>
  <w16cid:commentId w16cid:paraId="38880244" w16cid:durableId="2655EBDA"/>
  <w16cid:commentId w16cid:paraId="411E34EB" w16cid:durableId="2655EBDB"/>
  <w16cid:commentId w16cid:paraId="40899BBD" w16cid:durableId="2655EBEA"/>
  <w16cid:commentId w16cid:paraId="75EFCE6B" w16cid:durableId="2655EBDC"/>
  <w16cid:commentId w16cid:paraId="4EBEEE40" w16cid:durableId="2655EBDD"/>
  <w16cid:commentId w16cid:paraId="5ED79B6F" w16cid:durableId="2628F6D4"/>
  <w16cid:commentId w16cid:paraId="591736CE" w16cid:durableId="2655EBDF"/>
  <w16cid:commentId w16cid:paraId="1072DCD9" w16cid:durableId="2628F6D5"/>
  <w16cid:commentId w16cid:paraId="025BC4FA" w16cid:durableId="2655EBE1"/>
  <w16cid:commentId w16cid:paraId="218F3D69" w16cid:durableId="2628F6D6"/>
  <w16cid:commentId w16cid:paraId="0D916AAE" w16cid:durableId="2655EBE3"/>
  <w16cid:commentId w16cid:paraId="0F33B10D" w16cid:durableId="2628F6D7"/>
  <w16cid:commentId w16cid:paraId="01546E2B" w16cid:durableId="2655EBE5"/>
  <w16cid:commentId w16cid:paraId="44509D12" w16cid:durableId="2628F6D9"/>
  <w16cid:commentId w16cid:paraId="06BE4C89" w16cid:durableId="2655EBE7"/>
  <w16cid:commentId w16cid:paraId="63A690CE" w16cid:durableId="2628F6DA"/>
  <w16cid:commentId w16cid:paraId="268A51E3" w16cid:durableId="2655EB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F55" w:rsidRDefault="004C7F55" w:rsidP="003C122C">
      <w:pPr>
        <w:spacing w:before="0" w:after="0"/>
      </w:pPr>
      <w:r>
        <w:separator/>
      </w:r>
    </w:p>
  </w:endnote>
  <w:endnote w:type="continuationSeparator" w:id="0">
    <w:p w:rsidR="004C7F55" w:rsidRDefault="004C7F55" w:rsidP="003C12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640" w:rsidRPr="00BF1EC5" w:rsidRDefault="00BF1EC5" w:rsidP="00BF1EC5">
    <w:pPr>
      <w:pStyle w:val="Footer"/>
      <w:rPr>
        <w:rFonts w:ascii="Arial" w:hAnsi="Arial" w:cs="Arial"/>
        <w:b/>
        <w:sz w:val="48"/>
      </w:rPr>
    </w:pPr>
    <w:r w:rsidRPr="00BF1EC5">
      <w:rPr>
        <w:rFonts w:ascii="Arial" w:hAnsi="Arial" w:cs="Arial"/>
        <w:b/>
        <w:sz w:val="48"/>
      </w:rPr>
      <w:t>PL</w:t>
    </w:r>
    <w:r w:rsidRPr="00BF1EC5">
      <w:rPr>
        <w:rFonts w:ascii="Arial" w:hAnsi="Arial" w:cs="Arial"/>
        <w:b/>
        <w:sz w:val="48"/>
      </w:rPr>
      <w:tab/>
    </w:r>
    <w:r w:rsidRPr="00BF1EC5">
      <w:rPr>
        <w:rFonts w:ascii="Arial" w:hAnsi="Arial" w:cs="Arial"/>
        <w:b/>
        <w:sz w:val="48"/>
      </w:rPr>
      <w:tab/>
    </w:r>
    <w:r w:rsidRPr="00BF1EC5">
      <w:tab/>
    </w:r>
    <w:r w:rsidRPr="00BF1EC5">
      <w:rPr>
        <w:rFonts w:ascii="Arial" w:hAnsi="Arial" w:cs="Arial"/>
        <w:b/>
        <w:sz w:val="48"/>
      </w:rPr>
      <w:t>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EC5" w:rsidRPr="00BF1EC5" w:rsidRDefault="00BF1EC5" w:rsidP="00BF1EC5">
    <w:pPr>
      <w:pStyle w:val="Footer"/>
      <w:rPr>
        <w:rFonts w:ascii="Arial" w:hAnsi="Arial" w:cs="Arial"/>
        <w:b/>
        <w:sz w:val="48"/>
      </w:rPr>
    </w:pPr>
    <w:r w:rsidRPr="00BF1EC5">
      <w:rPr>
        <w:rFonts w:ascii="Arial" w:hAnsi="Arial" w:cs="Arial"/>
        <w:b/>
        <w:sz w:val="48"/>
      </w:rPr>
      <w:t>PL</w:t>
    </w:r>
    <w:r w:rsidRPr="00BF1EC5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A920C6">
      <w:rPr>
        <w:noProof/>
      </w:rPr>
      <w:t>6</w:t>
    </w:r>
    <w:r>
      <w:fldChar w:fldCharType="end"/>
    </w:r>
    <w:r>
      <w:tab/>
    </w:r>
    <w:r w:rsidRPr="00BF1EC5">
      <w:tab/>
    </w:r>
    <w:r w:rsidRPr="00BF1EC5">
      <w:rPr>
        <w:rFonts w:ascii="Arial" w:hAnsi="Arial" w:cs="Arial"/>
        <w:b/>
        <w:sz w:val="48"/>
      </w:rPr>
      <w:t>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EC5" w:rsidRPr="00BF1EC5" w:rsidRDefault="00BF1EC5" w:rsidP="00BF1E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F55" w:rsidRDefault="004C7F55" w:rsidP="003C122C">
      <w:pPr>
        <w:spacing w:before="0" w:after="0"/>
      </w:pPr>
      <w:r>
        <w:separator/>
      </w:r>
    </w:p>
  </w:footnote>
  <w:footnote w:type="continuationSeparator" w:id="0">
    <w:p w:rsidR="004C7F55" w:rsidRDefault="004C7F55" w:rsidP="003C122C">
      <w:pPr>
        <w:spacing w:before="0" w:after="0"/>
      </w:pPr>
      <w:r>
        <w:continuationSeparator/>
      </w:r>
    </w:p>
  </w:footnote>
  <w:footnote w:id="1">
    <w:p w:rsidR="003C122C" w:rsidRPr="007067A9" w:rsidRDefault="003C122C" w:rsidP="003C122C">
      <w:pPr>
        <w:pStyle w:val="FootnoteText"/>
      </w:pPr>
      <w:r>
        <w:rPr>
          <w:rStyle w:val="FootnoteReference"/>
        </w:rPr>
        <w:footnoteRef/>
      </w:r>
      <w:r>
        <w:tab/>
        <w:t>Dz.U. L 176</w:t>
      </w:r>
      <w:r w:rsidR="005D211F">
        <w:t xml:space="preserve"> z 2</w:t>
      </w:r>
      <w:r>
        <w:t>7.6.2013, s. 1.</w:t>
      </w:r>
    </w:p>
  </w:footnote>
  <w:footnote w:id="2">
    <w:p w:rsidR="007067A9" w:rsidRPr="00FC42BE" w:rsidRDefault="007067A9" w:rsidP="007067A9">
      <w:pPr>
        <w:pStyle w:val="FootnoteText"/>
      </w:pPr>
      <w:r>
        <w:rPr>
          <w:rStyle w:val="FootnoteReference"/>
        </w:rPr>
        <w:footnoteRef/>
      </w:r>
      <w:r>
        <w:tab/>
        <w:t>Rozporządzenie wykonawcze Komisji (UE) 2021/637</w:t>
      </w:r>
      <w:r w:rsidR="005D211F">
        <w:t xml:space="preserve"> z dni</w:t>
      </w:r>
      <w:r>
        <w:t>a 15 marca 20</w:t>
      </w:r>
      <w:r w:rsidRPr="005D211F">
        <w:t>21</w:t>
      </w:r>
      <w:r w:rsidR="005D211F" w:rsidRPr="005D211F">
        <w:t> </w:t>
      </w:r>
      <w:r w:rsidRPr="005D211F">
        <w:t>r.</w:t>
      </w:r>
      <w:r>
        <w:t xml:space="preserve"> ustanawiające wykonawcze standardy techniczne</w:t>
      </w:r>
      <w:r w:rsidR="005D211F">
        <w:t xml:space="preserve"> w odn</w:t>
      </w:r>
      <w:r>
        <w:t>iesieniu do publicznego ujawniania przez instytucje informacji,</w:t>
      </w:r>
      <w:r w:rsidR="005D211F">
        <w:t xml:space="preserve"> o któ</w:t>
      </w:r>
      <w:r>
        <w:t>rych mowa</w:t>
      </w:r>
      <w:r w:rsidR="005D211F">
        <w:t xml:space="preserve"> w czę</w:t>
      </w:r>
      <w:r>
        <w:t>ści ósmej tytuły II i III rozporządzenia Parlamentu Europejskiego</w:t>
      </w:r>
      <w:r w:rsidR="005D211F">
        <w:t xml:space="preserve"> i Rad</w:t>
      </w:r>
      <w:r>
        <w:t xml:space="preserve">y (UE) </w:t>
      </w:r>
      <w:r w:rsidRPr="005D211F">
        <w:t>nr</w:t>
      </w:r>
      <w:r w:rsidR="005D211F" w:rsidRPr="005D211F">
        <w:t> </w:t>
      </w:r>
      <w:r w:rsidRPr="005D211F">
        <w:t>5</w:t>
      </w:r>
      <w:r>
        <w:t xml:space="preserve">75/2013, oraz uchylające rozporządzenie wykonawcze Komisji (UE) </w:t>
      </w:r>
      <w:r w:rsidRPr="005D211F">
        <w:t>nr</w:t>
      </w:r>
      <w:r w:rsidR="005D211F" w:rsidRPr="005D211F">
        <w:t> </w:t>
      </w:r>
      <w:r w:rsidRPr="005D211F">
        <w:t>1</w:t>
      </w:r>
      <w:r>
        <w:t>423/2013, rozporządzenie delegowane Komisji (UE) 2015/1555, rozporządzenie wykonawcze Komisji (UE) 2016/200</w:t>
      </w:r>
      <w:r w:rsidR="005D211F">
        <w:t xml:space="preserve"> i roz</w:t>
      </w:r>
      <w:r>
        <w:t>porządzenie delegowane Komisji (UE) 2017/2295 (Dz.U. L 136</w:t>
      </w:r>
      <w:r w:rsidR="005D211F">
        <w:t xml:space="preserve"> z 2</w:t>
      </w:r>
      <w:r>
        <w:t>1.4.2021, s. 1).</w:t>
      </w:r>
    </w:p>
  </w:footnote>
  <w:footnote w:id="3">
    <w:p w:rsidR="007067A9" w:rsidRPr="007067A9" w:rsidRDefault="007067A9" w:rsidP="007067A9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</w:t>
      </w:r>
      <w:r w:rsidR="005D211F">
        <w:t xml:space="preserve"> i Rad</w:t>
      </w:r>
      <w:r>
        <w:t>y (UE) 2019/876</w:t>
      </w:r>
      <w:r w:rsidR="005D211F">
        <w:t xml:space="preserve"> z dni</w:t>
      </w:r>
      <w:r>
        <w:t>a 20 maja 20</w:t>
      </w:r>
      <w:r w:rsidRPr="005D211F">
        <w:t>19</w:t>
      </w:r>
      <w:r w:rsidR="005D211F" w:rsidRPr="005D211F">
        <w:t> </w:t>
      </w:r>
      <w:r w:rsidRPr="005D211F">
        <w:t>r.</w:t>
      </w:r>
      <w:r>
        <w:t xml:space="preserve"> zmieniające rozporządzenie (UE) </w:t>
      </w:r>
      <w:r w:rsidRPr="005D211F">
        <w:t>nr</w:t>
      </w:r>
      <w:r w:rsidR="005D211F" w:rsidRPr="005D211F">
        <w:t> </w:t>
      </w:r>
      <w:r w:rsidRPr="005D211F">
        <w:t>5</w:t>
      </w:r>
      <w:r>
        <w:t>75/2013</w:t>
      </w:r>
      <w:r w:rsidR="005D211F">
        <w:t xml:space="preserve"> w odn</w:t>
      </w:r>
      <w:r>
        <w:t>iesieniu do wskaźnika dźwigni, wskaźnika stabilnego finansowania netto, wymogów</w:t>
      </w:r>
      <w:r w:rsidR="005D211F">
        <w:t xml:space="preserve"> w zak</w:t>
      </w:r>
      <w:r>
        <w:t>resie funduszy własnych</w:t>
      </w:r>
      <w:r w:rsidR="005D211F">
        <w:t xml:space="preserve"> i zob</w:t>
      </w:r>
      <w:r>
        <w:t>owiązań kwalifikowalnych, ryzyka kredytowego kontrahenta, ryzyka rynkowego, ekspozycji wobec kontrahentów centralnych, ekspozycji wobec przedsiębiorstw zbiorowego inwestowania, dużych ekspozycji, wymogów dotyczących sprawozdawczości</w:t>
      </w:r>
      <w:r w:rsidR="005D211F">
        <w:t xml:space="preserve"> i uja</w:t>
      </w:r>
      <w:r>
        <w:t>wniania informacji,</w:t>
      </w:r>
      <w:r w:rsidR="005D211F">
        <w:t xml:space="preserve"> a tak</w:t>
      </w:r>
      <w:r>
        <w:t xml:space="preserve">że rozporządzenie (UE) </w:t>
      </w:r>
      <w:r w:rsidRPr="005D211F">
        <w:t>nr</w:t>
      </w:r>
      <w:r w:rsidR="005D211F" w:rsidRPr="005D211F">
        <w:t> </w:t>
      </w:r>
      <w:r w:rsidRPr="005D211F">
        <w:t>6</w:t>
      </w:r>
      <w:r>
        <w:t>48/2012 (Dz.U. L 150</w:t>
      </w:r>
      <w:r w:rsidR="005D211F">
        <w:t xml:space="preserve"> z 7</w:t>
      </w:r>
      <w:r>
        <w:t>.6.2019, s. 1).</w:t>
      </w:r>
    </w:p>
  </w:footnote>
  <w:footnote w:id="4">
    <w:p w:rsidR="00410340" w:rsidRPr="007067A9" w:rsidRDefault="00410340" w:rsidP="008B3E83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</w:t>
      </w:r>
      <w:r w:rsidR="005D211F">
        <w:t xml:space="preserve"> i Rad</w:t>
      </w:r>
      <w:r>
        <w:t>y (UE) 2020/852</w:t>
      </w:r>
      <w:r w:rsidR="005D211F">
        <w:t xml:space="preserve"> z dni</w:t>
      </w:r>
      <w:r>
        <w:t>a 18 czerwca 20</w:t>
      </w:r>
      <w:r w:rsidRPr="005D211F">
        <w:t>20</w:t>
      </w:r>
      <w:r w:rsidR="005D211F" w:rsidRPr="005D211F">
        <w:t> </w:t>
      </w:r>
      <w:r w:rsidRPr="005D211F">
        <w:t>r.</w:t>
      </w:r>
      <w:r w:rsidR="005D211F">
        <w:t xml:space="preserve"> w spr</w:t>
      </w:r>
      <w:r>
        <w:t>awie ustanowienia ram ułatwiających zrównoważone inwestycje, zmieniające rozporządzenie (UE) 2019/2088 (</w:t>
      </w:r>
      <w:r>
        <w:rPr>
          <w:rStyle w:val="Emphasis"/>
          <w:i w:val="0"/>
        </w:rPr>
        <w:t>Dz.U. L 198</w:t>
      </w:r>
      <w:r w:rsidR="005D211F">
        <w:rPr>
          <w:rStyle w:val="Emphasis"/>
          <w:i w:val="0"/>
        </w:rPr>
        <w:t xml:space="preserve"> z 2</w:t>
      </w:r>
      <w:r>
        <w:rPr>
          <w:rStyle w:val="Emphasis"/>
          <w:i w:val="0"/>
        </w:rPr>
        <w:t>2.6.2020, s. 13</w:t>
      </w:r>
      <w:r>
        <w:t>).</w:t>
      </w:r>
    </w:p>
  </w:footnote>
  <w:footnote w:id="5">
    <w:p w:rsidR="00410340" w:rsidRPr="007067A9" w:rsidRDefault="00410340" w:rsidP="008B3E83">
      <w:pPr>
        <w:pStyle w:val="FootnoteText"/>
        <w:rPr>
          <w:i/>
        </w:rPr>
      </w:pPr>
      <w:r>
        <w:rPr>
          <w:rStyle w:val="FootnoteReference"/>
        </w:rPr>
        <w:footnoteRef/>
      </w:r>
      <w:r>
        <w:tab/>
        <w:t>Rozporządzenie delegowane Komisji (UE) 2020/1818</w:t>
      </w:r>
      <w:r w:rsidR="005D211F">
        <w:t xml:space="preserve"> z dni</w:t>
      </w:r>
      <w:r>
        <w:t>a 17 lipca 20</w:t>
      </w:r>
      <w:r w:rsidRPr="005D211F">
        <w:t>20</w:t>
      </w:r>
      <w:r w:rsidR="005D211F" w:rsidRPr="005D211F">
        <w:t> </w:t>
      </w:r>
      <w:r w:rsidRPr="005D211F">
        <w:t>r.</w:t>
      </w:r>
      <w:r>
        <w:t xml:space="preserve"> uzupełniające rozporządzenie Parlamentu Europejskiego</w:t>
      </w:r>
      <w:r w:rsidR="005D211F">
        <w:t xml:space="preserve"> i Rad</w:t>
      </w:r>
      <w:r>
        <w:t>y (UE) 2016/1011</w:t>
      </w:r>
      <w:r w:rsidR="005D211F">
        <w:t xml:space="preserve"> w odn</w:t>
      </w:r>
      <w:r>
        <w:t>iesieniu do minimalnych norm dotyczących unijnych wskaźników referencyjnych transformacji klimatycznej</w:t>
      </w:r>
      <w:r w:rsidR="005D211F">
        <w:t xml:space="preserve"> i uni</w:t>
      </w:r>
      <w:r>
        <w:t>jnych wskaźników referencyjnych dostosowanych do porozumienia paryskiego (</w:t>
      </w:r>
      <w:r>
        <w:rPr>
          <w:rStyle w:val="Emphasis"/>
          <w:i w:val="0"/>
        </w:rPr>
        <w:t>Dz.U. L 406</w:t>
      </w:r>
      <w:r w:rsidR="005D211F">
        <w:rPr>
          <w:rStyle w:val="Emphasis"/>
          <w:i w:val="0"/>
        </w:rPr>
        <w:t xml:space="preserve"> z 3</w:t>
      </w:r>
      <w:r>
        <w:rPr>
          <w:rStyle w:val="Emphasis"/>
          <w:i w:val="0"/>
        </w:rPr>
        <w:t>.12.2020, s. 17</w:t>
      </w:r>
      <w:r>
        <w:t>).</w:t>
      </w:r>
    </w:p>
  </w:footnote>
  <w:footnote w:id="6">
    <w:p w:rsidR="00410340" w:rsidRPr="007067A9" w:rsidRDefault="00410340" w:rsidP="008B3E83">
      <w:pPr>
        <w:pStyle w:val="FootnoteText"/>
        <w:rPr>
          <w:color w:val="444444"/>
        </w:rPr>
      </w:pPr>
      <w:r>
        <w:rPr>
          <w:rStyle w:val="FootnoteReference"/>
        </w:rPr>
        <w:footnoteRef/>
      </w:r>
      <w:r>
        <w:tab/>
        <w:t>Dyrektywa Parlamentu Europejskiego</w:t>
      </w:r>
      <w:r w:rsidR="005D211F">
        <w:t xml:space="preserve"> i Rad</w:t>
      </w:r>
      <w:r>
        <w:t>y 2010/31/UE</w:t>
      </w:r>
      <w:r w:rsidR="005D211F">
        <w:t xml:space="preserve"> z dni</w:t>
      </w:r>
      <w:r>
        <w:t>a 19 maja 20</w:t>
      </w:r>
      <w:r w:rsidRPr="005D211F">
        <w:t>10</w:t>
      </w:r>
      <w:r w:rsidR="005D211F" w:rsidRPr="005D211F">
        <w:t> </w:t>
      </w:r>
      <w:r w:rsidRPr="005D211F">
        <w:t>r.</w:t>
      </w:r>
      <w:r w:rsidR="005D211F">
        <w:t xml:space="preserve"> w spr</w:t>
      </w:r>
      <w:r>
        <w:t>awie charakterystyki energetycznej budynków (</w:t>
      </w:r>
      <w:r>
        <w:rPr>
          <w:rStyle w:val="Emphasis"/>
          <w:i w:val="0"/>
        </w:rPr>
        <w:t>Dz.U. L 153</w:t>
      </w:r>
      <w:r w:rsidR="005D211F">
        <w:rPr>
          <w:rStyle w:val="Emphasis"/>
          <w:i w:val="0"/>
        </w:rPr>
        <w:t xml:space="preserve"> z 1</w:t>
      </w:r>
      <w:r>
        <w:rPr>
          <w:rStyle w:val="Emphasis"/>
          <w:i w:val="0"/>
        </w:rPr>
        <w:t>8.6.2010, s. 13</w:t>
      </w:r>
      <w:r>
        <w:t>).</w:t>
      </w:r>
    </w:p>
  </w:footnote>
  <w:footnote w:id="7">
    <w:p w:rsidR="00135CD4" w:rsidRPr="00135CD4" w:rsidRDefault="00135CD4" w:rsidP="00135CD4">
      <w:pPr>
        <w:pStyle w:val="FootnoteText"/>
      </w:pPr>
      <w:r>
        <w:rPr>
          <w:rStyle w:val="FootnoteReference"/>
        </w:rPr>
        <w:footnoteRef/>
      </w:r>
      <w:r>
        <w:tab/>
        <w:t>Dyrektywa Parlamentu Europejskiego</w:t>
      </w:r>
      <w:r w:rsidR="005D211F">
        <w:t xml:space="preserve"> i Rad</w:t>
      </w:r>
      <w:r>
        <w:t>y 2013/34/UE</w:t>
      </w:r>
      <w:r w:rsidR="005D211F">
        <w:t xml:space="preserve"> z dni</w:t>
      </w:r>
      <w:r>
        <w:t>a 26 czerwca 20</w:t>
      </w:r>
      <w:r w:rsidRPr="005D211F">
        <w:t>13</w:t>
      </w:r>
      <w:r w:rsidR="005D211F" w:rsidRPr="005D211F">
        <w:t> </w:t>
      </w:r>
      <w:r w:rsidRPr="005D211F">
        <w:t>r.</w:t>
      </w:r>
      <w:r w:rsidR="005D211F">
        <w:t xml:space="preserve"> w spr</w:t>
      </w:r>
      <w:r>
        <w:t>awie rocznych sprawozdań finansowych, skonsolidowanych sprawozdań finansowych</w:t>
      </w:r>
      <w:r w:rsidR="005D211F">
        <w:t xml:space="preserve"> i pow</w:t>
      </w:r>
      <w:r>
        <w:t>iązanych sprawozdań niektórych rodzajów jednostek, zmieniająca dyrektywę Parlamentu Europejskiego</w:t>
      </w:r>
      <w:r w:rsidR="005D211F">
        <w:t xml:space="preserve"> i Rad</w:t>
      </w:r>
      <w:r>
        <w:t>y 2006/43/WE oraz uchylająca dyrektywy Rady 78/660/EWG</w:t>
      </w:r>
      <w:r w:rsidR="005D211F">
        <w:t xml:space="preserve"> i 8</w:t>
      </w:r>
      <w:r>
        <w:t>3/349/EWG (Dz.U. L 182</w:t>
      </w:r>
      <w:r w:rsidR="005D211F">
        <w:t xml:space="preserve"> z 2</w:t>
      </w:r>
      <w:r>
        <w:t>9.6.2013, s. 19).</w:t>
      </w:r>
    </w:p>
  </w:footnote>
  <w:footnote w:id="8">
    <w:p w:rsidR="00410340" w:rsidRPr="007067A9" w:rsidRDefault="00410340" w:rsidP="00410340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</w:t>
      </w:r>
      <w:r w:rsidR="005D211F">
        <w:t xml:space="preserve"> i Rad</w:t>
      </w:r>
      <w:r>
        <w:t xml:space="preserve">y (UE) </w:t>
      </w:r>
      <w:r w:rsidRPr="005D211F">
        <w:t>nr</w:t>
      </w:r>
      <w:r w:rsidR="005D211F" w:rsidRPr="005D211F">
        <w:t> </w:t>
      </w:r>
      <w:r w:rsidRPr="005D211F">
        <w:t>1</w:t>
      </w:r>
      <w:r>
        <w:t>093/2010</w:t>
      </w:r>
      <w:r w:rsidR="005D211F">
        <w:t xml:space="preserve"> z dni</w:t>
      </w:r>
      <w:r>
        <w:t>a 24 listopada 20</w:t>
      </w:r>
      <w:r w:rsidRPr="005D211F">
        <w:t>10</w:t>
      </w:r>
      <w:r w:rsidR="005D211F" w:rsidRPr="005D211F">
        <w:t> </w:t>
      </w:r>
      <w:r w:rsidRPr="005D211F">
        <w:t>r.</w:t>
      </w:r>
      <w:r w:rsidR="005D211F">
        <w:t xml:space="preserve"> w spr</w:t>
      </w:r>
      <w:r>
        <w:t xml:space="preserve">awie ustanowienia Europejskiego Urzędu Nadzoru (Europejskiego Urzędu Nadzoru Bankowego), zmiany decyzji </w:t>
      </w:r>
      <w:r w:rsidRPr="005D211F">
        <w:t>nr</w:t>
      </w:r>
      <w:r w:rsidR="005D211F" w:rsidRPr="005D211F">
        <w:t> </w:t>
      </w:r>
      <w:r w:rsidRPr="005D211F">
        <w:t>7</w:t>
      </w:r>
      <w:r>
        <w:t>16/2009/WE oraz uchylenia decyzji Komisji 2009/78/WE (Dz.U. L 331</w:t>
      </w:r>
      <w:r w:rsidR="005D211F">
        <w:t xml:space="preserve"> z 1</w:t>
      </w:r>
      <w:r>
        <w:t>5.12.2010, s. 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F98637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9F0D1A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C2082C4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45AAF27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F94EE6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6104F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25C65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FE8499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6947"/>
        </w:tabs>
        <w:ind w:left="6947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7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4"/>
    <w:lvlOverride w:ilvl="0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1"/>
  </w:num>
  <w:num w:numId="14">
    <w:abstractNumId w:val="13"/>
  </w:num>
  <w:num w:numId="15">
    <w:abstractNumId w:val="23"/>
  </w:num>
  <w:num w:numId="16">
    <w:abstractNumId w:val="11"/>
  </w:num>
  <w:num w:numId="17">
    <w:abstractNumId w:val="14"/>
  </w:num>
  <w:num w:numId="18">
    <w:abstractNumId w:val="15"/>
  </w:num>
  <w:num w:numId="19">
    <w:abstractNumId w:val="9"/>
  </w:num>
  <w:num w:numId="20">
    <w:abstractNumId w:val="22"/>
  </w:num>
  <w:num w:numId="21">
    <w:abstractNumId w:val="8"/>
  </w:num>
  <w:num w:numId="22">
    <w:abstractNumId w:val="16"/>
  </w:num>
  <w:num w:numId="23">
    <w:abstractNumId w:val="19"/>
  </w:num>
  <w:num w:numId="24">
    <w:abstractNumId w:val="20"/>
  </w:num>
  <w:num w:numId="25">
    <w:abstractNumId w:val="10"/>
  </w:num>
  <w:num w:numId="26">
    <w:abstractNumId w:val="18"/>
  </w:num>
  <w:num w:numId="27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revisionView w:markup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11-27 19:32:30"/>
    <w:docVar w:name="DQCNUMB_1" w:val="33"/>
    <w:docVar w:name="DQCNUMB_2" w:val="34"/>
    <w:docVar w:name="DQCNUMB_3" w:val="35"/>
    <w:docVar w:name="DQCNUMB_4" w:val="30"/>
    <w:docVar w:name="DQCNUMB_5" w:val="31"/>
    <w:docVar w:name="DQCNUMB_6" w:val="32"/>
    <w:docVar w:name="DQCNUMB_7" w:val="44"/>
    <w:docVar w:name="DQCNUMB_8" w:val="45"/>
    <w:docVar w:name="DQCNUMB_9" w:val="46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557A6477-6A05-4BA4-8B5F-88125D545076"/>
    <w:docVar w:name="LW_COVERPAGE_TYPE" w:val="1"/>
    <w:docVar w:name="LW_CROSSREFERENCE" w:val="&lt;UNUSED&gt;"/>
    <w:docVar w:name="LW_DATE.ADOPT.CP" w:val="z dnia 30.11.2022 r."/>
    <w:docVar w:name="LW_DATE.ADOPT.CP_DATEFORMAT" w:val="z dnia %DATE% r."/>
    <w:docVar w:name="LW_DATE.ADOPT.CP_ISODATE" w:val="2022-11-30"/>
    <w:docVar w:name="LW_DocType" w:val="COM"/>
    <w:docVar w:name="LW_EMISSION" w:val="30.11.2022"/>
    <w:docVar w:name="LW_EMISSION_ISODATE" w:val="2022-11-30"/>
    <w:docVar w:name="LW_EMISSION_LOCATION" w:val="BRX"/>
    <w:docVar w:name="LW_EMISSION_PREFIX" w:val="Bruksela, dnia "/>
    <w:docVar w:name="LW_EMISSION_SUFFIX" w:val=" r.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 mający znaczenie dla EOG)"/>
    <w:docVar w:name="LW_LANGUE" w:val="PL"/>
    <w:docVar w:name="LW_LANGUESFAISANTFOI.CP" w:val="&lt;UNUSED&gt;"/>
    <w:docVar w:name="LW_LEVEL_OF_SENSITIVITY" w:val="Standard treatment"/>
    <w:docVar w:name="LW_NOM.INST" w:val="KOMISJA EUROPEJSK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8396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zmieniające wykonawcze standardy techniczne określone w rozporządzeniu wykonawczym (UE) 2021/637 w odniesieniu do ujawniania informacji na temat ryzyk z zakresu ochrony środowiska, polityki społecznej i ładu korporacyjnego _x000b_"/>
    <w:docVar w:name="LW_TYPE.DOC.CP" w:val="ROZPORZĄDZENIE WYKONAWCZE KOMISJI (UE) …/…"/>
    <w:docVar w:name="LwApiVersions" w:val="LW4CoDe 1.23.2.0; LW 8.0, Build 20211117"/>
  </w:docVars>
  <w:rsids>
    <w:rsidRoot w:val="003C122C"/>
    <w:rsid w:val="000057BA"/>
    <w:rsid w:val="00012369"/>
    <w:rsid w:val="00013965"/>
    <w:rsid w:val="00014B2C"/>
    <w:rsid w:val="000163E0"/>
    <w:rsid w:val="00022FD2"/>
    <w:rsid w:val="00024AB1"/>
    <w:rsid w:val="000337EA"/>
    <w:rsid w:val="0004104A"/>
    <w:rsid w:val="0006070A"/>
    <w:rsid w:val="00066156"/>
    <w:rsid w:val="00083B2C"/>
    <w:rsid w:val="00086FAB"/>
    <w:rsid w:val="00092C7C"/>
    <w:rsid w:val="000941B5"/>
    <w:rsid w:val="00095049"/>
    <w:rsid w:val="000A39E5"/>
    <w:rsid w:val="000A7517"/>
    <w:rsid w:val="000B1F8E"/>
    <w:rsid w:val="000B76A4"/>
    <w:rsid w:val="000C0D47"/>
    <w:rsid w:val="000E198E"/>
    <w:rsid w:val="000F3F2A"/>
    <w:rsid w:val="000F5934"/>
    <w:rsid w:val="00103B22"/>
    <w:rsid w:val="0011495F"/>
    <w:rsid w:val="00135CD4"/>
    <w:rsid w:val="00142ACD"/>
    <w:rsid w:val="00145996"/>
    <w:rsid w:val="001513F0"/>
    <w:rsid w:val="00154CCD"/>
    <w:rsid w:val="001645DB"/>
    <w:rsid w:val="00184181"/>
    <w:rsid w:val="001844EE"/>
    <w:rsid w:val="001904B5"/>
    <w:rsid w:val="001A327A"/>
    <w:rsid w:val="001B18A5"/>
    <w:rsid w:val="001B1CE9"/>
    <w:rsid w:val="001B7BF1"/>
    <w:rsid w:val="001C015A"/>
    <w:rsid w:val="001C2816"/>
    <w:rsid w:val="001D65C8"/>
    <w:rsid w:val="001E4D6F"/>
    <w:rsid w:val="001E62ED"/>
    <w:rsid w:val="001F0712"/>
    <w:rsid w:val="001F230A"/>
    <w:rsid w:val="001F4DF3"/>
    <w:rsid w:val="002114F8"/>
    <w:rsid w:val="00225284"/>
    <w:rsid w:val="00227B00"/>
    <w:rsid w:val="002314F6"/>
    <w:rsid w:val="00232E98"/>
    <w:rsid w:val="00236D1F"/>
    <w:rsid w:val="00244967"/>
    <w:rsid w:val="0024497F"/>
    <w:rsid w:val="002522BC"/>
    <w:rsid w:val="002815D4"/>
    <w:rsid w:val="00282860"/>
    <w:rsid w:val="00286E16"/>
    <w:rsid w:val="002B16C1"/>
    <w:rsid w:val="002C526A"/>
    <w:rsid w:val="002D1236"/>
    <w:rsid w:val="002D2F1B"/>
    <w:rsid w:val="002E6EC7"/>
    <w:rsid w:val="00301900"/>
    <w:rsid w:val="00303A4B"/>
    <w:rsid w:val="0031532F"/>
    <w:rsid w:val="00317925"/>
    <w:rsid w:val="00320A76"/>
    <w:rsid w:val="00320B78"/>
    <w:rsid w:val="003226A9"/>
    <w:rsid w:val="0032597F"/>
    <w:rsid w:val="003276ED"/>
    <w:rsid w:val="00331719"/>
    <w:rsid w:val="0033740A"/>
    <w:rsid w:val="00353D88"/>
    <w:rsid w:val="003578D1"/>
    <w:rsid w:val="00362239"/>
    <w:rsid w:val="003742D8"/>
    <w:rsid w:val="003965B3"/>
    <w:rsid w:val="00396F18"/>
    <w:rsid w:val="00397813"/>
    <w:rsid w:val="003A5DF1"/>
    <w:rsid w:val="003A6D93"/>
    <w:rsid w:val="003C122C"/>
    <w:rsid w:val="003C70D6"/>
    <w:rsid w:val="003D22F0"/>
    <w:rsid w:val="003D5E0A"/>
    <w:rsid w:val="003E1B7D"/>
    <w:rsid w:val="004046D9"/>
    <w:rsid w:val="00410340"/>
    <w:rsid w:val="0041104D"/>
    <w:rsid w:val="00413DA3"/>
    <w:rsid w:val="00414930"/>
    <w:rsid w:val="00414A4D"/>
    <w:rsid w:val="00436E6A"/>
    <w:rsid w:val="004376A0"/>
    <w:rsid w:val="004550A7"/>
    <w:rsid w:val="00456918"/>
    <w:rsid w:val="00482062"/>
    <w:rsid w:val="004A6F3E"/>
    <w:rsid w:val="004C0BD0"/>
    <w:rsid w:val="004C21A2"/>
    <w:rsid w:val="004C6D12"/>
    <w:rsid w:val="004C74A9"/>
    <w:rsid w:val="004C7F55"/>
    <w:rsid w:val="004D65D2"/>
    <w:rsid w:val="004E25CB"/>
    <w:rsid w:val="004E41D0"/>
    <w:rsid w:val="004F0D71"/>
    <w:rsid w:val="004F6722"/>
    <w:rsid w:val="004F6DF7"/>
    <w:rsid w:val="00500AC9"/>
    <w:rsid w:val="005103F2"/>
    <w:rsid w:val="00524ADC"/>
    <w:rsid w:val="00530E44"/>
    <w:rsid w:val="00541DBA"/>
    <w:rsid w:val="00543602"/>
    <w:rsid w:val="00547071"/>
    <w:rsid w:val="00565B8A"/>
    <w:rsid w:val="005708C3"/>
    <w:rsid w:val="005743BA"/>
    <w:rsid w:val="00592619"/>
    <w:rsid w:val="00592E05"/>
    <w:rsid w:val="00595146"/>
    <w:rsid w:val="005B177F"/>
    <w:rsid w:val="005B5751"/>
    <w:rsid w:val="005C5191"/>
    <w:rsid w:val="005D1193"/>
    <w:rsid w:val="005D211F"/>
    <w:rsid w:val="005D2409"/>
    <w:rsid w:val="005E5AED"/>
    <w:rsid w:val="00635568"/>
    <w:rsid w:val="00635A91"/>
    <w:rsid w:val="00643DD1"/>
    <w:rsid w:val="006542E5"/>
    <w:rsid w:val="00657F0F"/>
    <w:rsid w:val="0066012A"/>
    <w:rsid w:val="00674F39"/>
    <w:rsid w:val="00686BCA"/>
    <w:rsid w:val="0069084C"/>
    <w:rsid w:val="00690FB4"/>
    <w:rsid w:val="006973D8"/>
    <w:rsid w:val="006B267D"/>
    <w:rsid w:val="006B71ED"/>
    <w:rsid w:val="006C171D"/>
    <w:rsid w:val="006D6422"/>
    <w:rsid w:val="006E06B7"/>
    <w:rsid w:val="006E41D9"/>
    <w:rsid w:val="006E5628"/>
    <w:rsid w:val="0070128F"/>
    <w:rsid w:val="00701EE8"/>
    <w:rsid w:val="007067A9"/>
    <w:rsid w:val="007117D9"/>
    <w:rsid w:val="00713F5B"/>
    <w:rsid w:val="00715E6A"/>
    <w:rsid w:val="0071695E"/>
    <w:rsid w:val="00720FE7"/>
    <w:rsid w:val="00723CCB"/>
    <w:rsid w:val="00732259"/>
    <w:rsid w:val="00732CCA"/>
    <w:rsid w:val="00737997"/>
    <w:rsid w:val="007438A8"/>
    <w:rsid w:val="00756CA3"/>
    <w:rsid w:val="00763A70"/>
    <w:rsid w:val="00782B92"/>
    <w:rsid w:val="00785CE7"/>
    <w:rsid w:val="00792229"/>
    <w:rsid w:val="00796640"/>
    <w:rsid w:val="007C06F6"/>
    <w:rsid w:val="007C1792"/>
    <w:rsid w:val="007C6A9F"/>
    <w:rsid w:val="007D0388"/>
    <w:rsid w:val="007D62F0"/>
    <w:rsid w:val="007D7DBC"/>
    <w:rsid w:val="007E26C3"/>
    <w:rsid w:val="007F4F83"/>
    <w:rsid w:val="007F5860"/>
    <w:rsid w:val="00804148"/>
    <w:rsid w:val="008062B5"/>
    <w:rsid w:val="00817B8F"/>
    <w:rsid w:val="00821D7F"/>
    <w:rsid w:val="00832DCF"/>
    <w:rsid w:val="00847287"/>
    <w:rsid w:val="00851060"/>
    <w:rsid w:val="0085437D"/>
    <w:rsid w:val="0086052B"/>
    <w:rsid w:val="00865DA1"/>
    <w:rsid w:val="0087679B"/>
    <w:rsid w:val="00884A61"/>
    <w:rsid w:val="008968D2"/>
    <w:rsid w:val="008B3E83"/>
    <w:rsid w:val="008B4EA1"/>
    <w:rsid w:val="008B6B70"/>
    <w:rsid w:val="008B7323"/>
    <w:rsid w:val="008C6F3B"/>
    <w:rsid w:val="008C705E"/>
    <w:rsid w:val="008D169C"/>
    <w:rsid w:val="008D2E23"/>
    <w:rsid w:val="008E08C7"/>
    <w:rsid w:val="008E44ED"/>
    <w:rsid w:val="008E7033"/>
    <w:rsid w:val="008E7D06"/>
    <w:rsid w:val="00905BE0"/>
    <w:rsid w:val="00911BBB"/>
    <w:rsid w:val="00921483"/>
    <w:rsid w:val="00930B06"/>
    <w:rsid w:val="0093114D"/>
    <w:rsid w:val="00935E8E"/>
    <w:rsid w:val="0094232C"/>
    <w:rsid w:val="00957D55"/>
    <w:rsid w:val="0096046C"/>
    <w:rsid w:val="00973740"/>
    <w:rsid w:val="00973E9E"/>
    <w:rsid w:val="00974379"/>
    <w:rsid w:val="009846A4"/>
    <w:rsid w:val="00986B33"/>
    <w:rsid w:val="00987AD5"/>
    <w:rsid w:val="00992A73"/>
    <w:rsid w:val="00994FD4"/>
    <w:rsid w:val="00995098"/>
    <w:rsid w:val="009A73D4"/>
    <w:rsid w:val="009B7138"/>
    <w:rsid w:val="009C5D3A"/>
    <w:rsid w:val="009D6EB9"/>
    <w:rsid w:val="009E16FF"/>
    <w:rsid w:val="009E2D9A"/>
    <w:rsid w:val="009E62A6"/>
    <w:rsid w:val="009F48FD"/>
    <w:rsid w:val="009F72A3"/>
    <w:rsid w:val="00A03A3E"/>
    <w:rsid w:val="00A11076"/>
    <w:rsid w:val="00A238D6"/>
    <w:rsid w:val="00A34057"/>
    <w:rsid w:val="00A41AD1"/>
    <w:rsid w:val="00A45F9D"/>
    <w:rsid w:val="00A525E2"/>
    <w:rsid w:val="00A6077E"/>
    <w:rsid w:val="00A61544"/>
    <w:rsid w:val="00A87925"/>
    <w:rsid w:val="00A920C6"/>
    <w:rsid w:val="00A97285"/>
    <w:rsid w:val="00AA5C69"/>
    <w:rsid w:val="00AA6403"/>
    <w:rsid w:val="00AA6D36"/>
    <w:rsid w:val="00AA7317"/>
    <w:rsid w:val="00AD2CD3"/>
    <w:rsid w:val="00AE332F"/>
    <w:rsid w:val="00AE60C7"/>
    <w:rsid w:val="00AF4467"/>
    <w:rsid w:val="00B00A6D"/>
    <w:rsid w:val="00B137D8"/>
    <w:rsid w:val="00B25755"/>
    <w:rsid w:val="00B37F85"/>
    <w:rsid w:val="00B45C88"/>
    <w:rsid w:val="00B555F4"/>
    <w:rsid w:val="00B667EA"/>
    <w:rsid w:val="00B75C81"/>
    <w:rsid w:val="00B76A3B"/>
    <w:rsid w:val="00B8705E"/>
    <w:rsid w:val="00B87C8F"/>
    <w:rsid w:val="00B90FD9"/>
    <w:rsid w:val="00B94522"/>
    <w:rsid w:val="00BA141B"/>
    <w:rsid w:val="00BA4983"/>
    <w:rsid w:val="00BB6E75"/>
    <w:rsid w:val="00BC21DD"/>
    <w:rsid w:val="00BE1E9F"/>
    <w:rsid w:val="00BE246D"/>
    <w:rsid w:val="00BF0A20"/>
    <w:rsid w:val="00BF17AA"/>
    <w:rsid w:val="00BF1EC5"/>
    <w:rsid w:val="00BF7813"/>
    <w:rsid w:val="00C0016D"/>
    <w:rsid w:val="00C24556"/>
    <w:rsid w:val="00C250DE"/>
    <w:rsid w:val="00C30A6B"/>
    <w:rsid w:val="00C32BCD"/>
    <w:rsid w:val="00C436F2"/>
    <w:rsid w:val="00C43ADB"/>
    <w:rsid w:val="00C55C47"/>
    <w:rsid w:val="00C563F0"/>
    <w:rsid w:val="00C72EBC"/>
    <w:rsid w:val="00C73950"/>
    <w:rsid w:val="00C80003"/>
    <w:rsid w:val="00C90F4B"/>
    <w:rsid w:val="00C96986"/>
    <w:rsid w:val="00CA5E0A"/>
    <w:rsid w:val="00CA6131"/>
    <w:rsid w:val="00CB63D6"/>
    <w:rsid w:val="00CD2F69"/>
    <w:rsid w:val="00CD31F7"/>
    <w:rsid w:val="00CD7B29"/>
    <w:rsid w:val="00CF4110"/>
    <w:rsid w:val="00D00193"/>
    <w:rsid w:val="00D01D57"/>
    <w:rsid w:val="00D14E3E"/>
    <w:rsid w:val="00D1768F"/>
    <w:rsid w:val="00D23734"/>
    <w:rsid w:val="00D34B59"/>
    <w:rsid w:val="00D44382"/>
    <w:rsid w:val="00D476ED"/>
    <w:rsid w:val="00D56C86"/>
    <w:rsid w:val="00D6695E"/>
    <w:rsid w:val="00D7007A"/>
    <w:rsid w:val="00D753AD"/>
    <w:rsid w:val="00D819E9"/>
    <w:rsid w:val="00DA20D3"/>
    <w:rsid w:val="00DA6EF2"/>
    <w:rsid w:val="00DB337F"/>
    <w:rsid w:val="00DC51F2"/>
    <w:rsid w:val="00DD0951"/>
    <w:rsid w:val="00DD4BB1"/>
    <w:rsid w:val="00DE6779"/>
    <w:rsid w:val="00E02264"/>
    <w:rsid w:val="00E16C32"/>
    <w:rsid w:val="00E227DA"/>
    <w:rsid w:val="00E27B5B"/>
    <w:rsid w:val="00E57103"/>
    <w:rsid w:val="00E621E8"/>
    <w:rsid w:val="00E80A1C"/>
    <w:rsid w:val="00E84919"/>
    <w:rsid w:val="00EB425C"/>
    <w:rsid w:val="00EC304C"/>
    <w:rsid w:val="00EC548B"/>
    <w:rsid w:val="00ED20D7"/>
    <w:rsid w:val="00ED7891"/>
    <w:rsid w:val="00EE28B6"/>
    <w:rsid w:val="00EF39E6"/>
    <w:rsid w:val="00F007BC"/>
    <w:rsid w:val="00F170A6"/>
    <w:rsid w:val="00F20062"/>
    <w:rsid w:val="00F233CB"/>
    <w:rsid w:val="00F23798"/>
    <w:rsid w:val="00F45E0C"/>
    <w:rsid w:val="00F50B69"/>
    <w:rsid w:val="00F8179F"/>
    <w:rsid w:val="00F82E44"/>
    <w:rsid w:val="00F87C92"/>
    <w:rsid w:val="00F90B4C"/>
    <w:rsid w:val="00F93470"/>
    <w:rsid w:val="00FA40AE"/>
    <w:rsid w:val="00FB5D02"/>
    <w:rsid w:val="00FC42BE"/>
    <w:rsid w:val="00FD14DB"/>
    <w:rsid w:val="00FF14E9"/>
    <w:rsid w:val="00FF2CC3"/>
    <w:rsid w:val="00F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D75711F-E1C8-47D3-A624-CE1780ED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0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2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2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20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F4F83"/>
    <w:rPr>
      <w:i/>
      <w:iCs/>
    </w:rPr>
  </w:style>
  <w:style w:type="paragraph" w:styleId="NormalWeb">
    <w:name w:val="Normal (Web)"/>
    <w:basedOn w:val="Normal"/>
    <w:uiPriority w:val="99"/>
    <w:unhideWhenUsed/>
    <w:rsid w:val="007F4F8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numberedparagraph">
    <w:name w:val="numbered paragraph"/>
    <w:basedOn w:val="Normal"/>
    <w:qFormat/>
    <w:rsid w:val="007F4F83"/>
    <w:pPr>
      <w:numPr>
        <w:numId w:val="1"/>
      </w:numPr>
      <w:tabs>
        <w:tab w:val="clear" w:pos="6947"/>
        <w:tab w:val="num" w:pos="284"/>
      </w:tabs>
      <w:spacing w:before="240" w:line="276" w:lineRule="auto"/>
      <w:ind w:left="284"/>
    </w:pPr>
    <w:rPr>
      <w:rFonts w:asciiTheme="minorHAnsi" w:eastAsiaTheme="minorEastAsia" w:hAnsiTheme="minorHAnsi" w:cstheme="minorBidi"/>
      <w:sz w:val="22"/>
      <w:szCs w:val="24"/>
    </w:rPr>
  </w:style>
  <w:style w:type="paragraph" w:customStyle="1" w:styleId="sti-art">
    <w:name w:val="sti-art"/>
    <w:basedOn w:val="Normal"/>
    <w:rsid w:val="007F4F8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rsid w:val="001B7BF1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B7BF1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B7BF1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B7BF1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11495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1495F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11495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1495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1495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1495F"/>
    <w:pPr>
      <w:numPr>
        <w:numId w:val="9"/>
      </w:numPr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A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ADC"/>
    <w:rPr>
      <w:rFonts w:ascii="Times New Roman" w:hAnsi="Times New Roman" w:cs="Times New Roman"/>
      <w:b/>
      <w:bCs/>
      <w:sz w:val="20"/>
      <w:szCs w:val="20"/>
      <w:lang w:val="pl-PL"/>
    </w:rPr>
  </w:style>
  <w:style w:type="character" w:styleId="Hyperlink">
    <w:name w:val="Hyperlink"/>
    <w:basedOn w:val="DefaultParagraphFont"/>
    <w:uiPriority w:val="99"/>
    <w:unhideWhenUsed/>
    <w:rsid w:val="00524AD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4AD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C6D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9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934"/>
    <w:rPr>
      <w:rFonts w:ascii="Segoe UI" w:hAnsi="Segoe UI" w:cs="Segoe UI"/>
      <w:sz w:val="18"/>
      <w:szCs w:val="18"/>
      <w:lang w:val="pl-PL"/>
    </w:rPr>
  </w:style>
  <w:style w:type="paragraph" w:customStyle="1" w:styleId="title-article-norm">
    <w:name w:val="title-article-norm"/>
    <w:basedOn w:val="Normal"/>
    <w:rsid w:val="00F82E4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stitle-article-norm">
    <w:name w:val="stitle-article-norm"/>
    <w:basedOn w:val="Normal"/>
    <w:rsid w:val="00F82E4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norm">
    <w:name w:val="norm"/>
    <w:basedOn w:val="Normal"/>
    <w:rsid w:val="00F82E4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941B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D2CD3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LegalNumPar">
    <w:name w:val="LegalNumPar"/>
    <w:basedOn w:val="Normal"/>
    <w:rsid w:val="008C6F3B"/>
    <w:pPr>
      <w:numPr>
        <w:numId w:val="12"/>
      </w:numPr>
      <w:spacing w:line="360" w:lineRule="auto"/>
    </w:pPr>
  </w:style>
  <w:style w:type="paragraph" w:customStyle="1" w:styleId="LegalNumPar2">
    <w:name w:val="LegalNumPar2"/>
    <w:basedOn w:val="Normal"/>
    <w:rsid w:val="008C6F3B"/>
    <w:pPr>
      <w:numPr>
        <w:ilvl w:val="1"/>
        <w:numId w:val="12"/>
      </w:numPr>
      <w:spacing w:line="360" w:lineRule="auto"/>
    </w:pPr>
  </w:style>
  <w:style w:type="paragraph" w:customStyle="1" w:styleId="LegalNumPar3">
    <w:name w:val="LegalNumPar3"/>
    <w:basedOn w:val="Normal"/>
    <w:rsid w:val="008C6F3B"/>
    <w:pPr>
      <w:numPr>
        <w:ilvl w:val="2"/>
        <w:numId w:val="12"/>
      </w:numPr>
      <w:spacing w:line="360" w:lineRule="auto"/>
    </w:pPr>
  </w:style>
  <w:style w:type="paragraph" w:styleId="Header">
    <w:name w:val="header"/>
    <w:basedOn w:val="Normal"/>
    <w:link w:val="HeaderChar"/>
    <w:uiPriority w:val="99"/>
    <w:unhideWhenUsed/>
    <w:rsid w:val="00BF1EC5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BF1EC5"/>
    <w:rPr>
      <w:rFonts w:ascii="Times New Roman" w:hAnsi="Times New Roman" w:cs="Times New Roman"/>
      <w:sz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BF1EC5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BF1EC5"/>
    <w:rPr>
      <w:rFonts w:ascii="Times New Roman" w:hAnsi="Times New Roman" w:cs="Times New Roman"/>
      <w:sz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pl-P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pl-P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pl-P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pl-P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pl-PL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BF1EC5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BF1EC5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BF1EC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BF1EC5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BF1EC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3"/>
      </w:numPr>
    </w:pPr>
  </w:style>
  <w:style w:type="paragraph" w:customStyle="1" w:styleId="Tiret1">
    <w:name w:val="Tiret 1"/>
    <w:basedOn w:val="Point1"/>
    <w:pPr>
      <w:numPr>
        <w:numId w:val="14"/>
      </w:numPr>
    </w:pPr>
  </w:style>
  <w:style w:type="paragraph" w:customStyle="1" w:styleId="Tiret2">
    <w:name w:val="Tiret 2"/>
    <w:basedOn w:val="Point2"/>
    <w:pPr>
      <w:numPr>
        <w:numId w:val="15"/>
      </w:numPr>
    </w:pPr>
  </w:style>
  <w:style w:type="paragraph" w:customStyle="1" w:styleId="Tiret3">
    <w:name w:val="Tiret 3"/>
    <w:basedOn w:val="Point3"/>
    <w:pPr>
      <w:numPr>
        <w:numId w:val="16"/>
      </w:numPr>
    </w:pPr>
  </w:style>
  <w:style w:type="paragraph" w:customStyle="1" w:styleId="Tiret4">
    <w:name w:val="Tiret 4"/>
    <w:basedOn w:val="Point4"/>
    <w:pPr>
      <w:numPr>
        <w:numId w:val="17"/>
      </w:numPr>
    </w:pPr>
  </w:style>
  <w:style w:type="paragraph" w:customStyle="1" w:styleId="Tiret5">
    <w:name w:val="Tiret 5"/>
    <w:basedOn w:val="Point5"/>
    <w:pPr>
      <w:numPr>
        <w:numId w:val="18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9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9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9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9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9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9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9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sid w:val="001D65C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21"/>
      </w:numPr>
    </w:pPr>
  </w:style>
  <w:style w:type="paragraph" w:customStyle="1" w:styleId="Point1number">
    <w:name w:val="Point 1 (number)"/>
    <w:basedOn w:val="Normal"/>
    <w:pPr>
      <w:numPr>
        <w:ilvl w:val="2"/>
        <w:numId w:val="21"/>
      </w:numPr>
    </w:pPr>
  </w:style>
  <w:style w:type="paragraph" w:customStyle="1" w:styleId="Point2number">
    <w:name w:val="Point 2 (number)"/>
    <w:basedOn w:val="Normal"/>
    <w:pPr>
      <w:numPr>
        <w:ilvl w:val="4"/>
        <w:numId w:val="21"/>
      </w:numPr>
    </w:pPr>
  </w:style>
  <w:style w:type="paragraph" w:customStyle="1" w:styleId="Point3number">
    <w:name w:val="Point 3 (number)"/>
    <w:basedOn w:val="Normal"/>
    <w:pPr>
      <w:numPr>
        <w:ilvl w:val="6"/>
        <w:numId w:val="21"/>
      </w:numPr>
    </w:pPr>
  </w:style>
  <w:style w:type="paragraph" w:customStyle="1" w:styleId="Point0letter">
    <w:name w:val="Point 0 (letter)"/>
    <w:basedOn w:val="Normal"/>
    <w:pPr>
      <w:numPr>
        <w:ilvl w:val="1"/>
        <w:numId w:val="21"/>
      </w:numPr>
    </w:pPr>
  </w:style>
  <w:style w:type="paragraph" w:customStyle="1" w:styleId="Point1letter">
    <w:name w:val="Point 1 (letter)"/>
    <w:basedOn w:val="Normal"/>
    <w:pPr>
      <w:numPr>
        <w:ilvl w:val="3"/>
        <w:numId w:val="21"/>
      </w:numPr>
    </w:pPr>
  </w:style>
  <w:style w:type="paragraph" w:customStyle="1" w:styleId="Point2letter">
    <w:name w:val="Point 2 (letter)"/>
    <w:basedOn w:val="Normal"/>
    <w:pPr>
      <w:numPr>
        <w:ilvl w:val="5"/>
        <w:numId w:val="21"/>
      </w:numPr>
    </w:pPr>
  </w:style>
  <w:style w:type="paragraph" w:customStyle="1" w:styleId="Point3letter">
    <w:name w:val="Point 3 (letter)"/>
    <w:basedOn w:val="Normal"/>
    <w:pPr>
      <w:numPr>
        <w:ilvl w:val="7"/>
        <w:numId w:val="21"/>
      </w:numPr>
    </w:pPr>
  </w:style>
  <w:style w:type="paragraph" w:customStyle="1" w:styleId="Point4letter">
    <w:name w:val="Point 4 (letter)"/>
    <w:basedOn w:val="Normal"/>
    <w:pPr>
      <w:numPr>
        <w:ilvl w:val="8"/>
        <w:numId w:val="21"/>
      </w:numPr>
    </w:pPr>
  </w:style>
  <w:style w:type="paragraph" w:customStyle="1" w:styleId="Bullet0">
    <w:name w:val="Bullet 0"/>
    <w:basedOn w:val="Normal"/>
    <w:pPr>
      <w:numPr>
        <w:numId w:val="22"/>
      </w:numPr>
    </w:pPr>
  </w:style>
  <w:style w:type="paragraph" w:customStyle="1" w:styleId="Bullet1">
    <w:name w:val="Bullet 1"/>
    <w:basedOn w:val="Normal"/>
    <w:pPr>
      <w:numPr>
        <w:numId w:val="23"/>
      </w:numPr>
    </w:pPr>
  </w:style>
  <w:style w:type="paragraph" w:customStyle="1" w:styleId="Bullet2">
    <w:name w:val="Bullet 2"/>
    <w:basedOn w:val="Normal"/>
    <w:pPr>
      <w:numPr>
        <w:numId w:val="24"/>
      </w:numPr>
    </w:pPr>
  </w:style>
  <w:style w:type="paragraph" w:customStyle="1" w:styleId="Bullet3">
    <w:name w:val="Bullet 3"/>
    <w:basedOn w:val="Normal"/>
    <w:pPr>
      <w:numPr>
        <w:numId w:val="25"/>
      </w:numPr>
    </w:pPr>
  </w:style>
  <w:style w:type="paragraph" w:customStyle="1" w:styleId="Bullet4">
    <w:name w:val="Bullet 4"/>
    <w:basedOn w:val="Normal"/>
    <w:pPr>
      <w:numPr>
        <w:numId w:val="26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7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D357A-3BBE-4B28-991A-296FCE267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30</TotalTime>
  <Pages>7</Pages>
  <Words>1725</Words>
  <Characters>11266</Characters>
  <Application>Microsoft Office Word</Application>
  <DocSecurity>0</DocSecurity>
  <Lines>197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51</cp:revision>
  <dcterms:created xsi:type="dcterms:W3CDTF">2022-10-28T13:10:00Z</dcterms:created>
  <dcterms:modified xsi:type="dcterms:W3CDTF">2022-11-27T18:32:00Z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8.1, Build 20220902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evel of sensitivity">
    <vt:lpwstr>Standard treatment</vt:lpwstr>
  </property>
  <property fmtid="{D5CDD505-2E9C-101B-9397-08002B2CF9AE}" pid="8" name="LWTemplateID">
    <vt:lpwstr>SJ-004</vt:lpwstr>
  </property>
  <property fmtid="{D5CDD505-2E9C-101B-9397-08002B2CF9AE}" pid="9" name="MSIP_Label_e66ba66e-8b7b-475b-ae81-4aab15d5f212_Enabled">
    <vt:lpwstr>true</vt:lpwstr>
  </property>
  <property fmtid="{D5CDD505-2E9C-101B-9397-08002B2CF9AE}" pid="10" name="MSIP_Label_e66ba66e-8b7b-475b-ae81-4aab15d5f212_SetDate">
    <vt:lpwstr>2022-01-19T13:29:43Z</vt:lpwstr>
  </property>
  <property fmtid="{D5CDD505-2E9C-101B-9397-08002B2CF9AE}" pid="11" name="MSIP_Label_e66ba66e-8b7b-475b-ae81-4aab15d5f212_Method">
    <vt:lpwstr>Privileged</vt:lpwstr>
  </property>
  <property fmtid="{D5CDD505-2E9C-101B-9397-08002B2CF9AE}" pid="12" name="MSIP_Label_e66ba66e-8b7b-475b-ae81-4aab15d5f212_Name">
    <vt:lpwstr>No Label</vt:lpwstr>
  </property>
  <property fmtid="{D5CDD505-2E9C-101B-9397-08002B2CF9AE}" pid="13" name="MSIP_Label_e66ba66e-8b7b-475b-ae81-4aab15d5f212_SiteId">
    <vt:lpwstr>3bacb4ff-f1a2-4c92-b96c-e99fec826b68</vt:lpwstr>
  </property>
  <property fmtid="{D5CDD505-2E9C-101B-9397-08002B2CF9AE}" pid="14" name="MSIP_Label_e66ba66e-8b7b-475b-ae81-4aab15d5f212_ActionId">
    <vt:lpwstr>c480b887-2e9a-4e7d-8134-419fc2e184a9</vt:lpwstr>
  </property>
  <property fmtid="{D5CDD505-2E9C-101B-9397-08002B2CF9AE}" pid="15" name="MSIP_Label_e66ba66e-8b7b-475b-ae81-4aab15d5f212_ContentBits">
    <vt:lpwstr>0</vt:lpwstr>
  </property>
  <property fmtid="{D5CDD505-2E9C-101B-9397-08002B2CF9AE}" pid="16" name="DQCStatus">
    <vt:lpwstr>Green (DQC version 03)</vt:lpwstr>
  </property>
</Properties>
</file>