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676501" w:rsidRDefault="00BA20BA" w:rsidP="00BA20B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17592404-3990-4C93-A242-33B29B5F3B1F" style="width:455.25pt;height:414pt">
            <v:imagedata r:id="rId8" o:title=""/>
          </v:shape>
        </w:pict>
      </w:r>
    </w:p>
    <w:p w:rsidR="003C122C" w:rsidRPr="00676501" w:rsidRDefault="003C122C">
      <w:pPr>
        <w:rPr>
          <w:noProof/>
        </w:rPr>
        <w:sectPr w:rsidR="003C122C" w:rsidRPr="00676501" w:rsidSect="00BA20BA">
          <w:footerReference w:type="default" r:id="rId9"/>
          <w:pgSz w:w="11907" w:h="16839"/>
          <w:pgMar w:top="1134" w:right="1417" w:bottom="1134" w:left="1417" w:header="709" w:footer="709" w:gutter="0"/>
          <w:pgNumType w:start="0"/>
          <w:cols w:space="720"/>
          <w:docGrid w:linePitch="360"/>
        </w:sectPr>
      </w:pPr>
    </w:p>
    <w:p w:rsidR="003C122C" w:rsidRPr="00676501" w:rsidRDefault="00980139" w:rsidP="00980139">
      <w:pPr>
        <w:pStyle w:val="Typedudocument"/>
        <w:rPr>
          <w:noProof/>
        </w:rPr>
      </w:pPr>
      <w:bookmarkStart w:id="0" w:name="_GoBack"/>
      <w:bookmarkEnd w:id="0"/>
      <w:r w:rsidRPr="00980139">
        <w:rPr>
          <w:noProof/>
        </w:rPr>
        <w:lastRenderedPageBreak/>
        <w:t>VYKONÁVACIE NARIADENIE KOMISIE (EÚ) …/...</w:t>
      </w:r>
    </w:p>
    <w:p w:rsidR="003C122C" w:rsidRPr="00676501" w:rsidRDefault="000D0F15" w:rsidP="00980139">
      <w:pPr>
        <w:pStyle w:val="Datedadoption"/>
        <w:rPr>
          <w:noProof/>
        </w:rPr>
      </w:pPr>
      <w:r>
        <w:t>z 30. 11. 2022</w:t>
      </w:r>
    </w:p>
    <w:p w:rsidR="003C122C" w:rsidRPr="00676501" w:rsidRDefault="00980139" w:rsidP="00980139">
      <w:pPr>
        <w:pStyle w:val="Titreobjet"/>
        <w:rPr>
          <w:noProof/>
        </w:rPr>
      </w:pPr>
      <w:r w:rsidRPr="00980139">
        <w:rPr>
          <w:noProof/>
        </w:rPr>
        <w:t xml:space="preserve">ktorým sa menia vykonávacie technické predpisy stanovené vo vykonávacom nariadení (EÚ) 2021/637, pokiaľ ide o zverejňovanie informácií o rizikách environmentálneho, sociálneho a správneho dosahu </w:t>
      </w:r>
      <w:r w:rsidRPr="00980139">
        <w:rPr>
          <w:noProof/>
        </w:rPr>
        <w:br/>
      </w:r>
    </w:p>
    <w:p w:rsidR="003C122C" w:rsidRPr="00676501" w:rsidRDefault="00980139" w:rsidP="00980139">
      <w:pPr>
        <w:pStyle w:val="IntrtEEE"/>
        <w:rPr>
          <w:noProof/>
        </w:rPr>
      </w:pPr>
      <w:r w:rsidRPr="00980139">
        <w:rPr>
          <w:noProof/>
        </w:rPr>
        <w:t>(Text s významom pre EHP)</w:t>
      </w:r>
    </w:p>
    <w:p w:rsidR="003C122C" w:rsidRPr="00676501" w:rsidRDefault="003C122C" w:rsidP="004E1EF9">
      <w:pPr>
        <w:pStyle w:val="Institutionquiagit"/>
        <w:rPr>
          <w:noProof/>
        </w:rPr>
      </w:pPr>
      <w:r w:rsidRPr="00676501">
        <w:rPr>
          <w:noProof/>
        </w:rPr>
        <w:t>EURÓPSKA KOMISIA,</w:t>
      </w:r>
    </w:p>
    <w:p w:rsidR="003C122C" w:rsidRPr="00676501" w:rsidRDefault="003C122C" w:rsidP="003C122C">
      <w:pPr>
        <w:rPr>
          <w:noProof/>
          <w:color w:val="000000"/>
        </w:rPr>
      </w:pPr>
      <w:r w:rsidRPr="00676501">
        <w:rPr>
          <w:noProof/>
          <w:color w:val="000000"/>
        </w:rPr>
        <w:t>so zreteľom na Zmluvu</w:t>
      </w:r>
      <w:r w:rsidR="00DA0692">
        <w:rPr>
          <w:noProof/>
          <w:color w:val="000000"/>
        </w:rPr>
        <w:t xml:space="preserve"> o </w:t>
      </w:r>
      <w:r w:rsidRPr="00676501">
        <w:rPr>
          <w:noProof/>
          <w:color w:val="000000"/>
        </w:rPr>
        <w:t>fungovaní Európskej únie,</w:t>
      </w:r>
    </w:p>
    <w:p w:rsidR="003C122C" w:rsidRPr="00676501" w:rsidRDefault="003C122C" w:rsidP="003C122C">
      <w:pPr>
        <w:rPr>
          <w:noProof/>
          <w:color w:val="000000"/>
        </w:rPr>
      </w:pPr>
      <w:r w:rsidRPr="00676501">
        <w:rPr>
          <w:noProof/>
          <w:color w:val="000000"/>
        </w:rPr>
        <w:t>so zreteľom na nariadenie Európskeho parlamentu</w:t>
      </w:r>
      <w:r w:rsidR="00DA0692">
        <w:rPr>
          <w:noProof/>
          <w:color w:val="000000"/>
        </w:rPr>
        <w:t xml:space="preserve"> a </w:t>
      </w:r>
      <w:r w:rsidRPr="00676501">
        <w:rPr>
          <w:noProof/>
          <w:color w:val="000000"/>
        </w:rPr>
        <w:t>Rady (EÚ) č. 575/2013</w:t>
      </w:r>
      <w:r w:rsidR="00DA0692">
        <w:rPr>
          <w:noProof/>
          <w:color w:val="000000"/>
        </w:rPr>
        <w:t xml:space="preserve"> z </w:t>
      </w:r>
      <w:r w:rsidRPr="00676501">
        <w:rPr>
          <w:noProof/>
          <w:color w:val="000000"/>
        </w:rPr>
        <w:t>26. júna 2013</w:t>
      </w:r>
      <w:r w:rsidR="00DA0692">
        <w:rPr>
          <w:noProof/>
          <w:color w:val="000000"/>
        </w:rPr>
        <w:t xml:space="preserve"> o </w:t>
      </w:r>
      <w:r w:rsidRPr="00676501">
        <w:rPr>
          <w:noProof/>
          <w:color w:val="000000"/>
        </w:rPr>
        <w:t>prudenciálnych požiadavkách na úverové inštitúcie</w:t>
      </w:r>
      <w:r w:rsidR="00DA0692">
        <w:rPr>
          <w:noProof/>
          <w:color w:val="000000"/>
        </w:rPr>
        <w:t xml:space="preserve"> a o </w:t>
      </w:r>
      <w:r w:rsidRPr="00676501">
        <w:rPr>
          <w:noProof/>
          <w:color w:val="000000"/>
        </w:rPr>
        <w:t>zmene nariadenia (EÚ) č. 648/2012</w:t>
      </w:r>
      <w:r w:rsidRPr="00676501">
        <w:rPr>
          <w:rStyle w:val="FootnoteReference"/>
          <w:noProof/>
        </w:rPr>
        <w:footnoteReference w:id="1"/>
      </w:r>
      <w:r w:rsidRPr="00676501">
        <w:rPr>
          <w:noProof/>
          <w:color w:val="000000"/>
        </w:rPr>
        <w:t>,</w:t>
      </w:r>
      <w:r w:rsidR="00DA0692">
        <w:rPr>
          <w:noProof/>
          <w:color w:val="000000"/>
        </w:rPr>
        <w:t xml:space="preserve"> a </w:t>
      </w:r>
      <w:r w:rsidRPr="00676501">
        <w:rPr>
          <w:noProof/>
          <w:color w:val="000000"/>
        </w:rPr>
        <w:t>najmä na jeho článok 434a,</w:t>
      </w:r>
    </w:p>
    <w:p w:rsidR="003C122C" w:rsidRPr="00676501" w:rsidRDefault="003C122C" w:rsidP="004E1EF9">
      <w:pPr>
        <w:rPr>
          <w:noProof/>
        </w:rPr>
      </w:pPr>
      <w:r w:rsidRPr="00676501">
        <w:rPr>
          <w:noProof/>
        </w:rPr>
        <w:t>keďže:</w:t>
      </w:r>
    </w:p>
    <w:p w:rsidR="00410340" w:rsidRPr="00676501" w:rsidRDefault="00951EAF" w:rsidP="00951EAF">
      <w:pPr>
        <w:pStyle w:val="ManualConsidrant"/>
        <w:rPr>
          <w:noProof/>
          <w:color w:val="000000"/>
        </w:rPr>
      </w:pPr>
      <w:r w:rsidRPr="00951EAF">
        <w:t>(1)</w:t>
      </w:r>
      <w:r w:rsidRPr="00951EAF">
        <w:tab/>
      </w:r>
      <w:r w:rsidR="007067A9" w:rsidRPr="00676501">
        <w:rPr>
          <w:noProof/>
        </w:rPr>
        <w:t>Vo vykonávacom nariadení Komisie (EÚ) 2021/637</w:t>
      </w:r>
      <w:r w:rsidR="007067A9" w:rsidRPr="00676501">
        <w:rPr>
          <w:rStyle w:val="FootnoteReference"/>
          <w:noProof/>
        </w:rPr>
        <w:footnoteReference w:id="2"/>
      </w:r>
      <w:r w:rsidR="007067A9" w:rsidRPr="00676501">
        <w:rPr>
          <w:noProof/>
        </w:rPr>
        <w:t xml:space="preserve"> sa stanovujú jednotné formáty zverejňovania informácií</w:t>
      </w:r>
      <w:r w:rsidR="00DA0692">
        <w:rPr>
          <w:noProof/>
        </w:rPr>
        <w:t xml:space="preserve"> a </w:t>
      </w:r>
      <w:r w:rsidR="007067A9" w:rsidRPr="00676501">
        <w:rPr>
          <w:noProof/>
        </w:rPr>
        <w:t>súvisiace pokyny na zverejňovanie informácií požadované podľa hláv II</w:t>
      </w:r>
      <w:r w:rsidR="00DA0692">
        <w:rPr>
          <w:noProof/>
        </w:rPr>
        <w:t xml:space="preserve"> a </w:t>
      </w:r>
      <w:r w:rsidR="007067A9" w:rsidRPr="00676501">
        <w:rPr>
          <w:noProof/>
        </w:rPr>
        <w:t>III nariadenia (EÚ) č. 575/2013. Nariadenie (EÚ) č. 575/2013 bolo zmenené nariadením (EÚ) 2019/876</w:t>
      </w:r>
      <w:r w:rsidR="007067A9" w:rsidRPr="00676501">
        <w:rPr>
          <w:rStyle w:val="FootnoteReference"/>
          <w:noProof/>
        </w:rPr>
        <w:footnoteReference w:id="3"/>
      </w:r>
      <w:r w:rsidR="007067A9" w:rsidRPr="00676501">
        <w:rPr>
          <w:noProof/>
        </w:rPr>
        <w:t>, okrem iného</w:t>
      </w:r>
      <w:r w:rsidR="00DA0692">
        <w:rPr>
          <w:noProof/>
        </w:rPr>
        <w:t xml:space="preserve"> s </w:t>
      </w:r>
      <w:r w:rsidR="007067A9" w:rsidRPr="00676501">
        <w:rPr>
          <w:noProof/>
        </w:rPr>
        <w:t>cieľom zaviesť nový článok 449a.</w:t>
      </w:r>
      <w:r w:rsidR="00DA0692">
        <w:rPr>
          <w:noProof/>
        </w:rPr>
        <w:t xml:space="preserve"> V </w:t>
      </w:r>
      <w:r w:rsidR="007067A9" w:rsidRPr="00676501">
        <w:rPr>
          <w:noProof/>
        </w:rPr>
        <w:t>uvedenom článku sa od veľkých inštitúcií, ktoré emitovali cenné papiere, ktoré sú prijaté na obchodovanie na regulovanom trhu ktoréhokoľvek členského štátu, vyžaduje, aby od 28. júna 2022 zverejňovali informácie</w:t>
      </w:r>
      <w:r w:rsidR="00DA0692">
        <w:rPr>
          <w:noProof/>
        </w:rPr>
        <w:t xml:space="preserve"> o </w:t>
      </w:r>
      <w:r w:rsidR="007067A9" w:rsidRPr="00676501">
        <w:rPr>
          <w:noProof/>
        </w:rPr>
        <w:t>rizikách environmentálneho, sociálneho</w:t>
      </w:r>
      <w:r w:rsidR="00DA0692">
        <w:rPr>
          <w:noProof/>
        </w:rPr>
        <w:t xml:space="preserve"> a </w:t>
      </w:r>
      <w:r w:rsidR="007067A9" w:rsidRPr="00676501">
        <w:rPr>
          <w:noProof/>
        </w:rPr>
        <w:t>správneho dosahu („riziká ESG“) vrátane fyzických rizík</w:t>
      </w:r>
      <w:r w:rsidR="00DA0692">
        <w:rPr>
          <w:noProof/>
        </w:rPr>
        <w:t xml:space="preserve"> a </w:t>
      </w:r>
      <w:r w:rsidR="007067A9" w:rsidRPr="00676501">
        <w:rPr>
          <w:noProof/>
        </w:rPr>
        <w:t>prechodných rizík. Uvedená zmena nariadenia (EÚ) č. 575/2013 by sa mala zohľadniť vo vykonávacom nariadení Komisie (EÚ) 2021/637,</w:t>
      </w:r>
      <w:r w:rsidR="00DA0692">
        <w:rPr>
          <w:noProof/>
        </w:rPr>
        <w:t xml:space="preserve"> v </w:t>
      </w:r>
      <w:r w:rsidR="007067A9" w:rsidRPr="00676501">
        <w:rPr>
          <w:noProof/>
        </w:rPr>
        <w:t>ktorom by sa okrem existujúcich jednotných formátov zverejňovania informácií</w:t>
      </w:r>
      <w:r w:rsidR="00DA0692">
        <w:rPr>
          <w:noProof/>
        </w:rPr>
        <w:t xml:space="preserve"> a </w:t>
      </w:r>
      <w:r w:rsidR="007067A9" w:rsidRPr="00676501">
        <w:rPr>
          <w:noProof/>
        </w:rPr>
        <w:t>súvisiacich pokynov mali stanoviť dodatočné jednotné formáty zverejňovania informácií</w:t>
      </w:r>
      <w:r w:rsidR="00DA0692">
        <w:rPr>
          <w:noProof/>
        </w:rPr>
        <w:t xml:space="preserve"> a </w:t>
      </w:r>
      <w:r w:rsidR="007067A9" w:rsidRPr="00676501">
        <w:rPr>
          <w:noProof/>
        </w:rPr>
        <w:t>súvisiace pokyny na zverejňovanie informácií</w:t>
      </w:r>
      <w:r w:rsidR="00DA0692">
        <w:rPr>
          <w:noProof/>
        </w:rPr>
        <w:t xml:space="preserve"> o </w:t>
      </w:r>
      <w:r w:rsidR="007067A9" w:rsidRPr="00676501">
        <w:rPr>
          <w:noProof/>
        </w:rPr>
        <w:t>rizikách ESG.</w:t>
      </w:r>
    </w:p>
    <w:p w:rsidR="00410340" w:rsidRPr="00676501" w:rsidRDefault="00951EAF" w:rsidP="00951EAF">
      <w:pPr>
        <w:pStyle w:val="ManualConsidrant"/>
        <w:rPr>
          <w:noProof/>
        </w:rPr>
      </w:pPr>
      <w:r w:rsidRPr="00951EAF">
        <w:t>(2)</w:t>
      </w:r>
      <w:r w:rsidRPr="00951EAF">
        <w:tab/>
      </w:r>
      <w:r w:rsidR="00410340" w:rsidRPr="00676501">
        <w:rPr>
          <w:noProof/>
        </w:rPr>
        <w:t>Pri stanovovaní jednotných formátov zverejňovania informácií by sa mala zohľadniť úplná závažnosť informácií, ktoré sa majú zverejniť. To znamená, že zverejňovanie informácií inštitúciami by malo zahŕňať na jednej strane finančný vplyv faktorov ESG na hospodárske</w:t>
      </w:r>
      <w:r w:rsidR="00DA0692">
        <w:rPr>
          <w:noProof/>
        </w:rPr>
        <w:t xml:space="preserve"> a </w:t>
      </w:r>
      <w:r w:rsidR="00410340" w:rsidRPr="00676501">
        <w:rPr>
          <w:noProof/>
        </w:rPr>
        <w:t>finančné činnosti inštitúcií (perspektíva zvonku dovnútra)</w:t>
      </w:r>
      <w:r w:rsidR="00DA0692">
        <w:rPr>
          <w:noProof/>
        </w:rPr>
        <w:t xml:space="preserve"> a </w:t>
      </w:r>
      <w:r w:rsidR="00410340" w:rsidRPr="00676501">
        <w:rPr>
          <w:noProof/>
        </w:rPr>
        <w:t>na druhej strane faktory ESG, ktoré môžu byť vyvolané vlastnou činnosťou inštitúcií, ktoré sa následne stávajú významnými</w:t>
      </w:r>
      <w:r w:rsidR="00DA0692">
        <w:rPr>
          <w:noProof/>
        </w:rPr>
        <w:t xml:space="preserve"> z </w:t>
      </w:r>
      <w:r w:rsidR="00410340" w:rsidRPr="00676501">
        <w:rPr>
          <w:noProof/>
        </w:rPr>
        <w:t>finančného hľadiska, keď ovplyvňujú zainteresované strany inštitúcií (perspektíva zvnútra von).</w:t>
      </w:r>
      <w:r w:rsidR="00DA0692">
        <w:rPr>
          <w:noProof/>
        </w:rPr>
        <w:t xml:space="preserve"> V </w:t>
      </w:r>
      <w:r w:rsidR="00410340" w:rsidRPr="00676501">
        <w:rPr>
          <w:noProof/>
        </w:rPr>
        <w:t>dôsledku toho by tabuľky</w:t>
      </w:r>
      <w:r w:rsidR="00DA0692">
        <w:rPr>
          <w:noProof/>
        </w:rPr>
        <w:t xml:space="preserve"> a </w:t>
      </w:r>
      <w:r w:rsidR="00410340" w:rsidRPr="00676501">
        <w:rPr>
          <w:noProof/>
        </w:rPr>
        <w:t>vzory používané na toto zverejňovanie informácií mali obsahovať dostatočne komplexné</w:t>
      </w:r>
      <w:r w:rsidR="00DA0692">
        <w:rPr>
          <w:noProof/>
        </w:rPr>
        <w:t xml:space="preserve"> a </w:t>
      </w:r>
      <w:r w:rsidR="00410340" w:rsidRPr="00676501">
        <w:rPr>
          <w:noProof/>
        </w:rPr>
        <w:t>porovnateľné informácie</w:t>
      </w:r>
      <w:r w:rsidR="00DA0692">
        <w:rPr>
          <w:noProof/>
        </w:rPr>
        <w:t xml:space="preserve"> o </w:t>
      </w:r>
      <w:r w:rsidR="00410340" w:rsidRPr="00676501">
        <w:rPr>
          <w:noProof/>
        </w:rPr>
        <w:t>rizikách ESG, čo používateľom týchto informácií umožní posúdiť rizikový profil inštitúcií.</w:t>
      </w:r>
    </w:p>
    <w:p w:rsidR="00410340" w:rsidRPr="00676501" w:rsidRDefault="00951EAF" w:rsidP="00951EAF">
      <w:pPr>
        <w:pStyle w:val="ManualConsidrant"/>
        <w:rPr>
          <w:noProof/>
        </w:rPr>
      </w:pPr>
      <w:r w:rsidRPr="00951EAF">
        <w:t>(3)</w:t>
      </w:r>
      <w:r w:rsidRPr="00951EAF">
        <w:tab/>
      </w:r>
      <w:r w:rsidR="00A525E2" w:rsidRPr="00676501">
        <w:rPr>
          <w:noProof/>
        </w:rPr>
        <w:t>Je potrebné zabezpečiť súdržnosť</w:t>
      </w:r>
      <w:r w:rsidR="00DA0692">
        <w:rPr>
          <w:noProof/>
        </w:rPr>
        <w:t xml:space="preserve"> a </w:t>
      </w:r>
      <w:r w:rsidR="00A525E2" w:rsidRPr="00676501">
        <w:rPr>
          <w:noProof/>
        </w:rPr>
        <w:t>konzistentnosť</w:t>
      </w:r>
      <w:r w:rsidR="00DA0692">
        <w:rPr>
          <w:noProof/>
        </w:rPr>
        <w:t xml:space="preserve"> s </w:t>
      </w:r>
      <w:r w:rsidR="00A525E2" w:rsidRPr="00676501">
        <w:rPr>
          <w:noProof/>
        </w:rPr>
        <w:t>ostatnými právnymi predpismi Únie</w:t>
      </w:r>
      <w:r w:rsidR="00DA0692">
        <w:rPr>
          <w:noProof/>
        </w:rPr>
        <w:t xml:space="preserve"> v </w:t>
      </w:r>
      <w:r w:rsidR="00A525E2" w:rsidRPr="00676501">
        <w:rPr>
          <w:noProof/>
        </w:rPr>
        <w:t>oblasti rizík ESG. Pravidlá zverejňovania informácií</w:t>
      </w:r>
      <w:r w:rsidR="00DA0692">
        <w:rPr>
          <w:noProof/>
        </w:rPr>
        <w:t xml:space="preserve"> o </w:t>
      </w:r>
      <w:r w:rsidR="00A525E2" w:rsidRPr="00676501">
        <w:rPr>
          <w:noProof/>
        </w:rPr>
        <w:t>rizikách ESG by preto mali zohľadňovať kritériá, klasifikácie</w:t>
      </w:r>
      <w:r w:rsidR="00DA0692">
        <w:rPr>
          <w:noProof/>
        </w:rPr>
        <w:t xml:space="preserve"> a </w:t>
      </w:r>
      <w:r w:rsidR="00A525E2" w:rsidRPr="00676501">
        <w:rPr>
          <w:noProof/>
        </w:rPr>
        <w:t>vymedzenie pojmov stanovené</w:t>
      </w:r>
      <w:r w:rsidR="00DA0692">
        <w:rPr>
          <w:noProof/>
        </w:rPr>
        <w:t xml:space="preserve"> v </w:t>
      </w:r>
      <w:r w:rsidR="00A525E2" w:rsidRPr="00676501">
        <w:rPr>
          <w:noProof/>
        </w:rPr>
        <w:t>uvedených právnych predpisoch Únie.</w:t>
      </w:r>
      <w:r w:rsidR="00DA0692">
        <w:rPr>
          <w:noProof/>
        </w:rPr>
        <w:t xml:space="preserve"> V </w:t>
      </w:r>
      <w:r w:rsidR="00A525E2" w:rsidRPr="00676501">
        <w:rPr>
          <w:noProof/>
        </w:rPr>
        <w:t>uvedených pravidlách by sa mali zohľadniť najmä kritériá identifikácie</w:t>
      </w:r>
      <w:r w:rsidR="00DA0692">
        <w:rPr>
          <w:noProof/>
        </w:rPr>
        <w:t xml:space="preserve"> a </w:t>
      </w:r>
      <w:r w:rsidR="00A525E2" w:rsidRPr="00676501">
        <w:rPr>
          <w:noProof/>
        </w:rPr>
        <w:t>klasifikácie environmentálne udržateľných hospodárskych činností, ako sú stanovené</w:t>
      </w:r>
      <w:r w:rsidR="00DA0692">
        <w:rPr>
          <w:noProof/>
        </w:rPr>
        <w:t xml:space="preserve"> v </w:t>
      </w:r>
      <w:r w:rsidR="00A525E2" w:rsidRPr="00676501">
        <w:rPr>
          <w:noProof/>
        </w:rPr>
        <w:t>nariadení Európskeho parlamentu</w:t>
      </w:r>
      <w:r w:rsidR="00DA0692">
        <w:rPr>
          <w:noProof/>
        </w:rPr>
        <w:t xml:space="preserve"> a </w:t>
      </w:r>
      <w:r w:rsidR="00A525E2" w:rsidRPr="00676501">
        <w:rPr>
          <w:noProof/>
        </w:rPr>
        <w:t>Rady (EÚ) 2020/852</w:t>
      </w:r>
      <w:r w:rsidR="00A525E2" w:rsidRPr="00676501">
        <w:rPr>
          <w:rStyle w:val="FootnoteReference"/>
          <w:noProof/>
        </w:rPr>
        <w:footnoteReference w:id="4"/>
      </w:r>
      <w:r w:rsidR="00DA0692">
        <w:rPr>
          <w:noProof/>
        </w:rPr>
        <w:t xml:space="preserve"> a v </w:t>
      </w:r>
      <w:r w:rsidR="00A525E2" w:rsidRPr="00676501">
        <w:rPr>
          <w:noProof/>
        </w:rPr>
        <w:t>delegovanom nariadení Komisie (EÚ) 2020/1818</w:t>
      </w:r>
      <w:r w:rsidR="00A525E2" w:rsidRPr="00676501">
        <w:rPr>
          <w:rStyle w:val="FootnoteReference"/>
          <w:noProof/>
        </w:rPr>
        <w:footnoteReference w:id="5"/>
      </w:r>
      <w:r w:rsidR="00A525E2" w:rsidRPr="00676501">
        <w:rPr>
          <w:noProof/>
        </w:rPr>
        <w:t>. Pokiaľ ide</w:t>
      </w:r>
      <w:r w:rsidR="00DA0692">
        <w:rPr>
          <w:noProof/>
        </w:rPr>
        <w:t xml:space="preserve"> o </w:t>
      </w:r>
      <w:r w:rsidR="00A525E2" w:rsidRPr="00676501">
        <w:rPr>
          <w:noProof/>
        </w:rPr>
        <w:t>zverejňovanie informácií</w:t>
      </w:r>
      <w:r w:rsidR="00DA0692">
        <w:rPr>
          <w:noProof/>
        </w:rPr>
        <w:t xml:space="preserve"> o </w:t>
      </w:r>
      <w:r w:rsidR="00A525E2" w:rsidRPr="00676501">
        <w:rPr>
          <w:noProof/>
        </w:rPr>
        <w:t>energetickej hospodárnosti portfólia nehnuteľností inštitúcií, mali by sa zohľadniť informácie poskytnuté</w:t>
      </w:r>
      <w:r w:rsidR="00DA0692">
        <w:rPr>
          <w:noProof/>
        </w:rPr>
        <w:t xml:space="preserve"> v </w:t>
      </w:r>
      <w:r w:rsidR="00A525E2" w:rsidRPr="00676501">
        <w:rPr>
          <w:noProof/>
        </w:rPr>
        <w:t>energetickom certifikáte</w:t>
      </w:r>
      <w:r w:rsidR="00DA0692">
        <w:rPr>
          <w:noProof/>
        </w:rPr>
        <w:t xml:space="preserve"> v </w:t>
      </w:r>
      <w:r w:rsidR="00A525E2" w:rsidRPr="00676501">
        <w:rPr>
          <w:noProof/>
        </w:rPr>
        <w:t>zmysle vymedzenia</w:t>
      </w:r>
      <w:r w:rsidR="00DA0692">
        <w:rPr>
          <w:noProof/>
        </w:rPr>
        <w:t xml:space="preserve"> v </w:t>
      </w:r>
      <w:r w:rsidR="00A525E2" w:rsidRPr="00676501">
        <w:rPr>
          <w:noProof/>
        </w:rPr>
        <w:t>článku 2 bode 12 smernice Európskeho parlamentu</w:t>
      </w:r>
      <w:r w:rsidR="00DA0692">
        <w:rPr>
          <w:noProof/>
        </w:rPr>
        <w:t xml:space="preserve"> a </w:t>
      </w:r>
      <w:r w:rsidR="00A525E2" w:rsidRPr="00676501">
        <w:rPr>
          <w:noProof/>
        </w:rPr>
        <w:t>Rady 2010/31/EÚ</w:t>
      </w:r>
      <w:r w:rsidR="00A525E2" w:rsidRPr="00676501">
        <w:rPr>
          <w:rStyle w:val="FootnoteReference"/>
          <w:noProof/>
        </w:rPr>
        <w:footnoteReference w:id="6"/>
      </w:r>
      <w:r w:rsidR="00A525E2" w:rsidRPr="00676501">
        <w:rPr>
          <w:noProof/>
        </w:rPr>
        <w:t>.</w:t>
      </w:r>
    </w:p>
    <w:p w:rsidR="00135CD4" w:rsidRPr="00676501" w:rsidRDefault="00951EAF" w:rsidP="00951EAF">
      <w:pPr>
        <w:pStyle w:val="ManualConsidrant"/>
        <w:rPr>
          <w:noProof/>
        </w:rPr>
      </w:pPr>
      <w:r w:rsidRPr="00951EAF">
        <w:t>(4)</w:t>
      </w:r>
      <w:r w:rsidRPr="00951EAF">
        <w:tab/>
      </w:r>
      <w:r w:rsidR="00135CD4" w:rsidRPr="00676501">
        <w:rPr>
          <w:noProof/>
        </w:rPr>
        <w:t>V článkoch 19a</w:t>
      </w:r>
      <w:r w:rsidR="00DA0692">
        <w:rPr>
          <w:noProof/>
        </w:rPr>
        <w:t xml:space="preserve"> a </w:t>
      </w:r>
      <w:r w:rsidR="00135CD4" w:rsidRPr="00676501">
        <w:rPr>
          <w:noProof/>
        </w:rPr>
        <w:t>29a smernice Európskeho parlamentu</w:t>
      </w:r>
      <w:r w:rsidR="00DA0692">
        <w:rPr>
          <w:noProof/>
        </w:rPr>
        <w:t xml:space="preserve"> a </w:t>
      </w:r>
      <w:r w:rsidR="00135CD4" w:rsidRPr="00676501">
        <w:rPr>
          <w:noProof/>
        </w:rPr>
        <w:t>Rady 2013/34/EÚ</w:t>
      </w:r>
      <w:r w:rsidR="00135CD4" w:rsidRPr="00676501">
        <w:rPr>
          <w:rStyle w:val="FootnoteReference"/>
          <w:noProof/>
        </w:rPr>
        <w:footnoteReference w:id="7"/>
      </w:r>
      <w:r w:rsidR="00135CD4" w:rsidRPr="00676501">
        <w:rPr>
          <w:noProof/>
        </w:rPr>
        <w:t xml:space="preserve"> sa vyžaduje, aby určité veľké podniky, ktoré sú subjektmi verejného záujmu, alebo subjekty verejného záujmu, ktoré sú materskými podnikmi veľkej skupiny, zahrnuli do svojej správy</w:t>
      </w:r>
      <w:r w:rsidR="00DA0692">
        <w:rPr>
          <w:noProof/>
        </w:rPr>
        <w:t xml:space="preserve"> o </w:t>
      </w:r>
      <w:r w:rsidR="00135CD4" w:rsidRPr="00676501">
        <w:rPr>
          <w:noProof/>
        </w:rPr>
        <w:t>hospodárení alebo do konsolidovanej správy</w:t>
      </w:r>
      <w:r w:rsidR="00DA0692">
        <w:rPr>
          <w:noProof/>
        </w:rPr>
        <w:t xml:space="preserve"> o </w:t>
      </w:r>
      <w:r w:rsidR="00135CD4" w:rsidRPr="00676501">
        <w:rPr>
          <w:noProof/>
        </w:rPr>
        <w:t>hospodárení informácie</w:t>
      </w:r>
      <w:r w:rsidR="00DA0692">
        <w:rPr>
          <w:noProof/>
        </w:rPr>
        <w:t xml:space="preserve"> o </w:t>
      </w:r>
      <w:r w:rsidR="00135CD4" w:rsidRPr="00676501">
        <w:rPr>
          <w:noProof/>
        </w:rPr>
        <w:t>vplyve svojej činnosti na environmentálne, sociálne</w:t>
      </w:r>
      <w:r w:rsidR="00DA0692">
        <w:rPr>
          <w:noProof/>
        </w:rPr>
        <w:t xml:space="preserve"> a </w:t>
      </w:r>
      <w:r w:rsidR="00135CD4" w:rsidRPr="00676501">
        <w:rPr>
          <w:noProof/>
        </w:rPr>
        <w:t>zamestnanecké záležitosti, dodržiavanie ľudských práv</w:t>
      </w:r>
      <w:r w:rsidR="00DA0692">
        <w:rPr>
          <w:noProof/>
        </w:rPr>
        <w:t xml:space="preserve"> a </w:t>
      </w:r>
      <w:r w:rsidR="00135CD4" w:rsidRPr="00676501">
        <w:rPr>
          <w:noProof/>
        </w:rPr>
        <w:t>boj proti korupcii</w:t>
      </w:r>
      <w:r w:rsidR="00DA0692">
        <w:rPr>
          <w:noProof/>
        </w:rPr>
        <w:t xml:space="preserve"> a </w:t>
      </w:r>
      <w:r w:rsidR="00135CD4" w:rsidRPr="00676501">
        <w:rPr>
          <w:noProof/>
        </w:rPr>
        <w:t>úplatkárstvu. Táto povinnosť sa však nevzťahuje na ostatné podniky.</w:t>
      </w:r>
      <w:r w:rsidR="00DA0692">
        <w:rPr>
          <w:noProof/>
        </w:rPr>
        <w:t xml:space="preserve"> V </w:t>
      </w:r>
      <w:r w:rsidR="00135CD4" w:rsidRPr="00676501">
        <w:rPr>
          <w:noProof/>
        </w:rPr>
        <w:t>dôsledku toho sa od podnikov, na ktoré sa nevzťahujú články 19a</w:t>
      </w:r>
      <w:r w:rsidR="00DA0692">
        <w:rPr>
          <w:noProof/>
        </w:rPr>
        <w:t xml:space="preserve"> a </w:t>
      </w:r>
      <w:r w:rsidR="00135CD4" w:rsidRPr="00676501">
        <w:rPr>
          <w:noProof/>
        </w:rPr>
        <w:t>29a smernice 2013/34/EÚ, nevyžaduje, aby zverejňovali takéto informácie,</w:t>
      </w:r>
      <w:r w:rsidR="00DA0692">
        <w:rPr>
          <w:noProof/>
        </w:rPr>
        <w:t xml:space="preserve"> a </w:t>
      </w:r>
      <w:r w:rsidR="00135CD4" w:rsidRPr="00676501">
        <w:rPr>
          <w:noProof/>
        </w:rPr>
        <w:t>nemusia byť schopné poskytnúť takéto informácie inštitúciám. Od podnikov, ktoré sú protistranami inštitúcií, teda možno očakávať, že tieto informácie</w:t>
      </w:r>
      <w:r w:rsidR="00DA0692">
        <w:rPr>
          <w:noProof/>
        </w:rPr>
        <w:t xml:space="preserve"> a </w:t>
      </w:r>
      <w:r w:rsidR="00135CD4" w:rsidRPr="00676501">
        <w:rPr>
          <w:noProof/>
        </w:rPr>
        <w:t>údaje poskytnú len dobrovoľne. Napriek tomu je vhodné poskytnúť týmto podnikom usmernenie týkajúce sa výpočtu percentuálneho podielu expozícií voči činnostiam, ktoré sú environmentálne udržateľnými hospodárskymi činnosťami, ako sa uvádza</w:t>
      </w:r>
      <w:r w:rsidR="00DA0692">
        <w:rPr>
          <w:noProof/>
        </w:rPr>
        <w:t xml:space="preserve"> v </w:t>
      </w:r>
      <w:r w:rsidR="00135CD4" w:rsidRPr="00676501">
        <w:rPr>
          <w:noProof/>
        </w:rPr>
        <w:t>článku 3 nariadenia (EÚ) 2020/852, aby sa uvedené informácie</w:t>
      </w:r>
      <w:r w:rsidR="00DA0692">
        <w:rPr>
          <w:noProof/>
        </w:rPr>
        <w:t xml:space="preserve"> a </w:t>
      </w:r>
      <w:r w:rsidR="00135CD4" w:rsidRPr="00676501">
        <w:rPr>
          <w:noProof/>
        </w:rPr>
        <w:t>údaje mohli predkladať</w:t>
      </w:r>
      <w:r w:rsidR="00DA0692">
        <w:rPr>
          <w:noProof/>
        </w:rPr>
        <w:t xml:space="preserve"> v </w:t>
      </w:r>
      <w:r w:rsidR="00135CD4" w:rsidRPr="00676501">
        <w:rPr>
          <w:noProof/>
        </w:rPr>
        <w:t>štandardizovanom</w:t>
      </w:r>
      <w:r w:rsidR="00DA0692">
        <w:rPr>
          <w:noProof/>
        </w:rPr>
        <w:t xml:space="preserve"> a </w:t>
      </w:r>
      <w:r w:rsidR="00135CD4" w:rsidRPr="00676501">
        <w:rPr>
          <w:noProof/>
        </w:rPr>
        <w:t>porovnateľnom formáte. Ak sa uvedené informácie</w:t>
      </w:r>
      <w:r w:rsidR="00DA0692">
        <w:rPr>
          <w:noProof/>
        </w:rPr>
        <w:t xml:space="preserve"> a </w:t>
      </w:r>
      <w:r w:rsidR="00135CD4" w:rsidRPr="00676501">
        <w:rPr>
          <w:noProof/>
        </w:rPr>
        <w:t>údaje neposkytnú dobrovoľne, inštitúcie by mali mať možnosť vypočítať percentuálny podiel expozícií zosúladených</w:t>
      </w:r>
      <w:r w:rsidR="00DA0692">
        <w:rPr>
          <w:noProof/>
        </w:rPr>
        <w:t xml:space="preserve"> s </w:t>
      </w:r>
      <w:r w:rsidR="00135CD4" w:rsidRPr="00676501">
        <w:rPr>
          <w:noProof/>
        </w:rPr>
        <w:t>taxonómiou použitím odhadov alebo zástupných údajov.</w:t>
      </w:r>
    </w:p>
    <w:p w:rsidR="00921483" w:rsidRPr="00676501" w:rsidRDefault="00951EAF" w:rsidP="00951EAF">
      <w:pPr>
        <w:pStyle w:val="ManualConsidrant"/>
        <w:rPr>
          <w:noProof/>
        </w:rPr>
      </w:pPr>
      <w:r w:rsidRPr="00951EAF">
        <w:t>(5)</w:t>
      </w:r>
      <w:r w:rsidRPr="00951EAF">
        <w:tab/>
      </w:r>
      <w:r w:rsidR="00A97285" w:rsidRPr="00676501">
        <w:rPr>
          <w:noProof/>
        </w:rPr>
        <w:t>V článku 449a nariadenia (EÚ) č. 575/2013 sa vyžaduje, aby sa informácie</w:t>
      </w:r>
      <w:r w:rsidR="00DA0692">
        <w:rPr>
          <w:noProof/>
        </w:rPr>
        <w:t xml:space="preserve"> o </w:t>
      </w:r>
      <w:r w:rsidR="00A97285" w:rsidRPr="00676501">
        <w:rPr>
          <w:noProof/>
        </w:rPr>
        <w:t>rizikách ESG zverejňovali od 28. júna 2022 raz ročne za prvý rok</w:t>
      </w:r>
      <w:r w:rsidR="00DA0692">
        <w:rPr>
          <w:noProof/>
        </w:rPr>
        <w:t xml:space="preserve"> a </w:t>
      </w:r>
      <w:r w:rsidR="00A97285" w:rsidRPr="00676501">
        <w:rPr>
          <w:noProof/>
        </w:rPr>
        <w:t>potom dvakrát ročne.</w:t>
      </w:r>
      <w:r w:rsidR="00DA0692">
        <w:rPr>
          <w:noProof/>
        </w:rPr>
        <w:t xml:space="preserve"> Z </w:t>
      </w:r>
      <w:r w:rsidR="00A97285" w:rsidRPr="00676501">
        <w:rPr>
          <w:noProof/>
        </w:rPr>
        <w:t>týchto dôvodov by sa prvý referenčný dátum každoročného zverejňovania informácií mal stanoviť na 31. decembra 2022.</w:t>
      </w:r>
    </w:p>
    <w:p w:rsidR="00ED20D7" w:rsidRPr="00676501" w:rsidRDefault="00951EAF" w:rsidP="00951EAF">
      <w:pPr>
        <w:pStyle w:val="ManualConsidrant"/>
        <w:rPr>
          <w:noProof/>
        </w:rPr>
      </w:pPr>
      <w:r w:rsidRPr="00951EAF">
        <w:t>(6)</w:t>
      </w:r>
      <w:r w:rsidRPr="00951EAF">
        <w:tab/>
      </w:r>
      <w:r w:rsidR="00410340" w:rsidRPr="00676501">
        <w:rPr>
          <w:noProof/>
        </w:rPr>
        <w:t>Toto nariadenie vychádza</w:t>
      </w:r>
      <w:r w:rsidR="00DA0692">
        <w:rPr>
          <w:noProof/>
        </w:rPr>
        <w:t xml:space="preserve"> z </w:t>
      </w:r>
      <w:r w:rsidR="00410340" w:rsidRPr="00676501">
        <w:rPr>
          <w:noProof/>
        </w:rPr>
        <w:t xml:space="preserve">návrhu vykonávacích technických predpisov, ktorý Komisii predložil Európsky orgán pre bankovníctvo. </w:t>
      </w:r>
    </w:p>
    <w:p w:rsidR="00410340" w:rsidRPr="00676501" w:rsidRDefault="00951EAF" w:rsidP="00951EAF">
      <w:pPr>
        <w:pStyle w:val="ManualConsidrant"/>
        <w:rPr>
          <w:noProof/>
        </w:rPr>
      </w:pPr>
      <w:r w:rsidRPr="00951EAF">
        <w:t>(7)</w:t>
      </w:r>
      <w:r w:rsidRPr="00951EAF">
        <w:tab/>
      </w:r>
      <w:r w:rsidR="00ED20D7" w:rsidRPr="00676501">
        <w:rPr>
          <w:noProof/>
        </w:rPr>
        <w:t>Európsky orgán pre bankovníctvo vykonal otvorené verejné konzultácie</w:t>
      </w:r>
      <w:r w:rsidR="00DA0692">
        <w:rPr>
          <w:noProof/>
        </w:rPr>
        <w:t xml:space="preserve"> k </w:t>
      </w:r>
      <w:r w:rsidR="00ED20D7" w:rsidRPr="00676501">
        <w:rPr>
          <w:noProof/>
        </w:rPr>
        <w:t>návrhu vykonávacích technických predpisov,</w:t>
      </w:r>
      <w:r w:rsidR="00DA0692">
        <w:rPr>
          <w:noProof/>
        </w:rPr>
        <w:t xml:space="preserve"> z </w:t>
      </w:r>
      <w:r w:rsidR="00ED20D7" w:rsidRPr="00676501">
        <w:rPr>
          <w:noProof/>
        </w:rPr>
        <w:t>ktorého vychádza toto nariadenie, analyzoval možné súvisiace náklady</w:t>
      </w:r>
      <w:r w:rsidR="00DA0692">
        <w:rPr>
          <w:noProof/>
        </w:rPr>
        <w:t xml:space="preserve"> a </w:t>
      </w:r>
      <w:r w:rsidR="00ED20D7" w:rsidRPr="00676501">
        <w:rPr>
          <w:noProof/>
        </w:rPr>
        <w:t>prínosy</w:t>
      </w:r>
      <w:r w:rsidR="00DA0692">
        <w:rPr>
          <w:noProof/>
        </w:rPr>
        <w:t xml:space="preserve"> a </w:t>
      </w:r>
      <w:r w:rsidR="00ED20D7" w:rsidRPr="00676501">
        <w:rPr>
          <w:noProof/>
        </w:rPr>
        <w:t>požiadal</w:t>
      </w:r>
      <w:r w:rsidR="00DA0692">
        <w:rPr>
          <w:noProof/>
        </w:rPr>
        <w:t xml:space="preserve"> o </w:t>
      </w:r>
      <w:r w:rsidR="00ED20D7" w:rsidRPr="00676501">
        <w:rPr>
          <w:noProof/>
        </w:rPr>
        <w:t>poradenstvo Skupinu zainteresovaných strán</w:t>
      </w:r>
      <w:r w:rsidR="00DA0692">
        <w:rPr>
          <w:noProof/>
        </w:rPr>
        <w:t xml:space="preserve"> v </w:t>
      </w:r>
      <w:r w:rsidR="00ED20D7" w:rsidRPr="00676501">
        <w:rPr>
          <w:noProof/>
        </w:rPr>
        <w:t>bankovníctve vytvorenú</w:t>
      </w:r>
      <w:r w:rsidR="00DA0692">
        <w:rPr>
          <w:noProof/>
        </w:rPr>
        <w:t xml:space="preserve"> v </w:t>
      </w:r>
      <w:r w:rsidR="00ED20D7" w:rsidRPr="00676501">
        <w:rPr>
          <w:noProof/>
        </w:rPr>
        <w:t>súlade</w:t>
      </w:r>
      <w:r w:rsidR="00DA0692">
        <w:rPr>
          <w:noProof/>
        </w:rPr>
        <w:t xml:space="preserve"> s </w:t>
      </w:r>
      <w:r w:rsidR="00ED20D7" w:rsidRPr="00676501">
        <w:rPr>
          <w:noProof/>
        </w:rPr>
        <w:t>článkom 37 nariadenia Európskeho parlamentu</w:t>
      </w:r>
      <w:r w:rsidR="00DA0692">
        <w:rPr>
          <w:noProof/>
        </w:rPr>
        <w:t xml:space="preserve"> a </w:t>
      </w:r>
      <w:r w:rsidR="00ED20D7" w:rsidRPr="00676501">
        <w:rPr>
          <w:noProof/>
        </w:rPr>
        <w:t>Rady (EÚ) č. 1093/2010</w:t>
      </w:r>
      <w:r w:rsidR="00ED20D7" w:rsidRPr="00676501">
        <w:rPr>
          <w:rStyle w:val="FootnoteReference"/>
          <w:noProof/>
        </w:rPr>
        <w:footnoteReference w:id="8"/>
      </w:r>
      <w:r w:rsidR="00ED20D7" w:rsidRPr="00676501">
        <w:rPr>
          <w:noProof/>
        </w:rPr>
        <w:t>.</w:t>
      </w:r>
    </w:p>
    <w:p w:rsidR="00410340" w:rsidRPr="00676501" w:rsidRDefault="00951EAF" w:rsidP="00951EAF">
      <w:pPr>
        <w:pStyle w:val="ManualConsidrant"/>
        <w:rPr>
          <w:noProof/>
        </w:rPr>
      </w:pPr>
      <w:r w:rsidRPr="00951EAF">
        <w:t>(8)</w:t>
      </w:r>
      <w:r w:rsidRPr="00951EAF">
        <w:tab/>
      </w:r>
      <w:r w:rsidR="00410340" w:rsidRPr="00676501">
        <w:rPr>
          <w:noProof/>
        </w:rPr>
        <w:t xml:space="preserve">Vykonávacie nariadenie (EÚ) </w:t>
      </w:r>
      <w:r w:rsidR="00410340" w:rsidRPr="00676501">
        <w:rPr>
          <w:noProof/>
          <w:sz w:val="22"/>
        </w:rPr>
        <w:t>2021/637</w:t>
      </w:r>
      <w:r w:rsidR="00410340" w:rsidRPr="00676501">
        <w:rPr>
          <w:noProof/>
        </w:rPr>
        <w:t xml:space="preserve"> by sa preto malo zodpovedajúcim spôsobom zmeniť,</w:t>
      </w:r>
    </w:p>
    <w:p w:rsidR="003C122C" w:rsidRPr="00676501" w:rsidRDefault="003C122C" w:rsidP="004E1EF9">
      <w:pPr>
        <w:pStyle w:val="Formuledadoption"/>
        <w:rPr>
          <w:noProof/>
          <w:szCs w:val="24"/>
        </w:rPr>
      </w:pPr>
      <w:r w:rsidRPr="00676501">
        <w:rPr>
          <w:noProof/>
        </w:rPr>
        <w:t>PRIJALA TOTO NARIADENIE:</w:t>
      </w:r>
    </w:p>
    <w:p w:rsidR="003C122C" w:rsidRPr="00676501" w:rsidRDefault="003C122C" w:rsidP="004E1EF9">
      <w:pPr>
        <w:pStyle w:val="Titrearticle"/>
        <w:rPr>
          <w:noProof/>
          <w:szCs w:val="24"/>
        </w:rPr>
      </w:pPr>
      <w:r w:rsidRPr="00676501">
        <w:rPr>
          <w:noProof/>
        </w:rPr>
        <w:t>Článok 1</w:t>
      </w:r>
    </w:p>
    <w:p w:rsidR="007F4F83" w:rsidRPr="00676501" w:rsidRDefault="007F4F83" w:rsidP="00D00193">
      <w:pPr>
        <w:pStyle w:val="Titrearticle"/>
        <w:spacing w:before="120"/>
        <w:rPr>
          <w:b/>
          <w:i w:val="0"/>
          <w:noProof/>
          <w:szCs w:val="24"/>
        </w:rPr>
      </w:pPr>
      <w:r w:rsidRPr="00676501">
        <w:rPr>
          <w:b/>
          <w:i w:val="0"/>
          <w:noProof/>
        </w:rPr>
        <w:t>Zmeny vykonávacieho nariadenia (EÚ) 2021/637</w:t>
      </w:r>
    </w:p>
    <w:p w:rsidR="007F4F83" w:rsidRPr="00676501" w:rsidRDefault="007F4F83" w:rsidP="007F4F83">
      <w:pPr>
        <w:pStyle w:val="Titrearticle"/>
        <w:jc w:val="left"/>
        <w:rPr>
          <w:rFonts w:eastAsiaTheme="minorEastAsia"/>
          <w:i w:val="0"/>
          <w:noProof/>
          <w:szCs w:val="24"/>
        </w:rPr>
      </w:pPr>
      <w:r w:rsidRPr="00676501">
        <w:rPr>
          <w:i w:val="0"/>
          <w:noProof/>
        </w:rPr>
        <w:t>Vykonávacie nariadenie (EÚ) 2021/637 sa mení takto:</w:t>
      </w:r>
    </w:p>
    <w:p w:rsidR="007F4F83" w:rsidRPr="00676501" w:rsidRDefault="00DA0692" w:rsidP="00DA0692">
      <w:pPr>
        <w:pStyle w:val="Point0"/>
        <w:rPr>
          <w:noProof/>
        </w:rPr>
      </w:pPr>
      <w:r>
        <w:rPr>
          <w:noProof/>
        </w:rPr>
        <w:t>1.</w:t>
      </w:r>
      <w:r>
        <w:rPr>
          <w:noProof/>
        </w:rPr>
        <w:tab/>
      </w:r>
      <w:r w:rsidR="007F4F83" w:rsidRPr="00676501">
        <w:rPr>
          <w:noProof/>
        </w:rPr>
        <w:t>Vkladá sa tento článok 18a:</w:t>
      </w:r>
    </w:p>
    <w:p w:rsidR="007F4F83" w:rsidRPr="00676501" w:rsidRDefault="006542E5" w:rsidP="004046D9">
      <w:pPr>
        <w:pStyle w:val="Titrearticle"/>
        <w:spacing w:before="120"/>
        <w:ind w:left="567" w:right="568"/>
        <w:rPr>
          <w:noProof/>
        </w:rPr>
      </w:pPr>
      <w:r w:rsidRPr="00676501">
        <w:rPr>
          <w:noProof/>
        </w:rPr>
        <w:t>„Článok 18a</w:t>
      </w:r>
    </w:p>
    <w:p w:rsidR="007F4F83" w:rsidRPr="00676501" w:rsidRDefault="007F4F83" w:rsidP="004046D9">
      <w:pPr>
        <w:pStyle w:val="Titrearticle"/>
        <w:spacing w:before="120"/>
        <w:ind w:left="567" w:right="568"/>
        <w:rPr>
          <w:b/>
          <w:i w:val="0"/>
          <w:noProof/>
        </w:rPr>
      </w:pPr>
      <w:r w:rsidRPr="00676501">
        <w:rPr>
          <w:b/>
          <w:i w:val="0"/>
          <w:noProof/>
        </w:rPr>
        <w:t>Zverejňovanie informácií</w:t>
      </w:r>
      <w:r w:rsidR="00DA0692">
        <w:rPr>
          <w:b/>
          <w:i w:val="0"/>
          <w:noProof/>
        </w:rPr>
        <w:t xml:space="preserve"> o </w:t>
      </w:r>
      <w:r w:rsidRPr="00676501">
        <w:rPr>
          <w:b/>
          <w:i w:val="0"/>
          <w:noProof/>
        </w:rPr>
        <w:t>rizikách environmentálneho, sociálneho</w:t>
      </w:r>
      <w:r w:rsidR="00DA0692">
        <w:rPr>
          <w:b/>
          <w:i w:val="0"/>
          <w:noProof/>
        </w:rPr>
        <w:t xml:space="preserve"> a </w:t>
      </w:r>
      <w:r w:rsidRPr="00676501">
        <w:rPr>
          <w:b/>
          <w:i w:val="0"/>
          <w:noProof/>
        </w:rPr>
        <w:t>správneho dosahu („riziká ESG“)</w:t>
      </w:r>
    </w:p>
    <w:p w:rsidR="007F4F83" w:rsidRPr="00676501" w:rsidRDefault="00951EAF" w:rsidP="00951EAF">
      <w:pPr>
        <w:pStyle w:val="ManualNumPar1"/>
        <w:rPr>
          <w:noProof/>
        </w:rPr>
      </w:pPr>
      <w:r w:rsidRPr="00951EAF">
        <w:t>1.</w:t>
      </w:r>
      <w:r w:rsidRPr="00951EAF">
        <w:tab/>
      </w:r>
      <w:r w:rsidR="007F4F83" w:rsidRPr="00676501">
        <w:rPr>
          <w:noProof/>
        </w:rPr>
        <w:t>Inštitúcie zverejňujú informácie uvedené</w:t>
      </w:r>
      <w:r w:rsidR="00DA0692">
        <w:rPr>
          <w:noProof/>
        </w:rPr>
        <w:t xml:space="preserve"> v </w:t>
      </w:r>
      <w:r w:rsidR="007F4F83" w:rsidRPr="00676501">
        <w:rPr>
          <w:noProof/>
        </w:rPr>
        <w:t>článku 449a nariadenia (EÚ) č. 575/2013 takto:</w:t>
      </w:r>
    </w:p>
    <w:p w:rsidR="002D1236" w:rsidRPr="00676501" w:rsidRDefault="00DA0692" w:rsidP="00DA0692">
      <w:pPr>
        <w:pStyle w:val="Point1"/>
        <w:rPr>
          <w:noProof/>
        </w:rPr>
      </w:pPr>
      <w:r>
        <w:rPr>
          <w:noProof/>
        </w:rPr>
        <w:t>a)</w:t>
      </w:r>
      <w:r>
        <w:rPr>
          <w:noProof/>
        </w:rPr>
        <w:tab/>
      </w:r>
      <w:r w:rsidR="002D1236" w:rsidRPr="00676501">
        <w:rPr>
          <w:noProof/>
        </w:rPr>
        <w:t>kvalitatívne informácie</w:t>
      </w:r>
      <w:r>
        <w:rPr>
          <w:noProof/>
        </w:rPr>
        <w:t xml:space="preserve"> o </w:t>
      </w:r>
      <w:r w:rsidR="002D1236" w:rsidRPr="00676501">
        <w:rPr>
          <w:noProof/>
        </w:rPr>
        <w:t>rizikách environmentálneho, sociálneho</w:t>
      </w:r>
      <w:r>
        <w:rPr>
          <w:noProof/>
        </w:rPr>
        <w:t xml:space="preserve"> a </w:t>
      </w:r>
      <w:r w:rsidR="002D1236" w:rsidRPr="00676501">
        <w:rPr>
          <w:noProof/>
        </w:rPr>
        <w:t>správneho dosahu</w:t>
      </w:r>
      <w:r>
        <w:rPr>
          <w:noProof/>
        </w:rPr>
        <w:t xml:space="preserve"> s </w:t>
      </w:r>
      <w:r w:rsidR="002D1236" w:rsidRPr="00676501">
        <w:rPr>
          <w:noProof/>
        </w:rPr>
        <w:t>použitím tabuliek 1, 2</w:t>
      </w:r>
      <w:r>
        <w:rPr>
          <w:noProof/>
        </w:rPr>
        <w:t xml:space="preserve"> a </w:t>
      </w:r>
      <w:r w:rsidR="002D1236" w:rsidRPr="00676501">
        <w:rPr>
          <w:noProof/>
        </w:rPr>
        <w:t>3 prílohy XXXIX</w:t>
      </w:r>
      <w:r>
        <w:rPr>
          <w:noProof/>
        </w:rPr>
        <w:t xml:space="preserve"> k </w:t>
      </w:r>
      <w:r w:rsidR="002D1236" w:rsidRPr="00676501">
        <w:rPr>
          <w:noProof/>
        </w:rPr>
        <w:t>tomuto nariadeniu</w:t>
      </w:r>
      <w:r>
        <w:rPr>
          <w:noProof/>
        </w:rPr>
        <w:t xml:space="preserve"> a </w:t>
      </w:r>
      <w:r w:rsidR="002D1236" w:rsidRPr="00676501">
        <w:rPr>
          <w:noProof/>
        </w:rPr>
        <w:t>podľa pokynov stanovených</w:t>
      </w:r>
      <w:r>
        <w:rPr>
          <w:noProof/>
        </w:rPr>
        <w:t xml:space="preserve"> v </w:t>
      </w:r>
      <w:r w:rsidR="002D1236" w:rsidRPr="00676501">
        <w:rPr>
          <w:noProof/>
        </w:rPr>
        <w:t>prílohe XL</w:t>
      </w:r>
      <w:r>
        <w:rPr>
          <w:noProof/>
        </w:rPr>
        <w:t xml:space="preserve"> k </w:t>
      </w:r>
      <w:r w:rsidR="002D1236" w:rsidRPr="00676501">
        <w:rPr>
          <w:noProof/>
        </w:rPr>
        <w:t>tomuto nariadeniu;</w:t>
      </w:r>
    </w:p>
    <w:p w:rsidR="002D1236" w:rsidRPr="00676501" w:rsidRDefault="00DA0692" w:rsidP="00DA0692">
      <w:pPr>
        <w:pStyle w:val="Point1"/>
        <w:rPr>
          <w:noProof/>
        </w:rPr>
      </w:pPr>
      <w:r>
        <w:rPr>
          <w:noProof/>
        </w:rPr>
        <w:t>b)</w:t>
      </w:r>
      <w:r>
        <w:rPr>
          <w:noProof/>
        </w:rPr>
        <w:tab/>
      </w:r>
      <w:r w:rsidR="002D1236" w:rsidRPr="00676501">
        <w:rPr>
          <w:noProof/>
        </w:rPr>
        <w:t>kvantitatívne informácie</w:t>
      </w:r>
      <w:r>
        <w:rPr>
          <w:noProof/>
        </w:rPr>
        <w:t xml:space="preserve"> o </w:t>
      </w:r>
      <w:r w:rsidR="002D1236" w:rsidRPr="00676501">
        <w:rPr>
          <w:noProof/>
        </w:rPr>
        <w:t>prechodných rizikách súvisiacich so zmenou klímy</w:t>
      </w:r>
      <w:r>
        <w:rPr>
          <w:noProof/>
        </w:rPr>
        <w:t xml:space="preserve"> s </w:t>
      </w:r>
      <w:r w:rsidR="002D1236" w:rsidRPr="00676501">
        <w:rPr>
          <w:noProof/>
        </w:rPr>
        <w:t>použitím vzorov 1 až 4 prílohy XXXIX</w:t>
      </w:r>
      <w:r>
        <w:rPr>
          <w:noProof/>
        </w:rPr>
        <w:t xml:space="preserve"> k </w:t>
      </w:r>
      <w:r w:rsidR="002D1236" w:rsidRPr="00676501">
        <w:rPr>
          <w:noProof/>
        </w:rPr>
        <w:t>tomuto nariadeniu</w:t>
      </w:r>
      <w:r>
        <w:rPr>
          <w:noProof/>
        </w:rPr>
        <w:t xml:space="preserve"> a </w:t>
      </w:r>
      <w:r w:rsidR="002D1236" w:rsidRPr="00676501">
        <w:rPr>
          <w:noProof/>
        </w:rPr>
        <w:t>podľa pokynov stanovených</w:t>
      </w:r>
      <w:r>
        <w:rPr>
          <w:noProof/>
        </w:rPr>
        <w:t xml:space="preserve"> v </w:t>
      </w:r>
      <w:r w:rsidR="002D1236" w:rsidRPr="00676501">
        <w:rPr>
          <w:noProof/>
        </w:rPr>
        <w:t>prílohe XL</w:t>
      </w:r>
      <w:r>
        <w:rPr>
          <w:noProof/>
        </w:rPr>
        <w:t xml:space="preserve"> k </w:t>
      </w:r>
      <w:r w:rsidR="002D1236" w:rsidRPr="00676501">
        <w:rPr>
          <w:noProof/>
        </w:rPr>
        <w:t>tomuto nariadeniu;</w:t>
      </w:r>
    </w:p>
    <w:p w:rsidR="002D1236" w:rsidRPr="00676501" w:rsidRDefault="00DA0692" w:rsidP="00DA0692">
      <w:pPr>
        <w:pStyle w:val="Point1"/>
        <w:rPr>
          <w:noProof/>
        </w:rPr>
      </w:pPr>
      <w:r>
        <w:rPr>
          <w:noProof/>
        </w:rPr>
        <w:t>c)</w:t>
      </w:r>
      <w:r>
        <w:rPr>
          <w:noProof/>
        </w:rPr>
        <w:tab/>
      </w:r>
      <w:r w:rsidR="002D1236" w:rsidRPr="00676501">
        <w:rPr>
          <w:noProof/>
        </w:rPr>
        <w:t>kvantitatívne informácie</w:t>
      </w:r>
      <w:r>
        <w:rPr>
          <w:noProof/>
        </w:rPr>
        <w:t xml:space="preserve"> o </w:t>
      </w:r>
      <w:r w:rsidR="002D1236" w:rsidRPr="00676501">
        <w:rPr>
          <w:noProof/>
        </w:rPr>
        <w:t>fyzických rizikách súvisiacich so zmenou klímy</w:t>
      </w:r>
      <w:r>
        <w:rPr>
          <w:noProof/>
        </w:rPr>
        <w:t xml:space="preserve"> s </w:t>
      </w:r>
      <w:r w:rsidR="002D1236" w:rsidRPr="00676501">
        <w:rPr>
          <w:noProof/>
        </w:rPr>
        <w:t>použitím vzoru 5 prílohy XXXIX</w:t>
      </w:r>
      <w:r>
        <w:rPr>
          <w:noProof/>
        </w:rPr>
        <w:t xml:space="preserve"> k </w:t>
      </w:r>
      <w:r w:rsidR="002D1236" w:rsidRPr="00676501">
        <w:rPr>
          <w:noProof/>
        </w:rPr>
        <w:t>tomuto nariadeniu</w:t>
      </w:r>
      <w:r>
        <w:rPr>
          <w:noProof/>
        </w:rPr>
        <w:t xml:space="preserve"> a </w:t>
      </w:r>
      <w:r w:rsidR="002D1236" w:rsidRPr="00676501">
        <w:rPr>
          <w:noProof/>
        </w:rPr>
        <w:t>podľa pokynov stanovených</w:t>
      </w:r>
      <w:r>
        <w:rPr>
          <w:noProof/>
        </w:rPr>
        <w:t xml:space="preserve"> v </w:t>
      </w:r>
      <w:r w:rsidR="002D1236" w:rsidRPr="00676501">
        <w:rPr>
          <w:noProof/>
        </w:rPr>
        <w:t>prílohe XL</w:t>
      </w:r>
      <w:r>
        <w:rPr>
          <w:noProof/>
        </w:rPr>
        <w:t xml:space="preserve"> k </w:t>
      </w:r>
      <w:r w:rsidR="002D1236" w:rsidRPr="00676501">
        <w:rPr>
          <w:noProof/>
        </w:rPr>
        <w:t>tomuto nariadeniu;</w:t>
      </w:r>
    </w:p>
    <w:p w:rsidR="002D1236" w:rsidRPr="00676501" w:rsidRDefault="00DA0692" w:rsidP="00DA0692">
      <w:pPr>
        <w:pStyle w:val="Point1"/>
        <w:rPr>
          <w:noProof/>
        </w:rPr>
      </w:pPr>
      <w:r>
        <w:rPr>
          <w:noProof/>
        </w:rPr>
        <w:t>d)</w:t>
      </w:r>
      <w:r>
        <w:rPr>
          <w:noProof/>
        </w:rPr>
        <w:tab/>
      </w:r>
      <w:r w:rsidR="002D1236" w:rsidRPr="00676501">
        <w:rPr>
          <w:noProof/>
        </w:rPr>
        <w:t>kvantitatívne informácie</w:t>
      </w:r>
      <w:r>
        <w:rPr>
          <w:noProof/>
        </w:rPr>
        <w:t xml:space="preserve"> o </w:t>
      </w:r>
      <w:r w:rsidR="002D1236" w:rsidRPr="00676501">
        <w:rPr>
          <w:noProof/>
        </w:rPr>
        <w:t>zmierňujúcich opatreniach spojených</w:t>
      </w:r>
      <w:r>
        <w:rPr>
          <w:noProof/>
        </w:rPr>
        <w:t xml:space="preserve"> s </w:t>
      </w:r>
      <w:r w:rsidR="002D1236" w:rsidRPr="00676501">
        <w:rPr>
          <w:noProof/>
        </w:rPr>
        <w:t>hospodárskymi činnosťami, ktoré sa podľa článku 3 nariadenia Európskeho parlamentu</w:t>
      </w:r>
      <w:r>
        <w:rPr>
          <w:noProof/>
        </w:rPr>
        <w:t xml:space="preserve"> a </w:t>
      </w:r>
      <w:r w:rsidR="002D1236" w:rsidRPr="00676501">
        <w:rPr>
          <w:noProof/>
        </w:rPr>
        <w:t>Rady (EÚ) 2020/852*1 označujú ako environmentálne udržateľné voči protistranám, na ktoré sa vzťahujú články 19a alebo 29a smernice Európskeho parlamentu</w:t>
      </w:r>
      <w:r>
        <w:rPr>
          <w:noProof/>
        </w:rPr>
        <w:t xml:space="preserve"> a </w:t>
      </w:r>
      <w:r w:rsidR="002D1236" w:rsidRPr="00676501">
        <w:rPr>
          <w:noProof/>
        </w:rPr>
        <w:t xml:space="preserve">Rady 2013/34/EÚ *2, </w:t>
      </w:r>
      <w:bookmarkStart w:id="1" w:name="_Hlk92470586"/>
      <w:r w:rsidR="002D1236" w:rsidRPr="00676501">
        <w:rPr>
          <w:noProof/>
        </w:rPr>
        <w:t>voči domácnostiam</w:t>
      </w:r>
      <w:r>
        <w:rPr>
          <w:noProof/>
        </w:rPr>
        <w:t xml:space="preserve"> a </w:t>
      </w:r>
      <w:r w:rsidR="002D1236" w:rsidRPr="00676501">
        <w:rPr>
          <w:noProof/>
        </w:rPr>
        <w:t>miestnym samosprávam,</w:t>
      </w:r>
      <w:bookmarkEnd w:id="1"/>
      <w:r w:rsidR="002D1236" w:rsidRPr="00676501">
        <w:rPr>
          <w:noProof/>
        </w:rPr>
        <w:t xml:space="preserve"> ako sa uvádza</w:t>
      </w:r>
      <w:r>
        <w:rPr>
          <w:noProof/>
        </w:rPr>
        <w:t xml:space="preserve"> v </w:t>
      </w:r>
      <w:r w:rsidR="002D1236" w:rsidRPr="00676501">
        <w:rPr>
          <w:noProof/>
        </w:rPr>
        <w:t>časti 1 bode 42 písm. b) prílohy</w:t>
      </w:r>
      <w:r>
        <w:rPr>
          <w:noProof/>
        </w:rPr>
        <w:t xml:space="preserve"> V k </w:t>
      </w:r>
      <w:r w:rsidR="002D1236" w:rsidRPr="00676501">
        <w:rPr>
          <w:noProof/>
        </w:rPr>
        <w:t>vykonávaciemu nariadeniu Komisie (EÚ) 2021/451*3,</w:t>
      </w:r>
      <w:r>
        <w:rPr>
          <w:noProof/>
        </w:rPr>
        <w:t xml:space="preserve"> s </w:t>
      </w:r>
      <w:r w:rsidR="002D1236" w:rsidRPr="00676501">
        <w:rPr>
          <w:noProof/>
        </w:rPr>
        <w:t>použitím vzorov 6, 7</w:t>
      </w:r>
      <w:r>
        <w:rPr>
          <w:noProof/>
        </w:rPr>
        <w:t xml:space="preserve"> a </w:t>
      </w:r>
      <w:r w:rsidR="002D1236" w:rsidRPr="00676501">
        <w:rPr>
          <w:noProof/>
        </w:rPr>
        <w:t>8 prílohy XXXIX</w:t>
      </w:r>
      <w:r>
        <w:rPr>
          <w:noProof/>
        </w:rPr>
        <w:t xml:space="preserve"> k </w:t>
      </w:r>
      <w:r w:rsidR="002D1236" w:rsidRPr="00676501">
        <w:rPr>
          <w:noProof/>
        </w:rPr>
        <w:t>tomuto nariadeniu</w:t>
      </w:r>
      <w:r>
        <w:rPr>
          <w:noProof/>
        </w:rPr>
        <w:t xml:space="preserve"> a </w:t>
      </w:r>
      <w:r w:rsidR="002D1236" w:rsidRPr="00676501">
        <w:rPr>
          <w:noProof/>
        </w:rPr>
        <w:t>podľa pokynov stanovených</w:t>
      </w:r>
      <w:r>
        <w:rPr>
          <w:noProof/>
        </w:rPr>
        <w:t xml:space="preserve"> v </w:t>
      </w:r>
      <w:r w:rsidR="002D1236" w:rsidRPr="00676501">
        <w:rPr>
          <w:noProof/>
        </w:rPr>
        <w:t>prílohe XL</w:t>
      </w:r>
      <w:r>
        <w:rPr>
          <w:noProof/>
        </w:rPr>
        <w:t xml:space="preserve"> k </w:t>
      </w:r>
      <w:r w:rsidR="002D1236" w:rsidRPr="00676501">
        <w:rPr>
          <w:noProof/>
        </w:rPr>
        <w:t>tomuto nariadeniu;</w:t>
      </w:r>
    </w:p>
    <w:p w:rsidR="00995098" w:rsidRPr="00676501" w:rsidRDefault="00DA0692" w:rsidP="00DA0692">
      <w:pPr>
        <w:pStyle w:val="Point1"/>
        <w:rPr>
          <w:noProof/>
        </w:rPr>
      </w:pPr>
      <w:r>
        <w:rPr>
          <w:noProof/>
        </w:rPr>
        <w:t>e)</w:t>
      </w:r>
      <w:r>
        <w:rPr>
          <w:noProof/>
        </w:rPr>
        <w:tab/>
      </w:r>
      <w:r w:rsidR="00995098" w:rsidRPr="00676501">
        <w:rPr>
          <w:noProof/>
        </w:rPr>
        <w:t>kvantitatívne informácie</w:t>
      </w:r>
      <w:r>
        <w:rPr>
          <w:noProof/>
        </w:rPr>
        <w:t xml:space="preserve"> o </w:t>
      </w:r>
      <w:r w:rsidR="00995098" w:rsidRPr="00676501">
        <w:rPr>
          <w:noProof/>
        </w:rPr>
        <w:t>iných zmierňujúcich opatreniach</w:t>
      </w:r>
      <w:r>
        <w:rPr>
          <w:noProof/>
        </w:rPr>
        <w:t xml:space="preserve"> a </w:t>
      </w:r>
      <w:r w:rsidR="00995098" w:rsidRPr="00676501">
        <w:rPr>
          <w:noProof/>
        </w:rPr>
        <w:t>expozíciách voči rizikám súvisiacim so zmenou klímy, ktoré sa neoznačujú ako environmentálne udržateľné hospodárske činnosti podľa článku 3 nariadenia (EÚ) 2020/852, ale podporujú protistrany</w:t>
      </w:r>
      <w:r>
        <w:rPr>
          <w:noProof/>
        </w:rPr>
        <w:t xml:space="preserve"> v </w:t>
      </w:r>
      <w:r w:rsidR="00995098" w:rsidRPr="00676501">
        <w:rPr>
          <w:noProof/>
        </w:rPr>
        <w:t>procese prechodu alebo adaptácie</w:t>
      </w:r>
      <w:r>
        <w:rPr>
          <w:noProof/>
        </w:rPr>
        <w:t xml:space="preserve"> v </w:t>
      </w:r>
      <w:r w:rsidR="00995098" w:rsidRPr="00676501">
        <w:rPr>
          <w:noProof/>
        </w:rPr>
        <w:t>záujme cieľov zmierňovania zmeny klímy</w:t>
      </w:r>
      <w:r>
        <w:rPr>
          <w:noProof/>
        </w:rPr>
        <w:t xml:space="preserve"> a </w:t>
      </w:r>
      <w:r w:rsidR="00995098" w:rsidRPr="00676501">
        <w:rPr>
          <w:noProof/>
        </w:rPr>
        <w:t>adaptácie na zmenu klímy</w:t>
      </w:r>
      <w:r>
        <w:rPr>
          <w:noProof/>
        </w:rPr>
        <w:t xml:space="preserve"> s </w:t>
      </w:r>
      <w:r w:rsidR="00995098" w:rsidRPr="00676501">
        <w:rPr>
          <w:noProof/>
        </w:rPr>
        <w:t>použitím vzoru 10 prílohy XXXIX</w:t>
      </w:r>
      <w:r>
        <w:rPr>
          <w:noProof/>
        </w:rPr>
        <w:t xml:space="preserve"> k </w:t>
      </w:r>
      <w:r w:rsidR="00995098" w:rsidRPr="00676501">
        <w:rPr>
          <w:noProof/>
        </w:rPr>
        <w:t>tomuto nariadeniu</w:t>
      </w:r>
      <w:r>
        <w:rPr>
          <w:noProof/>
        </w:rPr>
        <w:t xml:space="preserve"> a </w:t>
      </w:r>
      <w:r w:rsidR="00995098" w:rsidRPr="00676501">
        <w:rPr>
          <w:noProof/>
        </w:rPr>
        <w:t>podľa pokynov uvedených</w:t>
      </w:r>
      <w:r>
        <w:rPr>
          <w:noProof/>
        </w:rPr>
        <w:t xml:space="preserve"> v </w:t>
      </w:r>
      <w:r w:rsidR="00995098" w:rsidRPr="00676501">
        <w:rPr>
          <w:noProof/>
        </w:rPr>
        <w:t>prílohe XL</w:t>
      </w:r>
      <w:r>
        <w:rPr>
          <w:noProof/>
        </w:rPr>
        <w:t xml:space="preserve"> k </w:t>
      </w:r>
      <w:r w:rsidR="00995098" w:rsidRPr="00676501">
        <w:rPr>
          <w:noProof/>
        </w:rPr>
        <w:t>tomuto nariadeniu.</w:t>
      </w:r>
    </w:p>
    <w:p w:rsidR="008D2E23" w:rsidRPr="00676501" w:rsidRDefault="00951EAF" w:rsidP="00951EAF">
      <w:pPr>
        <w:pStyle w:val="ManualNumPar1"/>
        <w:rPr>
          <w:noProof/>
        </w:rPr>
      </w:pPr>
      <w:r w:rsidRPr="00951EAF">
        <w:t>2.</w:t>
      </w:r>
      <w:r w:rsidRPr="00951EAF">
        <w:tab/>
      </w:r>
      <w:r w:rsidR="000941B5" w:rsidRPr="00676501">
        <w:rPr>
          <w:noProof/>
        </w:rPr>
        <w:t>Inštitúcie sa môžu rozhodnúť zverejňovať kvantitatívne informácie</w:t>
      </w:r>
      <w:r w:rsidR="00DA0692">
        <w:rPr>
          <w:noProof/>
        </w:rPr>
        <w:t xml:space="preserve"> o </w:t>
      </w:r>
      <w:r w:rsidR="000941B5" w:rsidRPr="00676501">
        <w:rPr>
          <w:noProof/>
        </w:rPr>
        <w:t>zmierňujúcich opatreniach</w:t>
      </w:r>
      <w:r w:rsidR="00DA0692">
        <w:rPr>
          <w:noProof/>
        </w:rPr>
        <w:t xml:space="preserve"> a </w:t>
      </w:r>
      <w:r w:rsidR="000941B5" w:rsidRPr="00676501">
        <w:rPr>
          <w:noProof/>
        </w:rPr>
        <w:t>expozíciách týkajúcich sa rizík súvisiacich so zmenou klímy spojených</w:t>
      </w:r>
      <w:r w:rsidR="00DA0692">
        <w:rPr>
          <w:noProof/>
        </w:rPr>
        <w:t xml:space="preserve"> s </w:t>
      </w:r>
      <w:r w:rsidR="000941B5" w:rsidRPr="00676501">
        <w:rPr>
          <w:noProof/>
        </w:rPr>
        <w:t xml:space="preserve">hospodárskymi činnosťami, ktoré sa podľa článku 3 nariadenia (EÚ) 2020/852 označujú ako environmentálne udržateľné, voči protistranám, </w:t>
      </w:r>
      <w:bookmarkStart w:id="2" w:name="_Hlk92470606"/>
      <w:r w:rsidR="000941B5" w:rsidRPr="00676501">
        <w:rPr>
          <w:noProof/>
        </w:rPr>
        <w:t>ktoré sú nefinančnými korporáciami</w:t>
      </w:r>
      <w:bookmarkEnd w:id="2"/>
      <w:r w:rsidR="000941B5" w:rsidRPr="00676501">
        <w:rPr>
          <w:noProof/>
        </w:rPr>
        <w:t xml:space="preserve"> uvedenými</w:t>
      </w:r>
      <w:r w:rsidR="00DA0692">
        <w:rPr>
          <w:noProof/>
        </w:rPr>
        <w:t xml:space="preserve"> v </w:t>
      </w:r>
      <w:r w:rsidR="000941B5" w:rsidRPr="00676501">
        <w:rPr>
          <w:noProof/>
        </w:rPr>
        <w:t>časti 1 bode 42 písm. e) prílohy</w:t>
      </w:r>
      <w:r w:rsidR="00DA0692">
        <w:rPr>
          <w:noProof/>
        </w:rPr>
        <w:t xml:space="preserve"> V k </w:t>
      </w:r>
      <w:r w:rsidR="000941B5" w:rsidRPr="00676501">
        <w:rPr>
          <w:noProof/>
        </w:rPr>
        <w:t>vykonávaciemu nariadeniu (EÚ) 2021/451, na ktoré sa nevzťahujú povinnosti zverejňovania informácií stanovené</w:t>
      </w:r>
      <w:r w:rsidR="00DA0692">
        <w:rPr>
          <w:noProof/>
        </w:rPr>
        <w:t xml:space="preserve"> v </w:t>
      </w:r>
      <w:r w:rsidR="000941B5" w:rsidRPr="00676501">
        <w:rPr>
          <w:noProof/>
        </w:rPr>
        <w:t>článkoch 19a alebo 29a smernice 2013/34/EÚ</w:t>
      </w:r>
      <w:r w:rsidR="00DA0692">
        <w:rPr>
          <w:noProof/>
        </w:rPr>
        <w:t xml:space="preserve"> a </w:t>
      </w:r>
      <w:r w:rsidR="000941B5" w:rsidRPr="00676501">
        <w:rPr>
          <w:noProof/>
        </w:rPr>
        <w:t>na ktoré sa nevzťahujú povinnosti zverejňovania informácií stanovené vo vykonávacom nariadení Komisie (EÚ) 2021/2178</w:t>
      </w:r>
      <w:r w:rsidR="000941B5" w:rsidRPr="00676501">
        <w:rPr>
          <w:noProof/>
          <w:vertAlign w:val="superscript"/>
        </w:rPr>
        <w:t>*4</w:t>
      </w:r>
      <w:r w:rsidR="000941B5" w:rsidRPr="00676501">
        <w:rPr>
          <w:noProof/>
        </w:rPr>
        <w:t>,</w:t>
      </w:r>
      <w:r w:rsidR="00DA0692">
        <w:rPr>
          <w:noProof/>
        </w:rPr>
        <w:t xml:space="preserve"> a </w:t>
      </w:r>
      <w:r w:rsidR="000941B5" w:rsidRPr="00676501">
        <w:rPr>
          <w:noProof/>
        </w:rPr>
        <w:t>to</w:t>
      </w:r>
      <w:r w:rsidR="00DA0692">
        <w:rPr>
          <w:noProof/>
        </w:rPr>
        <w:t xml:space="preserve"> s </w:t>
      </w:r>
      <w:r w:rsidR="000941B5" w:rsidRPr="00676501">
        <w:rPr>
          <w:noProof/>
        </w:rPr>
        <w:t>použitím vzoru 9 prílohy XXXIX</w:t>
      </w:r>
      <w:r w:rsidR="00DA0692">
        <w:rPr>
          <w:noProof/>
        </w:rPr>
        <w:t xml:space="preserve"> k </w:t>
      </w:r>
      <w:r w:rsidR="000941B5" w:rsidRPr="00676501">
        <w:rPr>
          <w:noProof/>
        </w:rPr>
        <w:t>tomuto nariadeniu</w:t>
      </w:r>
      <w:r w:rsidR="00DA0692">
        <w:rPr>
          <w:noProof/>
        </w:rPr>
        <w:t xml:space="preserve"> a </w:t>
      </w:r>
      <w:r w:rsidR="000941B5" w:rsidRPr="00676501">
        <w:rPr>
          <w:noProof/>
        </w:rPr>
        <w:t>podľa pokynov stanovených</w:t>
      </w:r>
      <w:r w:rsidR="00DA0692">
        <w:rPr>
          <w:noProof/>
        </w:rPr>
        <w:t xml:space="preserve"> v </w:t>
      </w:r>
      <w:r w:rsidR="000941B5" w:rsidRPr="00676501">
        <w:rPr>
          <w:noProof/>
        </w:rPr>
        <w:t>prílohe XL</w:t>
      </w:r>
      <w:r w:rsidR="00DA0692">
        <w:rPr>
          <w:noProof/>
        </w:rPr>
        <w:t xml:space="preserve"> k </w:t>
      </w:r>
      <w:r w:rsidR="000941B5" w:rsidRPr="00676501">
        <w:rPr>
          <w:noProof/>
        </w:rPr>
        <w:t xml:space="preserve">tomuto nariadeniu. </w:t>
      </w:r>
    </w:p>
    <w:p w:rsidR="002D1236" w:rsidRPr="00676501" w:rsidRDefault="002D1236" w:rsidP="00353D88">
      <w:pPr>
        <w:pStyle w:val="Text1"/>
        <w:rPr>
          <w:noProof/>
        </w:rPr>
      </w:pPr>
      <w:r w:rsidRPr="00676501">
        <w:rPr>
          <w:noProof/>
        </w:rPr>
        <w:t>Na výpočet percentuálneho podielu expozícií voči činnostiam, ktoré spĺňajú požiadavky stanovené</w:t>
      </w:r>
      <w:r w:rsidR="00DA0692">
        <w:rPr>
          <w:noProof/>
        </w:rPr>
        <w:t xml:space="preserve"> v </w:t>
      </w:r>
      <w:r w:rsidRPr="00676501">
        <w:rPr>
          <w:noProof/>
        </w:rPr>
        <w:t>článku 3 nariadenia (EÚ) 2020/852 (expozície zosúladené</w:t>
      </w:r>
      <w:r w:rsidR="00DA0692">
        <w:rPr>
          <w:noProof/>
        </w:rPr>
        <w:t xml:space="preserve"> s </w:t>
      </w:r>
      <w:r w:rsidRPr="00676501">
        <w:rPr>
          <w:noProof/>
        </w:rPr>
        <w:t>taxonómiou) voči uvedeným protistranám, inštitúcie:</w:t>
      </w:r>
    </w:p>
    <w:p w:rsidR="00D23734" w:rsidRPr="00676501" w:rsidRDefault="00DA0692" w:rsidP="00DA0692">
      <w:pPr>
        <w:pStyle w:val="Point1"/>
        <w:rPr>
          <w:noProof/>
        </w:rPr>
      </w:pPr>
      <w:r>
        <w:rPr>
          <w:noProof/>
        </w:rPr>
        <w:t>a)</w:t>
      </w:r>
      <w:r>
        <w:rPr>
          <w:noProof/>
        </w:rPr>
        <w:tab/>
      </w:r>
      <w:r w:rsidR="008E7D06" w:rsidRPr="00676501">
        <w:rPr>
          <w:noProof/>
        </w:rPr>
        <w:t>môžu, ak sú</w:t>
      </w:r>
      <w:r>
        <w:rPr>
          <w:noProof/>
        </w:rPr>
        <w:t xml:space="preserve"> k </w:t>
      </w:r>
      <w:r w:rsidR="008E7D06" w:rsidRPr="00676501">
        <w:rPr>
          <w:noProof/>
        </w:rPr>
        <w:t>dispozícii, využívať informácie získané na dobrovoľnom</w:t>
      </w:r>
      <w:r>
        <w:rPr>
          <w:noProof/>
        </w:rPr>
        <w:t xml:space="preserve"> a </w:t>
      </w:r>
      <w:r w:rsidR="008E7D06" w:rsidRPr="00676501">
        <w:rPr>
          <w:noProof/>
        </w:rPr>
        <w:t>bilaterálnom základe od svojich protistrán prostredníctvom vzniku úveru</w:t>
      </w:r>
      <w:r>
        <w:rPr>
          <w:noProof/>
        </w:rPr>
        <w:t xml:space="preserve"> a </w:t>
      </w:r>
      <w:r w:rsidR="008E7D06" w:rsidRPr="00676501">
        <w:rPr>
          <w:noProof/>
        </w:rPr>
        <w:t>prostredníctvom pravidelných procesov kreditného preskúmania</w:t>
      </w:r>
      <w:r>
        <w:rPr>
          <w:noProof/>
        </w:rPr>
        <w:t xml:space="preserve"> a </w:t>
      </w:r>
      <w:r w:rsidR="008E7D06" w:rsidRPr="00676501">
        <w:rPr>
          <w:noProof/>
        </w:rPr>
        <w:t>monitorovania;</w:t>
      </w:r>
    </w:p>
    <w:p w:rsidR="00D23734" w:rsidRPr="00676501" w:rsidRDefault="00DA0692" w:rsidP="00DA0692">
      <w:pPr>
        <w:pStyle w:val="Point1"/>
        <w:rPr>
          <w:noProof/>
        </w:rPr>
      </w:pPr>
      <w:r>
        <w:rPr>
          <w:noProof/>
        </w:rPr>
        <w:t>b)</w:t>
      </w:r>
      <w:r>
        <w:rPr>
          <w:noProof/>
        </w:rPr>
        <w:tab/>
      </w:r>
      <w:r w:rsidR="00B25755" w:rsidRPr="00676501">
        <w:rPr>
          <w:noProof/>
        </w:rPr>
        <w:t>môžu, ak protistrana nie je schopná alebo ochotná poskytnúť dotknuté údaje na bilaterálnom základe, použiť interné odhady</w:t>
      </w:r>
      <w:r>
        <w:rPr>
          <w:noProof/>
        </w:rPr>
        <w:t xml:space="preserve"> a </w:t>
      </w:r>
      <w:r w:rsidR="00B25755" w:rsidRPr="00676501">
        <w:rPr>
          <w:noProof/>
        </w:rPr>
        <w:t>zástupné údaje</w:t>
      </w:r>
      <w:r>
        <w:rPr>
          <w:noProof/>
        </w:rPr>
        <w:t xml:space="preserve"> a </w:t>
      </w:r>
      <w:r w:rsidR="00B25755" w:rsidRPr="00676501">
        <w:rPr>
          <w:noProof/>
        </w:rPr>
        <w:t>vysvetliť</w:t>
      </w:r>
      <w:r>
        <w:rPr>
          <w:noProof/>
        </w:rPr>
        <w:t xml:space="preserve"> v </w:t>
      </w:r>
      <w:r w:rsidR="00B25755" w:rsidRPr="00676501">
        <w:rPr>
          <w:noProof/>
        </w:rPr>
        <w:t>opise sprevádzajúcom vzor, do akej miery boli tieto interné odhady</w:t>
      </w:r>
      <w:r>
        <w:rPr>
          <w:noProof/>
        </w:rPr>
        <w:t xml:space="preserve"> a </w:t>
      </w:r>
      <w:r w:rsidR="00B25755" w:rsidRPr="00676501">
        <w:rPr>
          <w:noProof/>
        </w:rPr>
        <w:t>zástupné údaje použité</w:t>
      </w:r>
      <w:r>
        <w:rPr>
          <w:noProof/>
        </w:rPr>
        <w:t xml:space="preserve"> a </w:t>
      </w:r>
      <w:r w:rsidR="00B25755" w:rsidRPr="00676501">
        <w:rPr>
          <w:noProof/>
        </w:rPr>
        <w:t>ktoré interné odhady</w:t>
      </w:r>
      <w:r>
        <w:rPr>
          <w:noProof/>
        </w:rPr>
        <w:t xml:space="preserve"> a </w:t>
      </w:r>
      <w:r w:rsidR="00B25755" w:rsidRPr="00676501">
        <w:rPr>
          <w:noProof/>
        </w:rPr>
        <w:t>zástupné údaje boli použité;</w:t>
      </w:r>
    </w:p>
    <w:p w:rsidR="002D1236" w:rsidRPr="00676501" w:rsidRDefault="00DA0692" w:rsidP="00DA0692">
      <w:pPr>
        <w:pStyle w:val="Point1"/>
        <w:rPr>
          <w:noProof/>
        </w:rPr>
      </w:pPr>
      <w:r>
        <w:rPr>
          <w:noProof/>
        </w:rPr>
        <w:t>c)</w:t>
      </w:r>
      <w:r>
        <w:rPr>
          <w:noProof/>
        </w:rPr>
        <w:tab/>
      </w:r>
      <w:r w:rsidR="00D23734" w:rsidRPr="00676501">
        <w:rPr>
          <w:noProof/>
        </w:rPr>
        <w:t>ak nedokážu zhromaždiť dotknuté informácie na bilaterálnom základe alebo nemôžu použiť interné odhady</w:t>
      </w:r>
      <w:r>
        <w:rPr>
          <w:noProof/>
        </w:rPr>
        <w:t xml:space="preserve"> a </w:t>
      </w:r>
      <w:r w:rsidR="00D23734" w:rsidRPr="00676501">
        <w:rPr>
          <w:noProof/>
        </w:rPr>
        <w:t>zástupné údaje, alebo tieto informácie nemôžu zozbierať alebo použiť tieto odhady</w:t>
      </w:r>
      <w:r>
        <w:rPr>
          <w:noProof/>
        </w:rPr>
        <w:t xml:space="preserve"> a </w:t>
      </w:r>
      <w:r w:rsidR="00D23734" w:rsidRPr="00676501">
        <w:rPr>
          <w:noProof/>
        </w:rPr>
        <w:t>zástupné údaje spôsobom, ktorý nie je pre ne alebo pre ich protistrany nadmerne zaťažujúci, môžu túto skutočnosť vysvetliť</w:t>
      </w:r>
      <w:r>
        <w:rPr>
          <w:noProof/>
        </w:rPr>
        <w:t xml:space="preserve"> v </w:t>
      </w:r>
      <w:r w:rsidR="00D23734" w:rsidRPr="00676501">
        <w:rPr>
          <w:noProof/>
        </w:rPr>
        <w:t>opise sprevádzajúcom vzor.</w:t>
      </w:r>
    </w:p>
    <w:p w:rsidR="00320B78" w:rsidRPr="00676501" w:rsidRDefault="00320B78" w:rsidP="00353D88">
      <w:pPr>
        <w:pStyle w:val="Text1"/>
        <w:rPr>
          <w:noProof/>
        </w:rPr>
      </w:pPr>
      <w:r w:rsidRPr="00676501">
        <w:rPr>
          <w:noProof/>
        </w:rPr>
        <w:t>Na účely písmena a) inštitúcie informujú svoje protistrany</w:t>
      </w:r>
      <w:r w:rsidR="00DA0692">
        <w:rPr>
          <w:noProof/>
        </w:rPr>
        <w:t xml:space="preserve"> o </w:t>
      </w:r>
      <w:r w:rsidRPr="00676501">
        <w:rPr>
          <w:noProof/>
        </w:rPr>
        <w:t>tom, že poskytovanie takýchto informácií je dobrovoľné.</w:t>
      </w:r>
    </w:p>
    <w:p w:rsidR="007F4F83" w:rsidRPr="00676501" w:rsidRDefault="00951EAF" w:rsidP="00951EAF">
      <w:pPr>
        <w:pStyle w:val="ManualNumPar1"/>
        <w:rPr>
          <w:noProof/>
        </w:rPr>
      </w:pPr>
      <w:r w:rsidRPr="00951EAF">
        <w:t>3.</w:t>
      </w:r>
      <w:r w:rsidRPr="00951EAF">
        <w:tab/>
      </w:r>
      <w:r w:rsidR="006B71ED" w:rsidRPr="00676501">
        <w:rPr>
          <w:noProof/>
        </w:rPr>
        <w:t>Pokiaľ nie je</w:t>
      </w:r>
      <w:r w:rsidR="00DA0692">
        <w:rPr>
          <w:noProof/>
        </w:rPr>
        <w:t xml:space="preserve"> v </w:t>
      </w:r>
      <w:r w:rsidR="006B71ED" w:rsidRPr="00676501">
        <w:rPr>
          <w:noProof/>
        </w:rPr>
        <w:t>pokynoch stanovených</w:t>
      </w:r>
      <w:r w:rsidR="00DA0692">
        <w:rPr>
          <w:noProof/>
        </w:rPr>
        <w:t xml:space="preserve"> v </w:t>
      </w:r>
      <w:r w:rsidR="006B71ED" w:rsidRPr="00676501">
        <w:rPr>
          <w:noProof/>
        </w:rPr>
        <w:t>prílohe XL</w:t>
      </w:r>
      <w:r w:rsidR="00DA0692">
        <w:rPr>
          <w:noProof/>
        </w:rPr>
        <w:t xml:space="preserve"> k </w:t>
      </w:r>
      <w:r w:rsidR="006B71ED" w:rsidRPr="00676501">
        <w:rPr>
          <w:noProof/>
        </w:rPr>
        <w:t>tomuto nariadeniu uvedené inak, inštitúcie počnúc 31. decembra 2022 zverejňujú informácie uvedené</w:t>
      </w:r>
      <w:r w:rsidR="00DA0692">
        <w:rPr>
          <w:noProof/>
        </w:rPr>
        <w:t xml:space="preserve"> v </w:t>
      </w:r>
      <w:r w:rsidR="006B71ED" w:rsidRPr="00676501">
        <w:rPr>
          <w:noProof/>
        </w:rPr>
        <w:t>článku 449a nariadenia (EÚ) č. 575/2013</w:t>
      </w:r>
      <w:r w:rsidR="00DA0692">
        <w:rPr>
          <w:noProof/>
        </w:rPr>
        <w:t xml:space="preserve"> k </w:t>
      </w:r>
      <w:r w:rsidR="006B71ED" w:rsidRPr="00676501">
        <w:rPr>
          <w:noProof/>
        </w:rPr>
        <w:t>týmto dátumom:</w:t>
      </w:r>
    </w:p>
    <w:p w:rsidR="007F4F83" w:rsidRPr="00676501" w:rsidRDefault="00DA0692" w:rsidP="00DA0692">
      <w:pPr>
        <w:pStyle w:val="Point1"/>
        <w:rPr>
          <w:noProof/>
        </w:rPr>
      </w:pPr>
      <w:r>
        <w:rPr>
          <w:noProof/>
        </w:rPr>
        <w:t>a)</w:t>
      </w:r>
      <w:r>
        <w:rPr>
          <w:noProof/>
        </w:rPr>
        <w:tab/>
      </w:r>
      <w:r w:rsidR="007F4F83" w:rsidRPr="00676501">
        <w:rPr>
          <w:noProof/>
        </w:rPr>
        <w:t>v prípade každoročne zverejňovaných informácií: 31. decembra;</w:t>
      </w:r>
    </w:p>
    <w:p w:rsidR="00D01D57" w:rsidRPr="00676501" w:rsidRDefault="00DA0692" w:rsidP="00DA0692">
      <w:pPr>
        <w:pStyle w:val="Point1"/>
        <w:rPr>
          <w:noProof/>
        </w:rPr>
      </w:pPr>
      <w:r>
        <w:rPr>
          <w:noProof/>
        </w:rPr>
        <w:t>b)</w:t>
      </w:r>
      <w:r>
        <w:rPr>
          <w:noProof/>
        </w:rPr>
        <w:tab/>
      </w:r>
      <w:r w:rsidR="007F4F83" w:rsidRPr="00676501">
        <w:rPr>
          <w:noProof/>
        </w:rPr>
        <w:t>v prípade polročne zverejňovaných informácií: 30. júna</w:t>
      </w:r>
      <w:r>
        <w:rPr>
          <w:noProof/>
        </w:rPr>
        <w:t xml:space="preserve"> a </w:t>
      </w:r>
      <w:r w:rsidR="007F4F83" w:rsidRPr="00676501">
        <w:rPr>
          <w:noProof/>
        </w:rPr>
        <w:t>31. decembra každého roka.</w:t>
      </w:r>
    </w:p>
    <w:p w:rsidR="00086FAB" w:rsidRPr="00676501" w:rsidRDefault="001904B5" w:rsidP="0087679B">
      <w:pPr>
        <w:pStyle w:val="Text2"/>
        <w:rPr>
          <w:noProof/>
        </w:rPr>
      </w:pPr>
      <w:r w:rsidRPr="00676501">
        <w:rPr>
          <w:noProof/>
        </w:rPr>
        <w:tab/>
        <w:t>___________</w:t>
      </w:r>
    </w:p>
    <w:p w:rsidR="00086FAB" w:rsidRPr="00676501" w:rsidRDefault="00086FAB" w:rsidP="0087679B">
      <w:pPr>
        <w:pStyle w:val="Text3"/>
        <w:rPr>
          <w:noProof/>
          <w:sz w:val="20"/>
          <w:szCs w:val="20"/>
        </w:rPr>
      </w:pPr>
      <w:r w:rsidRPr="00676501">
        <w:rPr>
          <w:noProof/>
          <w:sz w:val="20"/>
          <w:vertAlign w:val="superscript"/>
        </w:rPr>
        <w:t>*1</w:t>
      </w:r>
      <w:r w:rsidRPr="00676501">
        <w:rPr>
          <w:noProof/>
        </w:rPr>
        <w:tab/>
      </w:r>
      <w:r w:rsidRPr="00676501">
        <w:rPr>
          <w:noProof/>
          <w:sz w:val="20"/>
        </w:rPr>
        <w:t>Nariadenie Európskeho parlamentu</w:t>
      </w:r>
      <w:r w:rsidR="00DA0692">
        <w:rPr>
          <w:noProof/>
          <w:sz w:val="20"/>
        </w:rPr>
        <w:t xml:space="preserve"> a </w:t>
      </w:r>
      <w:r w:rsidRPr="00676501">
        <w:rPr>
          <w:noProof/>
          <w:sz w:val="20"/>
        </w:rPr>
        <w:t>Rady (EÚ) 2020/852</w:t>
      </w:r>
      <w:r w:rsidR="00DA0692">
        <w:rPr>
          <w:noProof/>
          <w:sz w:val="20"/>
        </w:rPr>
        <w:t xml:space="preserve"> z </w:t>
      </w:r>
      <w:r w:rsidRPr="00676501">
        <w:rPr>
          <w:noProof/>
          <w:sz w:val="20"/>
        </w:rPr>
        <w:t>18. júna 2020</w:t>
      </w:r>
      <w:r w:rsidR="00DA0692">
        <w:rPr>
          <w:noProof/>
          <w:sz w:val="20"/>
        </w:rPr>
        <w:t xml:space="preserve"> o </w:t>
      </w:r>
      <w:r w:rsidRPr="00676501">
        <w:rPr>
          <w:noProof/>
          <w:sz w:val="20"/>
        </w:rPr>
        <w:t>vytvorení rámca na uľahčenie udržateľných investícií</w:t>
      </w:r>
      <w:r w:rsidR="00DA0692">
        <w:rPr>
          <w:noProof/>
          <w:sz w:val="20"/>
        </w:rPr>
        <w:t xml:space="preserve"> a o </w:t>
      </w:r>
      <w:r w:rsidRPr="00676501">
        <w:rPr>
          <w:noProof/>
          <w:sz w:val="20"/>
        </w:rPr>
        <w:t>zmene nariadenia (EÚ) 2019/2088 (Ú. v. EÚ L 198, 22.6.2020, s. 13).</w:t>
      </w:r>
    </w:p>
    <w:p w:rsidR="00086FAB" w:rsidRPr="00676501" w:rsidRDefault="00086FAB" w:rsidP="004F6722">
      <w:pPr>
        <w:pStyle w:val="Text3"/>
        <w:rPr>
          <w:noProof/>
          <w:sz w:val="20"/>
          <w:szCs w:val="20"/>
        </w:rPr>
      </w:pPr>
      <w:r w:rsidRPr="00676501">
        <w:rPr>
          <w:noProof/>
          <w:sz w:val="20"/>
          <w:vertAlign w:val="superscript"/>
        </w:rPr>
        <w:t>*2</w:t>
      </w:r>
      <w:r w:rsidRPr="00676501">
        <w:rPr>
          <w:noProof/>
        </w:rPr>
        <w:tab/>
      </w:r>
      <w:r w:rsidRPr="00676501">
        <w:rPr>
          <w:noProof/>
          <w:sz w:val="20"/>
        </w:rPr>
        <w:t>Smernica Európskeho parlamentu</w:t>
      </w:r>
      <w:r w:rsidR="00DA0692">
        <w:rPr>
          <w:noProof/>
          <w:sz w:val="20"/>
        </w:rPr>
        <w:t xml:space="preserve"> a </w:t>
      </w:r>
      <w:r w:rsidRPr="00676501">
        <w:rPr>
          <w:noProof/>
          <w:sz w:val="20"/>
        </w:rPr>
        <w:t>Rady 2013/34/EÚ</w:t>
      </w:r>
      <w:r w:rsidR="00DA0692">
        <w:rPr>
          <w:noProof/>
          <w:sz w:val="20"/>
        </w:rPr>
        <w:t xml:space="preserve"> z </w:t>
      </w:r>
      <w:r w:rsidRPr="00676501">
        <w:rPr>
          <w:noProof/>
          <w:sz w:val="20"/>
        </w:rPr>
        <w:t>26. júna 2013</w:t>
      </w:r>
      <w:r w:rsidR="00DA0692">
        <w:rPr>
          <w:noProof/>
          <w:sz w:val="20"/>
        </w:rPr>
        <w:t xml:space="preserve"> o </w:t>
      </w:r>
      <w:r w:rsidRPr="00676501">
        <w:rPr>
          <w:noProof/>
          <w:sz w:val="20"/>
        </w:rPr>
        <w:t>ročných účtovných závierkach, konsolidovaných účtovných závierkach</w:t>
      </w:r>
      <w:r w:rsidR="00DA0692">
        <w:rPr>
          <w:noProof/>
          <w:sz w:val="20"/>
        </w:rPr>
        <w:t xml:space="preserve"> a </w:t>
      </w:r>
      <w:r w:rsidRPr="00676501">
        <w:rPr>
          <w:noProof/>
          <w:sz w:val="20"/>
        </w:rPr>
        <w:t>súvisiacich správach určitých druhov podnikov, ktorou sa mení smernica Európskeho parlamentu</w:t>
      </w:r>
      <w:r w:rsidR="00DA0692">
        <w:rPr>
          <w:noProof/>
          <w:sz w:val="20"/>
        </w:rPr>
        <w:t xml:space="preserve"> a </w:t>
      </w:r>
      <w:r w:rsidRPr="00676501">
        <w:rPr>
          <w:noProof/>
          <w:sz w:val="20"/>
        </w:rPr>
        <w:t>Rady 2006/43/ES</w:t>
      </w:r>
      <w:r w:rsidR="00DA0692">
        <w:rPr>
          <w:noProof/>
          <w:sz w:val="20"/>
        </w:rPr>
        <w:t xml:space="preserve"> a </w:t>
      </w:r>
      <w:r w:rsidRPr="00676501">
        <w:rPr>
          <w:noProof/>
          <w:sz w:val="20"/>
        </w:rPr>
        <w:t>zrušujú smernice Rady 78/660/EHS</w:t>
      </w:r>
      <w:r w:rsidR="00DA0692">
        <w:rPr>
          <w:noProof/>
          <w:sz w:val="20"/>
        </w:rPr>
        <w:t xml:space="preserve"> a </w:t>
      </w:r>
      <w:r w:rsidRPr="00676501">
        <w:rPr>
          <w:noProof/>
          <w:sz w:val="20"/>
        </w:rPr>
        <w:t>83/349/EHS (Ú. v. EÚ L 182, 29.6.2013, s. 19).</w:t>
      </w:r>
    </w:p>
    <w:p w:rsidR="00086FAB" w:rsidRPr="00676501" w:rsidRDefault="00086FAB" w:rsidP="0087679B">
      <w:pPr>
        <w:pStyle w:val="Text3"/>
        <w:rPr>
          <w:noProof/>
          <w:sz w:val="20"/>
          <w:szCs w:val="20"/>
        </w:rPr>
      </w:pPr>
      <w:r w:rsidRPr="00676501">
        <w:rPr>
          <w:noProof/>
          <w:sz w:val="20"/>
          <w:vertAlign w:val="superscript"/>
        </w:rPr>
        <w:t>*3</w:t>
      </w:r>
      <w:r w:rsidRPr="00676501">
        <w:rPr>
          <w:noProof/>
        </w:rPr>
        <w:tab/>
      </w:r>
      <w:r w:rsidRPr="00676501">
        <w:rPr>
          <w:noProof/>
          <w:sz w:val="20"/>
        </w:rPr>
        <w:t>Vykonávacie nariadenie Komisie (EÚ) 2021/451 zo 17. decembra 2020, ktorým sa stanovujú vykonávacie technické predpisy na uplatňovanie nariadenia Európskeho parlamentu</w:t>
      </w:r>
      <w:r w:rsidR="00DA0692">
        <w:rPr>
          <w:noProof/>
          <w:sz w:val="20"/>
        </w:rPr>
        <w:t xml:space="preserve"> a </w:t>
      </w:r>
      <w:r w:rsidRPr="00676501">
        <w:rPr>
          <w:noProof/>
          <w:sz w:val="20"/>
        </w:rPr>
        <w:t>Rady (EÚ) č. 575/2013, pokiaľ ide</w:t>
      </w:r>
      <w:r w:rsidR="00DA0692">
        <w:rPr>
          <w:noProof/>
          <w:sz w:val="20"/>
        </w:rPr>
        <w:t xml:space="preserve"> o </w:t>
      </w:r>
      <w:r w:rsidRPr="00676501">
        <w:rPr>
          <w:noProof/>
          <w:sz w:val="20"/>
        </w:rPr>
        <w:t>vykazovanie inštitúciami na účely dohľadu,</w:t>
      </w:r>
      <w:r w:rsidR="00DA0692">
        <w:rPr>
          <w:noProof/>
          <w:sz w:val="20"/>
        </w:rPr>
        <w:t xml:space="preserve"> a </w:t>
      </w:r>
      <w:r w:rsidRPr="00676501">
        <w:rPr>
          <w:noProof/>
          <w:sz w:val="20"/>
        </w:rPr>
        <w:t>ktorým sa zrušuje vykonávacie nariadenie (EÚ) č. 680/2014 (Ú. v. EÚ L 97, 19.3.2021, s. 1).</w:t>
      </w:r>
    </w:p>
    <w:p w:rsidR="00086FAB" w:rsidRPr="00676501" w:rsidRDefault="00086FAB" w:rsidP="0087679B">
      <w:pPr>
        <w:pStyle w:val="Text3"/>
        <w:rPr>
          <w:noProof/>
          <w:sz w:val="20"/>
          <w:szCs w:val="20"/>
        </w:rPr>
      </w:pPr>
      <w:r w:rsidRPr="00676501">
        <w:rPr>
          <w:noProof/>
          <w:sz w:val="20"/>
          <w:vertAlign w:val="superscript"/>
        </w:rPr>
        <w:t>*4</w:t>
      </w:r>
      <w:r w:rsidRPr="00676501">
        <w:rPr>
          <w:noProof/>
        </w:rPr>
        <w:tab/>
      </w:r>
      <w:r w:rsidRPr="00676501">
        <w:rPr>
          <w:noProof/>
          <w:sz w:val="20"/>
        </w:rPr>
        <w:t>Delegované nariadenie Komisie (EÚ) 2021/2178 zo 6. júla 2021, ktorým sa dopĺňa nariadenie Európskeho parlamentu</w:t>
      </w:r>
      <w:r w:rsidR="00DA0692">
        <w:rPr>
          <w:noProof/>
          <w:sz w:val="20"/>
        </w:rPr>
        <w:t xml:space="preserve"> a </w:t>
      </w:r>
      <w:r w:rsidRPr="00676501">
        <w:rPr>
          <w:noProof/>
          <w:sz w:val="20"/>
        </w:rPr>
        <w:t>Rady (EÚ) 2020/852 upresnením obsahu</w:t>
      </w:r>
      <w:r w:rsidR="00DA0692">
        <w:rPr>
          <w:noProof/>
          <w:sz w:val="20"/>
        </w:rPr>
        <w:t xml:space="preserve"> a </w:t>
      </w:r>
      <w:r w:rsidRPr="00676501">
        <w:rPr>
          <w:noProof/>
          <w:sz w:val="20"/>
        </w:rPr>
        <w:t>prezentácie informácií, ktoré majú zverejňovať podniky, na ktoré sa vzťahuje článok 19a alebo 29a smernice 2013/34/EÚ, pokiaľ ide</w:t>
      </w:r>
      <w:r w:rsidR="00DA0692">
        <w:rPr>
          <w:noProof/>
          <w:sz w:val="20"/>
        </w:rPr>
        <w:t xml:space="preserve"> o </w:t>
      </w:r>
      <w:r w:rsidRPr="00676501">
        <w:rPr>
          <w:noProof/>
          <w:sz w:val="20"/>
        </w:rPr>
        <w:t>environmentálne udržateľné hospodárske činnosti,</w:t>
      </w:r>
      <w:r w:rsidR="00DA0692">
        <w:rPr>
          <w:noProof/>
          <w:sz w:val="20"/>
        </w:rPr>
        <w:t xml:space="preserve"> a </w:t>
      </w:r>
      <w:r w:rsidRPr="00676501">
        <w:rPr>
          <w:noProof/>
          <w:sz w:val="20"/>
        </w:rPr>
        <w:t>upresnením metodiky na splnenie uvedenej povinnosti zverejňovania (Ú. v. EÚ L 443, 10.12.2021, s. 9).</w:t>
      </w:r>
    </w:p>
    <w:p w:rsidR="007F4F83" w:rsidRPr="00676501" w:rsidRDefault="00DA0692" w:rsidP="00DA0692">
      <w:pPr>
        <w:pStyle w:val="Point0"/>
        <w:rPr>
          <w:noProof/>
        </w:rPr>
      </w:pPr>
      <w:r>
        <w:rPr>
          <w:noProof/>
        </w:rPr>
        <w:t>2.</w:t>
      </w:r>
      <w:r>
        <w:rPr>
          <w:noProof/>
        </w:rPr>
        <w:tab/>
      </w:r>
      <w:r w:rsidR="00921483" w:rsidRPr="00676501">
        <w:rPr>
          <w:noProof/>
        </w:rPr>
        <w:t>Text uvedený</w:t>
      </w:r>
      <w:r>
        <w:rPr>
          <w:noProof/>
        </w:rPr>
        <w:t xml:space="preserve"> v </w:t>
      </w:r>
      <w:r w:rsidR="00921483" w:rsidRPr="00676501">
        <w:rPr>
          <w:noProof/>
        </w:rPr>
        <w:t>prílohe</w:t>
      </w:r>
      <w:r>
        <w:rPr>
          <w:noProof/>
        </w:rPr>
        <w:t xml:space="preserve"> I k </w:t>
      </w:r>
      <w:r w:rsidR="00921483" w:rsidRPr="00676501">
        <w:rPr>
          <w:noProof/>
        </w:rPr>
        <w:t xml:space="preserve">tomuto nariadeniu sa dopĺňa ako príloha XXXIX. </w:t>
      </w:r>
    </w:p>
    <w:p w:rsidR="007F4F83" w:rsidRPr="00676501" w:rsidRDefault="00DA0692" w:rsidP="00DA0692">
      <w:pPr>
        <w:pStyle w:val="Point0"/>
        <w:rPr>
          <w:noProof/>
        </w:rPr>
      </w:pPr>
      <w:r>
        <w:rPr>
          <w:noProof/>
        </w:rPr>
        <w:t>3.</w:t>
      </w:r>
      <w:r>
        <w:rPr>
          <w:noProof/>
        </w:rPr>
        <w:tab/>
      </w:r>
      <w:r w:rsidR="00921483" w:rsidRPr="00676501">
        <w:rPr>
          <w:noProof/>
        </w:rPr>
        <w:t>Text uvedený</w:t>
      </w:r>
      <w:r>
        <w:rPr>
          <w:noProof/>
        </w:rPr>
        <w:t xml:space="preserve"> v </w:t>
      </w:r>
      <w:r w:rsidR="00921483" w:rsidRPr="00676501">
        <w:rPr>
          <w:noProof/>
        </w:rPr>
        <w:t>prílohe II</w:t>
      </w:r>
      <w:r>
        <w:rPr>
          <w:noProof/>
        </w:rPr>
        <w:t xml:space="preserve"> k </w:t>
      </w:r>
      <w:r w:rsidR="00921483" w:rsidRPr="00676501">
        <w:rPr>
          <w:noProof/>
        </w:rPr>
        <w:t>tomuto nariadeniu sa dopĺňa ako príloha XL.</w:t>
      </w:r>
    </w:p>
    <w:p w:rsidR="007F4F83" w:rsidRPr="00676501" w:rsidRDefault="007F4F83" w:rsidP="004046D9">
      <w:pPr>
        <w:pStyle w:val="Titrearticle"/>
        <w:rPr>
          <w:noProof/>
          <w:szCs w:val="24"/>
        </w:rPr>
      </w:pPr>
      <w:r w:rsidRPr="00676501">
        <w:rPr>
          <w:noProof/>
        </w:rPr>
        <w:t>Článok 2</w:t>
      </w:r>
    </w:p>
    <w:p w:rsidR="007F4F83" w:rsidRPr="00676501" w:rsidRDefault="007F4F83" w:rsidP="007F4F83">
      <w:pPr>
        <w:pStyle w:val="Titrearticle"/>
        <w:spacing w:before="120"/>
        <w:rPr>
          <w:b/>
          <w:i w:val="0"/>
          <w:noProof/>
          <w:szCs w:val="24"/>
        </w:rPr>
      </w:pPr>
      <w:r w:rsidRPr="00676501">
        <w:rPr>
          <w:b/>
          <w:i w:val="0"/>
          <w:noProof/>
        </w:rPr>
        <w:t>Nadobudnutie účinnosti</w:t>
      </w:r>
    </w:p>
    <w:p w:rsidR="007F4F83" w:rsidRPr="00676501" w:rsidRDefault="007F4F83" w:rsidP="007F4F83">
      <w:pPr>
        <w:rPr>
          <w:noProof/>
          <w:color w:val="000000" w:themeColor="text1"/>
          <w:szCs w:val="24"/>
        </w:rPr>
      </w:pPr>
      <w:r w:rsidRPr="00676501">
        <w:rPr>
          <w:noProof/>
        </w:rPr>
        <w:t>Toto nariadenie nadobúda účinnosť dvadsiatym dňom po jeho uverejnení</w:t>
      </w:r>
      <w:r w:rsidR="00DA0692">
        <w:rPr>
          <w:noProof/>
        </w:rPr>
        <w:t xml:space="preserve"> v </w:t>
      </w:r>
      <w:r w:rsidRPr="00676501">
        <w:rPr>
          <w:i/>
          <w:noProof/>
          <w:color w:val="000000" w:themeColor="text1"/>
        </w:rPr>
        <w:t>Úradnom vestníku Európskej únie</w:t>
      </w:r>
      <w:r w:rsidRPr="00676501">
        <w:rPr>
          <w:noProof/>
        </w:rPr>
        <w:t>.</w:t>
      </w:r>
      <w:r w:rsidRPr="00676501">
        <w:rPr>
          <w:noProof/>
          <w:color w:val="000000" w:themeColor="text1"/>
        </w:rPr>
        <w:t xml:space="preserve"> </w:t>
      </w:r>
    </w:p>
    <w:p w:rsidR="007F4F83" w:rsidRPr="00676501" w:rsidRDefault="007F4F83" w:rsidP="007F4F83">
      <w:pPr>
        <w:pStyle w:val="Applicationdirecte"/>
        <w:rPr>
          <w:noProof/>
          <w:color w:val="000000"/>
          <w:szCs w:val="24"/>
        </w:rPr>
      </w:pPr>
      <w:r w:rsidRPr="00676501">
        <w:rPr>
          <w:noProof/>
          <w:color w:val="000000"/>
        </w:rPr>
        <w:t>Toto nariadenie je záväzné</w:t>
      </w:r>
      <w:r w:rsidR="00DA0692">
        <w:rPr>
          <w:noProof/>
          <w:color w:val="000000"/>
        </w:rPr>
        <w:t xml:space="preserve"> v </w:t>
      </w:r>
      <w:r w:rsidRPr="00676501">
        <w:rPr>
          <w:noProof/>
          <w:color w:val="000000"/>
        </w:rPr>
        <w:t>celom rozsahu</w:t>
      </w:r>
      <w:r w:rsidR="00DA0692">
        <w:rPr>
          <w:noProof/>
          <w:color w:val="000000"/>
        </w:rPr>
        <w:t xml:space="preserve"> a </w:t>
      </w:r>
      <w:r w:rsidRPr="00676501">
        <w:rPr>
          <w:noProof/>
          <w:color w:val="000000"/>
        </w:rPr>
        <w:t>priamo uplatniteľné vo všetkých členských štátoch.</w:t>
      </w:r>
    </w:p>
    <w:p w:rsidR="003C122C" w:rsidRPr="00676501" w:rsidRDefault="00226433" w:rsidP="004C1780">
      <w:pPr>
        <w:pStyle w:val="Fait"/>
        <w:rPr>
          <w:noProof/>
        </w:rPr>
      </w:pPr>
      <w:r w:rsidRPr="00226433">
        <w:t>V Bruseli 30. 11. 2022</w:t>
      </w:r>
    </w:p>
    <w:p w:rsidR="003C122C" w:rsidRPr="00676501" w:rsidRDefault="003C122C" w:rsidP="004C1780">
      <w:pPr>
        <w:pStyle w:val="Institutionquisigne"/>
        <w:rPr>
          <w:noProof/>
          <w:szCs w:val="24"/>
        </w:rPr>
      </w:pPr>
      <w:r w:rsidRPr="00676501">
        <w:rPr>
          <w:noProof/>
        </w:rPr>
        <w:tab/>
        <w:t>Za Komisiu</w:t>
      </w:r>
    </w:p>
    <w:p w:rsidR="00C32BCD" w:rsidRPr="00676501" w:rsidRDefault="00040BCC" w:rsidP="004C1780">
      <w:pPr>
        <w:pStyle w:val="Personnequisigne"/>
        <w:keepNext/>
        <w:rPr>
          <w:noProof/>
          <w:szCs w:val="24"/>
        </w:rPr>
      </w:pPr>
      <w:r>
        <w:tab/>
        <w:t>predsedníčka</w:t>
      </w:r>
      <w:r>
        <w:br/>
      </w:r>
      <w:r>
        <w:tab/>
        <w:t>Ursula VON DER LEYEN</w:t>
      </w:r>
    </w:p>
    <w:p w:rsidR="00C32BCD" w:rsidRPr="00676501" w:rsidRDefault="00C32BCD" w:rsidP="00C32BCD">
      <w:pPr>
        <w:pStyle w:val="Personnequisigne"/>
        <w:rPr>
          <w:noProof/>
          <w:szCs w:val="24"/>
        </w:rPr>
      </w:pPr>
    </w:p>
    <w:sectPr w:rsidR="00C32BCD" w:rsidRPr="00676501" w:rsidSect="00BA20BA">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139" w:rsidRPr="00BA20BA" w:rsidRDefault="00BA20BA" w:rsidP="00BA20BA">
    <w:pPr>
      <w:pStyle w:val="Footer"/>
      <w:rPr>
        <w:rFonts w:ascii="Arial" w:hAnsi="Arial" w:cs="Arial"/>
        <w:b/>
        <w:sz w:val="48"/>
      </w:rPr>
    </w:pPr>
    <w:r w:rsidRPr="00BA20BA">
      <w:rPr>
        <w:rFonts w:ascii="Arial" w:hAnsi="Arial" w:cs="Arial"/>
        <w:b/>
        <w:sz w:val="48"/>
      </w:rPr>
      <w:t>SK</w:t>
    </w:r>
    <w:r w:rsidRPr="00BA20BA">
      <w:rPr>
        <w:rFonts w:ascii="Arial" w:hAnsi="Arial" w:cs="Arial"/>
        <w:b/>
        <w:sz w:val="48"/>
      </w:rPr>
      <w:tab/>
    </w:r>
    <w:r w:rsidRPr="00BA20BA">
      <w:rPr>
        <w:rFonts w:ascii="Arial" w:hAnsi="Arial" w:cs="Arial"/>
        <w:b/>
        <w:sz w:val="48"/>
      </w:rPr>
      <w:tab/>
    </w:r>
    <w:r w:rsidRPr="00BA20BA">
      <w:tab/>
    </w:r>
    <w:r w:rsidRPr="00BA20BA">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0BA" w:rsidRPr="00BA20BA" w:rsidRDefault="00BA20BA" w:rsidP="00BA20BA">
    <w:pPr>
      <w:pStyle w:val="Footer"/>
      <w:rPr>
        <w:rFonts w:ascii="Arial" w:hAnsi="Arial" w:cs="Arial"/>
        <w:b/>
        <w:sz w:val="48"/>
      </w:rPr>
    </w:pPr>
    <w:r w:rsidRPr="00BA20BA">
      <w:rPr>
        <w:rFonts w:ascii="Arial" w:hAnsi="Arial" w:cs="Arial"/>
        <w:b/>
        <w:sz w:val="48"/>
      </w:rPr>
      <w:t>SK</w:t>
    </w:r>
    <w:r w:rsidRPr="00BA20BA">
      <w:rPr>
        <w:rFonts w:ascii="Arial" w:hAnsi="Arial" w:cs="Arial"/>
        <w:b/>
        <w:sz w:val="48"/>
      </w:rPr>
      <w:tab/>
    </w:r>
    <w:r>
      <w:fldChar w:fldCharType="begin"/>
    </w:r>
    <w:r>
      <w:instrText xml:space="preserve"> PAGE  \* MERGEFORMAT </w:instrText>
    </w:r>
    <w:r>
      <w:fldChar w:fldCharType="separate"/>
    </w:r>
    <w:r w:rsidR="004C1780">
      <w:rPr>
        <w:noProof/>
      </w:rPr>
      <w:t>5</w:t>
    </w:r>
    <w:r>
      <w:fldChar w:fldCharType="end"/>
    </w:r>
    <w:r>
      <w:tab/>
    </w:r>
    <w:r w:rsidRPr="00BA20BA">
      <w:tab/>
    </w:r>
    <w:r w:rsidRPr="00BA20BA">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0BA" w:rsidRPr="00BA20BA" w:rsidRDefault="00BA20BA" w:rsidP="00BA2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Ú. v. EÚ L 176, 27.6.2013, s. 1.</w:t>
      </w:r>
    </w:p>
  </w:footnote>
  <w:footnote w:id="2">
    <w:p w:rsidR="007067A9" w:rsidRPr="00FC42BE" w:rsidRDefault="007067A9" w:rsidP="007067A9">
      <w:pPr>
        <w:pStyle w:val="FootnoteText"/>
      </w:pPr>
      <w:r>
        <w:rPr>
          <w:rStyle w:val="FootnoteReference"/>
        </w:rPr>
        <w:footnoteRef/>
      </w:r>
      <w:r>
        <w:tab/>
        <w:t>Vykonávacie nariadenie Komisie (EÚ) 2021/637</w:t>
      </w:r>
      <w:r w:rsidR="00DA0692">
        <w:t xml:space="preserve"> z </w:t>
      </w:r>
      <w:r>
        <w:t>15. marca 2021, ktorým sa stanovujú vykonávacie technické predpisy, pokiaľ ide</w:t>
      </w:r>
      <w:r w:rsidR="00DA0692">
        <w:t xml:space="preserve"> o </w:t>
      </w:r>
      <w:r>
        <w:t>zverejňovanie informácií uvedených</w:t>
      </w:r>
      <w:r w:rsidR="00DA0692">
        <w:t xml:space="preserve"> v </w:t>
      </w:r>
      <w:r>
        <w:t>ôsmej časti hlavách II</w:t>
      </w:r>
      <w:r w:rsidR="00DA0692">
        <w:t xml:space="preserve"> a </w:t>
      </w:r>
      <w:r>
        <w:t>III nariadenia Európskeho parlamentu</w:t>
      </w:r>
      <w:r w:rsidR="00DA0692">
        <w:t xml:space="preserve"> a </w:t>
      </w:r>
      <w:r>
        <w:t>Rady (EÚ) č. 575/2013 inštitúciami,</w:t>
      </w:r>
      <w:r w:rsidR="00DA0692">
        <w:t xml:space="preserve"> a </w:t>
      </w:r>
      <w:r>
        <w:t>ktorým sa zrušuje vykonávacie nariadenie Komisie (EÚ) č. 1423/2013, delegované nariadenie Komisie (EÚ) 2015/1555, vykonávacie nariadenie Komisie (EÚ) 2016/200</w:t>
      </w:r>
      <w:r w:rsidR="00DA0692">
        <w:t xml:space="preserve"> a </w:t>
      </w:r>
      <w:r>
        <w:t>delegované nariadenie Komisie (EÚ) 2017/2295 (Ú. v. EÚ L 136, 21.4.2021, s. 1).</w:t>
      </w:r>
    </w:p>
  </w:footnote>
  <w:footnote w:id="3">
    <w:p w:rsidR="007067A9" w:rsidRPr="007067A9" w:rsidRDefault="007067A9" w:rsidP="007067A9">
      <w:pPr>
        <w:pStyle w:val="FootnoteText"/>
      </w:pPr>
      <w:r>
        <w:rPr>
          <w:rStyle w:val="FootnoteReference"/>
        </w:rPr>
        <w:footnoteRef/>
      </w:r>
      <w:r>
        <w:tab/>
        <w:t>Nariadenie Európskeho parlamentu</w:t>
      </w:r>
      <w:r w:rsidR="00DA0692">
        <w:t xml:space="preserve"> a </w:t>
      </w:r>
      <w:r>
        <w:t>Rady (EÚ) 2019/876</w:t>
      </w:r>
      <w:r w:rsidR="00DA0692">
        <w:t xml:space="preserve"> z </w:t>
      </w:r>
      <w:r>
        <w:t>20. mája 2019, ktorým sa mení nariadenie (EÚ) č. 575/2013, pokiaľ ide</w:t>
      </w:r>
      <w:r w:rsidR="00DA0692">
        <w:t xml:space="preserve"> o </w:t>
      </w:r>
      <w:r>
        <w:t>ukazovateľ finančnej páky, ukazovateľ čistého stabilného financovania, požiadavky na vlastné zdroje</w:t>
      </w:r>
      <w:r w:rsidR="00DA0692">
        <w:t xml:space="preserve"> a </w:t>
      </w:r>
      <w:r>
        <w:t>oprávnené záväzky, kreditné riziko protistrany, trhové riziko, expozície voči centrálnym protistranám, expozície voči podnikom kolektívneho investovania, veľkú majetkovú angažovanosť, požiadavky na predkladanie správ</w:t>
      </w:r>
      <w:r w:rsidR="00DA0692">
        <w:t xml:space="preserve"> a </w:t>
      </w:r>
      <w:r>
        <w:t>zverejňovanie informácií,</w:t>
      </w:r>
      <w:r w:rsidR="00DA0692">
        <w:t xml:space="preserve"> a </w:t>
      </w:r>
      <w:r>
        <w:t>ktorým sa mení nariadenie (EÚ) č. 648/2012 (Ú. v. EÚ L 150, 7.6.2019, s. 1).</w:t>
      </w:r>
    </w:p>
  </w:footnote>
  <w:footnote w:id="4">
    <w:p w:rsidR="00410340" w:rsidRPr="007067A9" w:rsidRDefault="00410340" w:rsidP="008B3E83">
      <w:pPr>
        <w:pStyle w:val="FootnoteText"/>
      </w:pPr>
      <w:r>
        <w:rPr>
          <w:rStyle w:val="FootnoteReference"/>
        </w:rPr>
        <w:footnoteRef/>
      </w:r>
      <w:r>
        <w:tab/>
        <w:t>Nariadenie Európskeho parlamentu</w:t>
      </w:r>
      <w:r w:rsidR="00DA0692">
        <w:t xml:space="preserve"> a </w:t>
      </w:r>
      <w:r>
        <w:t>Rady (EÚ) 2020/852</w:t>
      </w:r>
      <w:r w:rsidR="00DA0692">
        <w:t xml:space="preserve"> z </w:t>
      </w:r>
      <w:r>
        <w:t>18. júna 2020</w:t>
      </w:r>
      <w:r w:rsidR="00DA0692">
        <w:t xml:space="preserve"> o </w:t>
      </w:r>
      <w:r>
        <w:t>vytvorení rámca na uľahčenie udržateľných investícií</w:t>
      </w:r>
      <w:r w:rsidR="00DA0692">
        <w:t xml:space="preserve"> a o </w:t>
      </w:r>
      <w:r>
        <w:t>zmene nariadenia (EÚ) 2019/2088 (</w:t>
      </w:r>
      <w:r>
        <w:rPr>
          <w:rStyle w:val="Emphasis"/>
          <w:i w:val="0"/>
        </w:rPr>
        <w:t>Ú. v. EÚ L 198, 22.6.2020, s. 13</w:t>
      </w:r>
      <w:r>
        <w:t>).</w:t>
      </w:r>
    </w:p>
  </w:footnote>
  <w:footnote w:id="5">
    <w:p w:rsidR="00410340" w:rsidRPr="007067A9" w:rsidRDefault="00410340" w:rsidP="008B3E83">
      <w:pPr>
        <w:pStyle w:val="FootnoteText"/>
        <w:rPr>
          <w:i/>
        </w:rPr>
      </w:pPr>
      <w:r>
        <w:rPr>
          <w:rStyle w:val="FootnoteReference"/>
        </w:rPr>
        <w:footnoteRef/>
      </w:r>
      <w:r>
        <w:tab/>
        <w:t>Delegované nariadenie Komisie (EÚ) 2020/1818 zo 17. júla 2020, ktorým sa dopĺňa nariadenie Európskeho parlamentu</w:t>
      </w:r>
      <w:r w:rsidR="00DA0692">
        <w:t xml:space="preserve"> a </w:t>
      </w:r>
      <w:r>
        <w:t>Rady (EÚ) 2016/1011, pokiaľ ide</w:t>
      </w:r>
      <w:r w:rsidR="00DA0692">
        <w:t xml:space="preserve"> o </w:t>
      </w:r>
      <w:r>
        <w:t>minimálne normy pre referenčné hodnoty EÚ pre investície do transformácie hospodárstva</w:t>
      </w:r>
      <w:r w:rsidR="00DA0692">
        <w:t xml:space="preserve"> v </w:t>
      </w:r>
      <w:r>
        <w:t>súvislosti so zmenou klímy</w:t>
      </w:r>
      <w:r w:rsidR="00DA0692">
        <w:t xml:space="preserve"> a </w:t>
      </w:r>
      <w:r>
        <w:t>referenčné hodnoty EÚ pre investície</w:t>
      </w:r>
      <w:r w:rsidR="00DA0692">
        <w:t xml:space="preserve"> v </w:t>
      </w:r>
      <w:r>
        <w:t>súlade</w:t>
      </w:r>
      <w:r w:rsidR="00DA0692">
        <w:t xml:space="preserve"> s </w:t>
      </w:r>
      <w:r>
        <w:t>Parížskou dohodou (</w:t>
      </w:r>
      <w:r>
        <w:rPr>
          <w:rStyle w:val="Emphasis"/>
          <w:i w:val="0"/>
        </w:rPr>
        <w:t>Ú. v. EÚ L 406, 3.12.2020, s. 17</w:t>
      </w:r>
      <w:r>
        <w:t>).</w:t>
      </w:r>
    </w:p>
  </w:footnote>
  <w:footnote w:id="6">
    <w:p w:rsidR="00410340" w:rsidRPr="007067A9" w:rsidRDefault="00410340" w:rsidP="008B3E83">
      <w:pPr>
        <w:pStyle w:val="FootnoteText"/>
        <w:rPr>
          <w:color w:val="444444"/>
        </w:rPr>
      </w:pPr>
      <w:r>
        <w:rPr>
          <w:rStyle w:val="FootnoteReference"/>
        </w:rPr>
        <w:footnoteRef/>
      </w:r>
      <w:r>
        <w:tab/>
        <w:t>Smernica Európskeho parlamentu</w:t>
      </w:r>
      <w:r w:rsidR="00DA0692">
        <w:t xml:space="preserve"> a </w:t>
      </w:r>
      <w:r>
        <w:t>Rady 2010/31/EÚ</w:t>
      </w:r>
      <w:r w:rsidR="00DA0692">
        <w:t xml:space="preserve"> z </w:t>
      </w:r>
      <w:r>
        <w:t>19. mája 2010</w:t>
      </w:r>
      <w:r w:rsidR="00DA0692">
        <w:t xml:space="preserve"> o </w:t>
      </w:r>
      <w:r>
        <w:t>energetickej hospodárnosti budov (</w:t>
      </w:r>
      <w:r>
        <w:rPr>
          <w:rStyle w:val="Emphasis"/>
          <w:i w:val="0"/>
        </w:rPr>
        <w:t>Ú. v. EÚ L 153, 18.6.2010, s. 13</w:t>
      </w:r>
      <w:r>
        <w:t>).</w:t>
      </w:r>
    </w:p>
  </w:footnote>
  <w:footnote w:id="7">
    <w:p w:rsidR="00135CD4" w:rsidRPr="00135CD4" w:rsidRDefault="00135CD4" w:rsidP="00135CD4">
      <w:pPr>
        <w:pStyle w:val="FootnoteText"/>
      </w:pPr>
      <w:r>
        <w:rPr>
          <w:rStyle w:val="FootnoteReference"/>
        </w:rPr>
        <w:footnoteRef/>
      </w:r>
      <w:r>
        <w:tab/>
        <w:t>Smernica Európskeho parlamentu</w:t>
      </w:r>
      <w:r w:rsidR="00DA0692">
        <w:t xml:space="preserve"> a </w:t>
      </w:r>
      <w:r>
        <w:t>Rady 2013/34/EÚ</w:t>
      </w:r>
      <w:r w:rsidR="00DA0692">
        <w:t xml:space="preserve"> z </w:t>
      </w:r>
      <w:r>
        <w:t>26. júna 2013</w:t>
      </w:r>
      <w:r w:rsidR="00DA0692">
        <w:t xml:space="preserve"> o </w:t>
      </w:r>
      <w:r>
        <w:t>ročných účtovných závierkach, konsolidovaných účtovných závierkach</w:t>
      </w:r>
      <w:r w:rsidR="00DA0692">
        <w:t xml:space="preserve"> a </w:t>
      </w:r>
      <w:r>
        <w:t>súvisiacich správach určitých druhov podnikov, ktorou sa mení smernica Európskeho parlamentu</w:t>
      </w:r>
      <w:r w:rsidR="00DA0692">
        <w:t xml:space="preserve"> a </w:t>
      </w:r>
      <w:r>
        <w:t>Rady 2006/43/ES</w:t>
      </w:r>
      <w:r w:rsidR="00DA0692">
        <w:t xml:space="preserve"> a </w:t>
      </w:r>
      <w:r>
        <w:t>zrušujú smernice Rady 78/660/EHS</w:t>
      </w:r>
      <w:r w:rsidR="00DA0692">
        <w:t xml:space="preserve"> a </w:t>
      </w:r>
      <w:r>
        <w:t>83/349/EHS (Ú. v. EÚ L 182, 29.6.2013, s. 19).</w:t>
      </w:r>
    </w:p>
  </w:footnote>
  <w:footnote w:id="8">
    <w:p w:rsidR="00410340" w:rsidRPr="007067A9" w:rsidRDefault="00410340" w:rsidP="00410340">
      <w:pPr>
        <w:pStyle w:val="FootnoteText"/>
      </w:pPr>
      <w:r>
        <w:rPr>
          <w:rStyle w:val="FootnoteReference"/>
        </w:rPr>
        <w:footnoteRef/>
      </w:r>
      <w:r>
        <w:tab/>
        <w:t>Nariadenie Európskeho parlamentu</w:t>
      </w:r>
      <w:r w:rsidR="00DA0692">
        <w:t xml:space="preserve"> a </w:t>
      </w:r>
      <w:r>
        <w:t>Rady (EÚ) č. 1093/2010</w:t>
      </w:r>
      <w:r w:rsidR="00DA0692">
        <w:t xml:space="preserve"> z </w:t>
      </w:r>
      <w:r>
        <w:t>24. novembra 2010, ktorým sa zriaďuje Európsky orgán dohľadu (Európsky orgán pre bankovníctvo)</w:t>
      </w:r>
      <w:r w:rsidR="00DA0692">
        <w:t xml:space="preserve"> a </w:t>
      </w:r>
      <w:r>
        <w:t>ktorým sa mení</w:t>
      </w:r>
      <w:r w:rsidR="00DA0692">
        <w:t xml:space="preserve"> a </w:t>
      </w:r>
      <w:r>
        <w:t>dopĺňa rozhodnutie č. 716/2009/ES</w:t>
      </w:r>
      <w:r w:rsidR="00DA0692">
        <w:t xml:space="preserve"> a </w:t>
      </w:r>
      <w:r>
        <w:t>zrušuje rozhodnutie Komisie 2009/78/ES (Ú. v. EÚ L 331,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1"/>
  </w:num>
  <w:num w:numId="14">
    <w:abstractNumId w:val="13"/>
  </w:num>
  <w:num w:numId="15">
    <w:abstractNumId w:val="23"/>
  </w:num>
  <w:num w:numId="16">
    <w:abstractNumId w:val="11"/>
  </w:num>
  <w:num w:numId="17">
    <w:abstractNumId w:val="14"/>
  </w:num>
  <w:num w:numId="18">
    <w:abstractNumId w:val="15"/>
  </w:num>
  <w:num w:numId="19">
    <w:abstractNumId w:val="9"/>
  </w:num>
  <w:num w:numId="20">
    <w:abstractNumId w:val="22"/>
  </w:num>
  <w:num w:numId="21">
    <w:abstractNumId w:val="8"/>
  </w:num>
  <w:num w:numId="22">
    <w:abstractNumId w:val="16"/>
  </w:num>
  <w:num w:numId="23">
    <w:abstractNumId w:val="19"/>
  </w:num>
  <w:num w:numId="24">
    <w:abstractNumId w:val="20"/>
  </w:num>
  <w:num w:numId="25">
    <w:abstractNumId w:val="10"/>
  </w:num>
  <w:num w:numId="26">
    <w:abstractNumId w:val="18"/>
  </w:num>
  <w:num w:numId="2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36"/>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7592404-3990-4C93-A242-33B29B5F3B1F"/>
    <w:docVar w:name="LW_COVERPAGE_TYPE" w:val="1"/>
    <w:docVar w:name="LW_CROSSREFERENCE" w:val="&lt;UNUSED&gt;"/>
    <w:docVar w:name="LW_DATE.ADOPT.CP" w:val="z 30. 11. 2022"/>
    <w:docVar w:name="LW_DATE.ADOPT.CP_DATEFORMAT" w:val="z %DATE%,"/>
    <w:docVar w:name="LW_DATE.ADOPT.CP_ISODATE" w:val="2022-11-30"/>
    <w:docVar w:name="LW_DocType" w:val="COM"/>
    <w:docVar w:name="LW_EMISSION" w:val="30. 11. 2022"/>
    <w:docVar w:name="LW_EMISSION_ISODATE" w:val="2022-11-30"/>
    <w:docVar w:name="LW_EMISSION_LOCATION" w:val="BRX"/>
    <w:docVar w:name="LW_EMISSION_PREFIX" w:val="V Bruseli"/>
    <w:docVar w:name="LW_EMISSION_SUFFIX" w:val=" "/>
    <w:docVar w:name="LW_ID_DOCMODEL" w:val="SJ-004"/>
    <w:docVar w:name="LW_ID_DOCSIGNATURE" w:val="SJ-004"/>
    <w:docVar w:name="LW_ID_DOCSTRUCTURE" w:val="COM/AA"/>
    <w:docVar w:name="LW_ID_DOCTYPE" w:val="SJ-004"/>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orým sa menia vykonávacie technické predpisy stanovené vo vykonávacom nariadení (EÚ) 2021/637, pokiaľ ide o zverejňovanie informácií o rizikách environmentálneho, sociálneho a správneho dosahu _x000b_"/>
    <w:docVar w:name="LW_TYPE.DOC.CP" w:val="VYKONÁVACIE NARIADENIE KOMISIE (EÚ) …/..."/>
    <w:docVar w:name="LwApiVersions" w:val="LW4CoDe 1.23.2.0; LW 8.0, Build 20211117"/>
  </w:docVars>
  <w:rsids>
    <w:rsidRoot w:val="003C122C"/>
    <w:rsid w:val="000057BA"/>
    <w:rsid w:val="00012369"/>
    <w:rsid w:val="00013965"/>
    <w:rsid w:val="00014B2C"/>
    <w:rsid w:val="000163E0"/>
    <w:rsid w:val="00022FD2"/>
    <w:rsid w:val="00023A21"/>
    <w:rsid w:val="00024AB1"/>
    <w:rsid w:val="000337EA"/>
    <w:rsid w:val="00040BCC"/>
    <w:rsid w:val="0004104A"/>
    <w:rsid w:val="0006070A"/>
    <w:rsid w:val="00066156"/>
    <w:rsid w:val="00083B2C"/>
    <w:rsid w:val="00086FAB"/>
    <w:rsid w:val="00092C7C"/>
    <w:rsid w:val="000941B5"/>
    <w:rsid w:val="00095049"/>
    <w:rsid w:val="000A39E5"/>
    <w:rsid w:val="000A7517"/>
    <w:rsid w:val="000B1F8E"/>
    <w:rsid w:val="000B76A4"/>
    <w:rsid w:val="000C0D47"/>
    <w:rsid w:val="000D0F15"/>
    <w:rsid w:val="000E198E"/>
    <w:rsid w:val="000F3F2A"/>
    <w:rsid w:val="000F5934"/>
    <w:rsid w:val="00103B22"/>
    <w:rsid w:val="0011495F"/>
    <w:rsid w:val="00130925"/>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6433"/>
    <w:rsid w:val="00227B00"/>
    <w:rsid w:val="002314F6"/>
    <w:rsid w:val="00232E98"/>
    <w:rsid w:val="00236D1F"/>
    <w:rsid w:val="00244967"/>
    <w:rsid w:val="0024497F"/>
    <w:rsid w:val="002522BC"/>
    <w:rsid w:val="002815D4"/>
    <w:rsid w:val="00282860"/>
    <w:rsid w:val="00286E16"/>
    <w:rsid w:val="002B16C1"/>
    <w:rsid w:val="002C526A"/>
    <w:rsid w:val="002D1236"/>
    <w:rsid w:val="002E6EC7"/>
    <w:rsid w:val="002F776C"/>
    <w:rsid w:val="00301900"/>
    <w:rsid w:val="00303A4B"/>
    <w:rsid w:val="0031532F"/>
    <w:rsid w:val="00317925"/>
    <w:rsid w:val="00320A76"/>
    <w:rsid w:val="00320B78"/>
    <w:rsid w:val="003226A9"/>
    <w:rsid w:val="0032397C"/>
    <w:rsid w:val="0032597F"/>
    <w:rsid w:val="003276ED"/>
    <w:rsid w:val="00331719"/>
    <w:rsid w:val="0033740A"/>
    <w:rsid w:val="00353D88"/>
    <w:rsid w:val="003578D1"/>
    <w:rsid w:val="00362239"/>
    <w:rsid w:val="003965B3"/>
    <w:rsid w:val="00396F18"/>
    <w:rsid w:val="00397813"/>
    <w:rsid w:val="003A5DF1"/>
    <w:rsid w:val="003A6D93"/>
    <w:rsid w:val="003B4AF9"/>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A6F3E"/>
    <w:rsid w:val="004C0BD0"/>
    <w:rsid w:val="004C178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76501"/>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5590"/>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367FA"/>
    <w:rsid w:val="0094232C"/>
    <w:rsid w:val="00951EAF"/>
    <w:rsid w:val="00957D55"/>
    <w:rsid w:val="0096046C"/>
    <w:rsid w:val="00973740"/>
    <w:rsid w:val="00973E9E"/>
    <w:rsid w:val="00974379"/>
    <w:rsid w:val="00980139"/>
    <w:rsid w:val="009846A4"/>
    <w:rsid w:val="00986B33"/>
    <w:rsid w:val="00987AD5"/>
    <w:rsid w:val="00992A73"/>
    <w:rsid w:val="00994FD4"/>
    <w:rsid w:val="00995098"/>
    <w:rsid w:val="009A73D4"/>
    <w:rsid w:val="009B7138"/>
    <w:rsid w:val="009C5D3A"/>
    <w:rsid w:val="009D368C"/>
    <w:rsid w:val="009D6EB9"/>
    <w:rsid w:val="009E16FF"/>
    <w:rsid w:val="009E62A6"/>
    <w:rsid w:val="009F48FD"/>
    <w:rsid w:val="009F72A3"/>
    <w:rsid w:val="00A03A3E"/>
    <w:rsid w:val="00A11076"/>
    <w:rsid w:val="00A13E4F"/>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2B0C"/>
    <w:rsid w:val="00B137D8"/>
    <w:rsid w:val="00B25755"/>
    <w:rsid w:val="00B37F85"/>
    <w:rsid w:val="00B45C88"/>
    <w:rsid w:val="00B555F4"/>
    <w:rsid w:val="00B667EA"/>
    <w:rsid w:val="00B75C81"/>
    <w:rsid w:val="00B76A3B"/>
    <w:rsid w:val="00B8705E"/>
    <w:rsid w:val="00B87C8F"/>
    <w:rsid w:val="00B90FD9"/>
    <w:rsid w:val="00B94522"/>
    <w:rsid w:val="00BA20BA"/>
    <w:rsid w:val="00BB6E75"/>
    <w:rsid w:val="00BC21DD"/>
    <w:rsid w:val="00BE1E9F"/>
    <w:rsid w:val="00BE246D"/>
    <w:rsid w:val="00BF0A20"/>
    <w:rsid w:val="00BF17AA"/>
    <w:rsid w:val="00BF7813"/>
    <w:rsid w:val="00C0016D"/>
    <w:rsid w:val="00C069B8"/>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0692"/>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pPr>
      <w:keepNext/>
      <w:numPr>
        <w:numId w:val="2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k-SK"/>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sk-SK"/>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sk-SK"/>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2"/>
      </w:numPr>
      <w:spacing w:line="360" w:lineRule="auto"/>
    </w:pPr>
  </w:style>
  <w:style w:type="paragraph" w:customStyle="1" w:styleId="LegalNumPar2">
    <w:name w:val="LegalNumPar2"/>
    <w:basedOn w:val="Normal"/>
    <w:rsid w:val="008C6F3B"/>
    <w:pPr>
      <w:numPr>
        <w:ilvl w:val="1"/>
        <w:numId w:val="12"/>
      </w:numPr>
      <w:spacing w:line="360" w:lineRule="auto"/>
    </w:pPr>
  </w:style>
  <w:style w:type="paragraph" w:customStyle="1" w:styleId="LegalNumPar3">
    <w:name w:val="LegalNumPar3"/>
    <w:basedOn w:val="Normal"/>
    <w:rsid w:val="008C6F3B"/>
    <w:pPr>
      <w:numPr>
        <w:ilvl w:val="2"/>
        <w:numId w:val="12"/>
      </w:numPr>
      <w:spacing w:line="360" w:lineRule="auto"/>
    </w:pPr>
  </w:style>
  <w:style w:type="paragraph" w:styleId="Header">
    <w:name w:val="header"/>
    <w:basedOn w:val="Normal"/>
    <w:link w:val="HeaderChar"/>
    <w:uiPriority w:val="99"/>
    <w:unhideWhenUsed/>
    <w:rsid w:val="00BA20BA"/>
    <w:pPr>
      <w:tabs>
        <w:tab w:val="center" w:pos="4535"/>
        <w:tab w:val="right" w:pos="9071"/>
      </w:tabs>
      <w:spacing w:before="0"/>
    </w:pPr>
  </w:style>
  <w:style w:type="character" w:customStyle="1" w:styleId="HeaderChar">
    <w:name w:val="Header Char"/>
    <w:basedOn w:val="DefaultParagraphFont"/>
    <w:link w:val="Header"/>
    <w:uiPriority w:val="99"/>
    <w:rsid w:val="00BA20BA"/>
    <w:rPr>
      <w:rFonts w:ascii="Times New Roman" w:hAnsi="Times New Roman" w:cs="Times New Roman"/>
      <w:sz w:val="24"/>
      <w:lang w:val="sk-SK"/>
    </w:rPr>
  </w:style>
  <w:style w:type="paragraph" w:styleId="Footer">
    <w:name w:val="footer"/>
    <w:basedOn w:val="Normal"/>
    <w:link w:val="FooterChar"/>
    <w:uiPriority w:val="99"/>
    <w:unhideWhenUsed/>
    <w:rsid w:val="00BA20B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A20BA"/>
    <w:rPr>
      <w:rFonts w:ascii="Times New Roman" w:hAnsi="Times New Roman" w:cs="Times New Roman"/>
      <w:sz w:val="24"/>
      <w:lang w:val="sk-S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k-S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k-S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k-S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k-S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k-S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k-S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k-S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A20BA"/>
    <w:pPr>
      <w:tabs>
        <w:tab w:val="center" w:pos="7285"/>
        <w:tab w:val="right" w:pos="14003"/>
      </w:tabs>
      <w:spacing w:before="0"/>
    </w:pPr>
  </w:style>
  <w:style w:type="paragraph" w:customStyle="1" w:styleId="FooterLandscape">
    <w:name w:val="FooterLandscape"/>
    <w:basedOn w:val="Normal"/>
    <w:rsid w:val="00BA20B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A20B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A20BA"/>
    <w:pPr>
      <w:spacing w:before="0"/>
      <w:jc w:val="right"/>
    </w:pPr>
    <w:rPr>
      <w:sz w:val="28"/>
    </w:rPr>
  </w:style>
  <w:style w:type="paragraph" w:customStyle="1" w:styleId="FooterSensitivity">
    <w:name w:val="Footer Sensitivity"/>
    <w:basedOn w:val="Normal"/>
    <w:rsid w:val="00BA20B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3"/>
      </w:numPr>
    </w:pPr>
  </w:style>
  <w:style w:type="paragraph" w:customStyle="1" w:styleId="Tiret1">
    <w:name w:val="Tiret 1"/>
    <w:basedOn w:val="Point1"/>
    <w:pPr>
      <w:numPr>
        <w:numId w:val="14"/>
      </w:numPr>
    </w:pPr>
  </w:style>
  <w:style w:type="paragraph" w:customStyle="1" w:styleId="Tiret2">
    <w:name w:val="Tiret 2"/>
    <w:basedOn w:val="Point2"/>
    <w:pPr>
      <w:numPr>
        <w:numId w:val="15"/>
      </w:numPr>
    </w:pPr>
  </w:style>
  <w:style w:type="paragraph" w:customStyle="1" w:styleId="Tiret3">
    <w:name w:val="Tiret 3"/>
    <w:basedOn w:val="Point3"/>
    <w:pPr>
      <w:numPr>
        <w:numId w:val="16"/>
      </w:numPr>
    </w:pPr>
  </w:style>
  <w:style w:type="paragraph" w:customStyle="1" w:styleId="Tiret4">
    <w:name w:val="Tiret 4"/>
    <w:basedOn w:val="Point4"/>
    <w:pPr>
      <w:numPr>
        <w:numId w:val="17"/>
      </w:numPr>
    </w:pPr>
  </w:style>
  <w:style w:type="paragraph" w:customStyle="1" w:styleId="Tiret5">
    <w:name w:val="Tiret 5"/>
    <w:basedOn w:val="Point5"/>
    <w:pPr>
      <w:numPr>
        <w:numId w:val="1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9"/>
      </w:numPr>
    </w:pPr>
  </w:style>
  <w:style w:type="paragraph" w:customStyle="1" w:styleId="NumPar2">
    <w:name w:val="NumPar 2"/>
    <w:basedOn w:val="Normal"/>
    <w:next w:val="Text1"/>
    <w:pPr>
      <w:numPr>
        <w:ilvl w:val="1"/>
        <w:numId w:val="19"/>
      </w:numPr>
    </w:pPr>
  </w:style>
  <w:style w:type="paragraph" w:customStyle="1" w:styleId="NumPar3">
    <w:name w:val="NumPar 3"/>
    <w:basedOn w:val="Normal"/>
    <w:next w:val="Text1"/>
    <w:pPr>
      <w:numPr>
        <w:ilvl w:val="2"/>
        <w:numId w:val="19"/>
      </w:numPr>
    </w:pPr>
  </w:style>
  <w:style w:type="paragraph" w:customStyle="1" w:styleId="NumPar4">
    <w:name w:val="NumPar 4"/>
    <w:basedOn w:val="Normal"/>
    <w:next w:val="Text1"/>
    <w:pPr>
      <w:numPr>
        <w:ilvl w:val="3"/>
        <w:numId w:val="19"/>
      </w:numPr>
    </w:pPr>
  </w:style>
  <w:style w:type="paragraph" w:customStyle="1" w:styleId="NumPar5">
    <w:name w:val="NumPar 5"/>
    <w:basedOn w:val="Normal"/>
    <w:next w:val="Text2"/>
    <w:pPr>
      <w:numPr>
        <w:ilvl w:val="4"/>
        <w:numId w:val="19"/>
      </w:numPr>
    </w:pPr>
  </w:style>
  <w:style w:type="paragraph" w:customStyle="1" w:styleId="NumPar6">
    <w:name w:val="NumPar 6"/>
    <w:basedOn w:val="Normal"/>
    <w:next w:val="Text2"/>
    <w:pPr>
      <w:numPr>
        <w:ilvl w:val="5"/>
        <w:numId w:val="19"/>
      </w:numPr>
    </w:pPr>
  </w:style>
  <w:style w:type="paragraph" w:customStyle="1" w:styleId="NumPar7">
    <w:name w:val="NumPar 7"/>
    <w:basedOn w:val="Normal"/>
    <w:next w:val="Text2"/>
    <w:pPr>
      <w:numPr>
        <w:ilvl w:val="6"/>
        <w:numId w:val="1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1"/>
      </w:numPr>
    </w:pPr>
  </w:style>
  <w:style w:type="paragraph" w:customStyle="1" w:styleId="Point1number">
    <w:name w:val="Point 1 (number)"/>
    <w:basedOn w:val="Normal"/>
    <w:pPr>
      <w:numPr>
        <w:ilvl w:val="2"/>
        <w:numId w:val="21"/>
      </w:numPr>
    </w:pPr>
  </w:style>
  <w:style w:type="paragraph" w:customStyle="1" w:styleId="Point2number">
    <w:name w:val="Point 2 (number)"/>
    <w:basedOn w:val="Normal"/>
    <w:pPr>
      <w:numPr>
        <w:ilvl w:val="4"/>
        <w:numId w:val="21"/>
      </w:numPr>
    </w:pPr>
  </w:style>
  <w:style w:type="paragraph" w:customStyle="1" w:styleId="Point3number">
    <w:name w:val="Point 3 (number)"/>
    <w:basedOn w:val="Normal"/>
    <w:pPr>
      <w:numPr>
        <w:ilvl w:val="6"/>
        <w:numId w:val="21"/>
      </w:numPr>
    </w:pPr>
  </w:style>
  <w:style w:type="paragraph" w:customStyle="1" w:styleId="Point0letter">
    <w:name w:val="Point 0 (letter)"/>
    <w:basedOn w:val="Normal"/>
    <w:pPr>
      <w:numPr>
        <w:ilvl w:val="1"/>
        <w:numId w:val="21"/>
      </w:numPr>
    </w:pPr>
  </w:style>
  <w:style w:type="paragraph" w:customStyle="1" w:styleId="Point1letter">
    <w:name w:val="Point 1 (letter)"/>
    <w:basedOn w:val="Normal"/>
    <w:pPr>
      <w:numPr>
        <w:ilvl w:val="3"/>
        <w:numId w:val="21"/>
      </w:numPr>
    </w:pPr>
  </w:style>
  <w:style w:type="paragraph" w:customStyle="1" w:styleId="Point2letter">
    <w:name w:val="Point 2 (letter)"/>
    <w:basedOn w:val="Normal"/>
    <w:pPr>
      <w:numPr>
        <w:ilvl w:val="5"/>
        <w:numId w:val="21"/>
      </w:numPr>
    </w:pPr>
  </w:style>
  <w:style w:type="paragraph" w:customStyle="1" w:styleId="Point3letter">
    <w:name w:val="Point 3 (letter)"/>
    <w:basedOn w:val="Normal"/>
    <w:pPr>
      <w:numPr>
        <w:ilvl w:val="7"/>
        <w:numId w:val="21"/>
      </w:numPr>
    </w:pPr>
  </w:style>
  <w:style w:type="paragraph" w:customStyle="1" w:styleId="Point4letter">
    <w:name w:val="Point 4 (letter)"/>
    <w:basedOn w:val="Normal"/>
    <w:pPr>
      <w:numPr>
        <w:ilvl w:val="8"/>
        <w:numId w:val="21"/>
      </w:numPr>
    </w:pPr>
  </w:style>
  <w:style w:type="paragraph" w:customStyle="1" w:styleId="Bullet0">
    <w:name w:val="Bullet 0"/>
    <w:basedOn w:val="Normal"/>
    <w:pPr>
      <w:numPr>
        <w:numId w:val="22"/>
      </w:numPr>
    </w:pPr>
  </w:style>
  <w:style w:type="paragraph" w:customStyle="1" w:styleId="Bullet1">
    <w:name w:val="Bullet 1"/>
    <w:basedOn w:val="Normal"/>
    <w:pPr>
      <w:numPr>
        <w:numId w:val="23"/>
      </w:numPr>
    </w:pPr>
  </w:style>
  <w:style w:type="paragraph" w:customStyle="1" w:styleId="Bullet2">
    <w:name w:val="Bullet 2"/>
    <w:basedOn w:val="Normal"/>
    <w:pPr>
      <w:numPr>
        <w:numId w:val="24"/>
      </w:numPr>
    </w:pPr>
  </w:style>
  <w:style w:type="paragraph" w:customStyle="1" w:styleId="Bullet3">
    <w:name w:val="Bullet 3"/>
    <w:basedOn w:val="Normal"/>
    <w:pPr>
      <w:numPr>
        <w:numId w:val="25"/>
      </w:numPr>
    </w:pPr>
  </w:style>
  <w:style w:type="paragraph" w:customStyle="1" w:styleId="Bullet4">
    <w:name w:val="Bullet 4"/>
    <w:basedOn w:val="Normal"/>
    <w:pPr>
      <w:numPr>
        <w:numId w:val="2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2B96F-CE1F-4165-9402-272DA2522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58</TotalTime>
  <Pages>6</Pages>
  <Words>1632</Words>
  <Characters>9961</Characters>
  <Application>Microsoft Office Word</Application>
  <DocSecurity>0</DocSecurity>
  <Lines>184</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50</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