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9F639E" w:rsidRDefault="00DC2E2C" w:rsidP="00DC2E2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34FABD03-D3B1-4331-BF3D-66B93317630F" style="width:455.25pt;height:399pt">
            <v:imagedata r:id="rId8" o:title=""/>
          </v:shape>
        </w:pict>
      </w:r>
    </w:p>
    <w:p w:rsidR="003C122C" w:rsidRPr="009F639E" w:rsidRDefault="003C122C">
      <w:pPr>
        <w:rPr>
          <w:noProof/>
        </w:rPr>
        <w:sectPr w:rsidR="003C122C" w:rsidRPr="009F639E" w:rsidSect="00DC2E2C">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9F639E" w:rsidRDefault="009F639E" w:rsidP="009F639E">
      <w:pPr>
        <w:pStyle w:val="Typedudocument"/>
        <w:rPr>
          <w:noProof/>
        </w:rPr>
      </w:pPr>
      <w:bookmarkStart w:id="0" w:name="_GoBack"/>
      <w:bookmarkEnd w:id="0"/>
      <w:r w:rsidRPr="009F639E">
        <w:rPr>
          <w:noProof/>
        </w:rPr>
        <w:lastRenderedPageBreak/>
        <w:t>KOMISJONI RAKENDUSMÄÄRUS (EL) …/…,</w:t>
      </w:r>
    </w:p>
    <w:p w:rsidR="003C122C" w:rsidRPr="009F639E" w:rsidRDefault="006C4E58" w:rsidP="009F639E">
      <w:pPr>
        <w:pStyle w:val="Datedadoption"/>
        <w:rPr>
          <w:noProof/>
        </w:rPr>
      </w:pPr>
      <w:r>
        <w:t>30.11.2022,</w:t>
      </w:r>
    </w:p>
    <w:p w:rsidR="003C122C" w:rsidRPr="009F639E" w:rsidRDefault="009F639E" w:rsidP="009F639E">
      <w:pPr>
        <w:pStyle w:val="Titreobjet"/>
        <w:rPr>
          <w:noProof/>
        </w:rPr>
      </w:pPr>
      <w:r w:rsidRPr="009F639E">
        <w:rPr>
          <w:noProof/>
        </w:rPr>
        <w:t xml:space="preserve">millega muudetakse rakendusmääruses (EL) 2021/637 sätestatud rakenduslikke tehnilisi standardeid seoses keskkonna-, sotsiaalsete ja juhtimisriskide avalikustamisega </w:t>
      </w:r>
      <w:r w:rsidRPr="009F639E">
        <w:rPr>
          <w:noProof/>
        </w:rPr>
        <w:br/>
      </w:r>
    </w:p>
    <w:p w:rsidR="003C122C" w:rsidRPr="009F639E" w:rsidRDefault="009F639E" w:rsidP="009F639E">
      <w:pPr>
        <w:pStyle w:val="IntrtEEE"/>
        <w:rPr>
          <w:noProof/>
        </w:rPr>
      </w:pPr>
      <w:r w:rsidRPr="009F639E">
        <w:rPr>
          <w:noProof/>
        </w:rPr>
        <w:t>(EMPs kohaldatav tekst)</w:t>
      </w:r>
    </w:p>
    <w:p w:rsidR="003C122C" w:rsidRPr="009F639E" w:rsidRDefault="003C122C" w:rsidP="004E1EF9">
      <w:pPr>
        <w:pStyle w:val="Institutionquiagit"/>
        <w:rPr>
          <w:noProof/>
        </w:rPr>
      </w:pPr>
      <w:r w:rsidRPr="009F639E">
        <w:rPr>
          <w:noProof/>
        </w:rPr>
        <w:t>EUROOPA KOMISJON,</w:t>
      </w:r>
    </w:p>
    <w:p w:rsidR="003C122C" w:rsidRPr="009F639E" w:rsidRDefault="003C122C" w:rsidP="003C122C">
      <w:pPr>
        <w:rPr>
          <w:noProof/>
          <w:color w:val="000000"/>
        </w:rPr>
      </w:pPr>
      <w:r w:rsidRPr="009F639E">
        <w:rPr>
          <w:noProof/>
          <w:color w:val="000000"/>
        </w:rPr>
        <w:t>võttes arvesse Euroopa Liidu toimimise lepingut,</w:t>
      </w:r>
    </w:p>
    <w:p w:rsidR="003C122C" w:rsidRPr="009F639E" w:rsidRDefault="003C122C" w:rsidP="003C122C">
      <w:pPr>
        <w:rPr>
          <w:noProof/>
          <w:color w:val="000000"/>
        </w:rPr>
      </w:pPr>
      <w:r w:rsidRPr="009F639E">
        <w:rPr>
          <w:noProof/>
          <w:color w:val="000000"/>
        </w:rPr>
        <w:t>võttes arvesse Euroopa Parlamendi ja nõukogu 26. juuni 2013. aasta määrust (EL) nr 575/2013 krediidiasutuste ja investeerimisühingute suhtes kohaldatavate usaldatavusnõuete kohta ja määruse (EL) nr 648/2012 muutmise kohta,</w:t>
      </w:r>
      <w:r w:rsidRPr="009F639E">
        <w:rPr>
          <w:rStyle w:val="FootnoteReference"/>
          <w:noProof/>
        </w:rPr>
        <w:footnoteReference w:id="1"/>
      </w:r>
      <w:r w:rsidRPr="009F639E">
        <w:rPr>
          <w:noProof/>
          <w:color w:val="000000"/>
        </w:rPr>
        <w:t xml:space="preserve"> eriti selle artiklit 434a,</w:t>
      </w:r>
    </w:p>
    <w:p w:rsidR="003C122C" w:rsidRPr="009F639E" w:rsidRDefault="003C122C" w:rsidP="004E1EF9">
      <w:pPr>
        <w:rPr>
          <w:noProof/>
        </w:rPr>
      </w:pPr>
      <w:r w:rsidRPr="009F639E">
        <w:rPr>
          <w:noProof/>
        </w:rPr>
        <w:t>ning arvestades järgmist:</w:t>
      </w:r>
    </w:p>
    <w:p w:rsidR="00410340" w:rsidRPr="009F639E" w:rsidRDefault="003C38C7" w:rsidP="003C38C7">
      <w:pPr>
        <w:pStyle w:val="ManualConsidrant"/>
        <w:rPr>
          <w:noProof/>
          <w:color w:val="000000"/>
        </w:rPr>
      </w:pPr>
      <w:r w:rsidRPr="003C38C7">
        <w:t>(1)</w:t>
      </w:r>
      <w:r w:rsidRPr="003C38C7">
        <w:tab/>
      </w:r>
      <w:r w:rsidR="007067A9" w:rsidRPr="009F639E">
        <w:rPr>
          <w:noProof/>
        </w:rPr>
        <w:t>Komisjoni rakendusmääruses (EL) 2021/637</w:t>
      </w:r>
      <w:r w:rsidR="007067A9" w:rsidRPr="009F639E">
        <w:rPr>
          <w:rStyle w:val="FootnoteReference"/>
          <w:noProof/>
        </w:rPr>
        <w:footnoteReference w:id="2"/>
      </w:r>
      <w:r w:rsidR="007067A9" w:rsidRPr="009F639E">
        <w:rPr>
          <w:noProof/>
        </w:rPr>
        <w:t xml:space="preserve"> on sätestatud määruse (EL) nr 575/2013 II ja III jaotise kohaselt nõutava teabe ühtsed avalikustamise vormid ja nendega seotud juhised. Määrust (EL) nr 575/2013 muudeti määrusega (EL) 2019/876,</w:t>
      </w:r>
      <w:r w:rsidR="007067A9" w:rsidRPr="009F639E">
        <w:rPr>
          <w:rStyle w:val="FootnoteReference"/>
          <w:noProof/>
        </w:rPr>
        <w:footnoteReference w:id="3"/>
      </w:r>
      <w:r w:rsidR="007067A9" w:rsidRPr="009F639E">
        <w:rPr>
          <w:noProof/>
        </w:rPr>
        <w:t xml:space="preserve"> et muu hulgas lisada uus artikkel 449a. Kõnealuse artikli kohaselt peavad suured finantsinstitutsioonid, kes on emiteerinud väärtpabereid, mis on lubatud kauplemisele mis tahes liikmesriigi reguleeritud turul, alates 28. juunist 2022 avalikustama teabe keskkonna-, sotsiaalsete ja juhtimisriskide, sealhulgas füüsiliste ja üleminekuriskide kohta. Kõnealune määruse (EL) nr 575/2013 muudatus peaks kajastuma komisjoni rakendusmääruses (EL) 2021/637, milles tuleks lisaks olemasolevatele ühtsetele avalikustamisvormidele ja nendega seotud juhistele sätestada täiendavad ühtsed avalikustamisvormid ja nendega seotud juhised keskkonna-, sotsiaalsete ja juhtimisriskide avalikustamiseks.</w:t>
      </w:r>
    </w:p>
    <w:p w:rsidR="00410340" w:rsidRPr="009F639E" w:rsidRDefault="003C38C7" w:rsidP="003C38C7">
      <w:pPr>
        <w:pStyle w:val="ManualConsidrant"/>
        <w:rPr>
          <w:noProof/>
        </w:rPr>
      </w:pPr>
      <w:r w:rsidRPr="003C38C7">
        <w:t>(2)</w:t>
      </w:r>
      <w:r w:rsidRPr="003C38C7">
        <w:tab/>
      </w:r>
      <w:r w:rsidR="00410340" w:rsidRPr="009F639E">
        <w:rPr>
          <w:noProof/>
        </w:rPr>
        <w:t xml:space="preserve">Ühtsete avalikustamisvormide kehtestamisel tuleks täielikult arvesse võtta avalikustatava teabe olulisust. See tähendab, et finantsinstitutsioonide avalikustatavad andmed peaksid hõlmama ühelt poolt keskkonna-, sotsiaal- ja juhtimistegurite finantsmõju finantsinstitutsioonide majandus- ja finantstegevusele (nn </w:t>
      </w:r>
      <w:r w:rsidR="00410340" w:rsidRPr="009F639E">
        <w:rPr>
          <w:i/>
          <w:noProof/>
        </w:rPr>
        <w:t>outside-in-</w:t>
      </w:r>
      <w:r w:rsidR="00410340" w:rsidRPr="009F639E">
        <w:rPr>
          <w:noProof/>
        </w:rPr>
        <w:t xml:space="preserve">vaatekoht) ning teiselt poolt finantsinstitutsiooni enda tegevusest tulenevaid keskkonna-, sotsiaal- ja juhtimistegureid, mis omakorda muutuvad rahaliselt oluliseks, kui need mõjutavad finantsinstitutsioonide sidusrühmi (nn </w:t>
      </w:r>
      <w:r w:rsidR="00410340" w:rsidRPr="009F639E">
        <w:rPr>
          <w:i/>
          <w:noProof/>
        </w:rPr>
        <w:t>inside-out-</w:t>
      </w:r>
      <w:r w:rsidR="00410340" w:rsidRPr="009F639E">
        <w:rPr>
          <w:noProof/>
        </w:rPr>
        <w:t>vaatekoht). Seepärast peaksid kõnealuste andmete avalikustamiseks kasutatavad tabelid ja vormid pakkuma piisavalt põhjalikku ja võrreldavat teavet keskkonna-, sotsiaalsete ja juhtimisriskide kohta, võimaldades seega selle teabe kasutajatel hinnata finantsinstitutsioonide riskiprofiili.</w:t>
      </w:r>
    </w:p>
    <w:p w:rsidR="00410340" w:rsidRPr="009F639E" w:rsidRDefault="003C38C7" w:rsidP="003C38C7">
      <w:pPr>
        <w:pStyle w:val="ManualConsidrant"/>
        <w:rPr>
          <w:noProof/>
        </w:rPr>
      </w:pPr>
      <w:r w:rsidRPr="003C38C7">
        <w:t>(3)</w:t>
      </w:r>
      <w:r w:rsidRPr="003C38C7">
        <w:tab/>
      </w:r>
      <w:r w:rsidR="00A525E2" w:rsidRPr="009F639E">
        <w:rPr>
          <w:noProof/>
        </w:rPr>
        <w:t>Tuleb tagada ühtsus ja järjepidevus keskkonna-, sotsiaalsete ja juhtimisriskide valdkonnas vastu võetud muude Euroopa Liidu õigusaktidega. Keskkonna-, sotsiaalsete ja juhtimisriskide avalikustamist käsitlevates õigusnormides tuleks seetõttu arvesse võtta osutatud liidu õigusaktides sätestatud kriteeriume, liigitusi ja määratlusi. Neis õigusnormides tuleks eelkõige arvesse võtta keskkonnakestliku majandustegevuse kindlakstegemise ja liigitamise kriteeriume, mis on sätestatud Euroopa Parlamendi ja nõukogu määruses (EL) 2020/852</w:t>
      </w:r>
      <w:r w:rsidR="00A525E2" w:rsidRPr="009F639E">
        <w:rPr>
          <w:rStyle w:val="FootnoteReference"/>
          <w:noProof/>
        </w:rPr>
        <w:footnoteReference w:id="4"/>
      </w:r>
      <w:r w:rsidR="00A525E2" w:rsidRPr="009F639E">
        <w:rPr>
          <w:noProof/>
        </w:rPr>
        <w:t xml:space="preserve"> ning komisjoni delegeeritud määruses (EL) 2020/1818</w:t>
      </w:r>
      <w:r w:rsidR="00A525E2" w:rsidRPr="009F639E">
        <w:rPr>
          <w:rStyle w:val="FootnoteReference"/>
          <w:noProof/>
        </w:rPr>
        <w:footnoteReference w:id="5"/>
      </w:r>
      <w:r w:rsidR="00A525E2" w:rsidRPr="009F639E">
        <w:rPr>
          <w:noProof/>
        </w:rPr>
        <w:t>. Seoses teabe avalikustamisega finantsinstitutsioonide kinnisvaraportfelli energiatõhususe kohta tuleks arvesse võtta Euroopa Parlamendi ja nõukogu direktiivi 2010/31/EL</w:t>
      </w:r>
      <w:r w:rsidR="00A525E2" w:rsidRPr="009F639E">
        <w:rPr>
          <w:rStyle w:val="FootnoteReference"/>
          <w:noProof/>
        </w:rPr>
        <w:footnoteReference w:id="6"/>
      </w:r>
      <w:r w:rsidR="00A525E2" w:rsidRPr="009F639E">
        <w:rPr>
          <w:noProof/>
        </w:rPr>
        <w:t xml:space="preserve"> artikli 2 punktis 12 määratletud energiamärgisel esitatud teavet.</w:t>
      </w:r>
    </w:p>
    <w:p w:rsidR="00135CD4" w:rsidRPr="009F639E" w:rsidRDefault="003C38C7" w:rsidP="003C38C7">
      <w:pPr>
        <w:pStyle w:val="ManualConsidrant"/>
        <w:rPr>
          <w:noProof/>
        </w:rPr>
      </w:pPr>
      <w:r w:rsidRPr="003C38C7">
        <w:t>(4)</w:t>
      </w:r>
      <w:r w:rsidRPr="003C38C7">
        <w:tab/>
      </w:r>
      <w:r w:rsidR="00135CD4" w:rsidRPr="009F639E">
        <w:rPr>
          <w:noProof/>
        </w:rPr>
        <w:t>Euroopa Parlamendi ja nõukogu direktiivi 2013/34/EL</w:t>
      </w:r>
      <w:r w:rsidR="00135CD4" w:rsidRPr="009F639E">
        <w:rPr>
          <w:rStyle w:val="FootnoteReference"/>
          <w:noProof/>
        </w:rPr>
        <w:footnoteReference w:id="7"/>
      </w:r>
      <w:r w:rsidR="00135CD4" w:rsidRPr="009F639E">
        <w:rPr>
          <w:noProof/>
        </w:rPr>
        <w:t xml:space="preserve"> artiklite 19a ja 29a kohaselt peavad teatavad suurettevõtjad, kes on avaliku huvi üksused, või avaliku huvi üksused, kes on suure kontserni emaettevõtjad, esitama oma tegevusaruandes või konsolideeritud tegevusaruandes teabe oma tegevuse mõju kohta keskkonnaküsimustele, sotsiaalsetele ja töötajatega seotud küsimustele, inimõiguste austamisele ning korruptsioonivastaste võitlusega seotud küsimustele. See kohustus ei kehti aga muude ettevõtjate suhtes. Seetõttu ei ole ettevõtjad, kelle suhtes ei kohaldata direktiivi 2013/34/EL artikleid 19a ja 29a, kohustatud sellist teavet avalikustama ja nad ei pruugi olla suutelised sellist teavet finantsinstitutsioonidele esitama. Seega võib eeldada, et ettevõtjad, kes on finantsinstitutsioonide vastaspooled, esitavad seda teavet ja neid andmeid üksnes vabatahtlikult. Sellest hoolimata on asjakohane anda kõnealustele ettevõtjatele juhtnööre määruse (EL) 2020/852 artiklis 3 osutatud keskkonnakestliku majandustegevusega seotud riskipositsioonide osakaalu arvutamiseks, et seda teavet ja neid andmeid saaks esitada standardiseeritud ja võrreldavas vormis. Kui seda teavet ja neid andmeid ei esitata vabatahtlikult, peaksid finantsinstitutsioonid saama arvutada taksonoomiaga kooskõlas olevate riskipositsioonide osakaalu, kasutades hinnanguid või asendusandmeid.</w:t>
      </w:r>
    </w:p>
    <w:p w:rsidR="00921483" w:rsidRPr="009F639E" w:rsidRDefault="003C38C7" w:rsidP="003C38C7">
      <w:pPr>
        <w:pStyle w:val="ManualConsidrant"/>
        <w:rPr>
          <w:noProof/>
        </w:rPr>
      </w:pPr>
      <w:r w:rsidRPr="003C38C7">
        <w:t>(5)</w:t>
      </w:r>
      <w:r w:rsidRPr="003C38C7">
        <w:tab/>
      </w:r>
      <w:r w:rsidR="00A97285" w:rsidRPr="009F639E">
        <w:rPr>
          <w:noProof/>
        </w:rPr>
        <w:t>Määruse (EL) nr 575/2013 artikli 449a kohaselt tuleb teavet keskkonna-, sotsiaalsete ja juhtimisriskide kohta hakata avalikustama alates 28. juunist 2022 ning seda tuleb teha esimesel aastal kord aastas ja seejärel kaks korda aastas. Neil põhjustel tuleks esimeseks iga-aastaseks avalikustamise tähtpäevaks määrata 31. detsember 2022.</w:t>
      </w:r>
    </w:p>
    <w:p w:rsidR="00ED20D7" w:rsidRPr="009F639E" w:rsidRDefault="003C38C7" w:rsidP="003C38C7">
      <w:pPr>
        <w:pStyle w:val="ManualConsidrant"/>
        <w:rPr>
          <w:noProof/>
        </w:rPr>
      </w:pPr>
      <w:r w:rsidRPr="003C38C7">
        <w:t>(6)</w:t>
      </w:r>
      <w:r w:rsidRPr="003C38C7">
        <w:tab/>
      </w:r>
      <w:r w:rsidR="00410340" w:rsidRPr="009F639E">
        <w:rPr>
          <w:noProof/>
        </w:rPr>
        <w:t xml:space="preserve">Käesolev määrus põhineb Euroopa Pangandusjärelevalve poolt komisjonile esitatud rakenduslike tehniliste standardite eelnõul. </w:t>
      </w:r>
    </w:p>
    <w:p w:rsidR="00410340" w:rsidRPr="009F639E" w:rsidRDefault="003C38C7" w:rsidP="003C38C7">
      <w:pPr>
        <w:pStyle w:val="ManualConsidrant"/>
        <w:rPr>
          <w:noProof/>
        </w:rPr>
      </w:pPr>
      <w:r w:rsidRPr="003C38C7">
        <w:t>(7)</w:t>
      </w:r>
      <w:r w:rsidRPr="003C38C7">
        <w:tab/>
      </w:r>
      <w:r w:rsidR="00ED20D7" w:rsidRPr="009F639E">
        <w:rPr>
          <w:noProof/>
        </w:rPr>
        <w:t>Euroopa Pangandusjärelevalve on korraldanud avalikud konsultatsioonid käesoleva määruse aluseks oleva rakenduslike tehniliste standardite eelnõu kohta, analüüsinud võimalikke seonduvaid kulusid ja tulusid ning küsinud nõu Euroopa Parlamendi ja nõukogu määruse (EL) nr 1093/2010</w:t>
      </w:r>
      <w:r w:rsidR="00ED20D7" w:rsidRPr="009F639E">
        <w:rPr>
          <w:rStyle w:val="FootnoteReference"/>
          <w:noProof/>
        </w:rPr>
        <w:footnoteReference w:id="8"/>
      </w:r>
      <w:r w:rsidR="00ED20D7" w:rsidRPr="009F639E">
        <w:rPr>
          <w:noProof/>
        </w:rPr>
        <w:t xml:space="preserve"> artikli 37 kohaselt loodud pangandussektori sidusrühmade kogult.</w:t>
      </w:r>
    </w:p>
    <w:p w:rsidR="00410340" w:rsidRPr="009F639E" w:rsidRDefault="003C38C7" w:rsidP="003C38C7">
      <w:pPr>
        <w:pStyle w:val="ManualConsidrant"/>
        <w:rPr>
          <w:noProof/>
        </w:rPr>
      </w:pPr>
      <w:r w:rsidRPr="003C38C7">
        <w:t>(8)</w:t>
      </w:r>
      <w:r w:rsidRPr="003C38C7">
        <w:tab/>
      </w:r>
      <w:r w:rsidR="00410340" w:rsidRPr="009F639E">
        <w:rPr>
          <w:noProof/>
        </w:rPr>
        <w:t>Rakendusmäärust (EL) 2021/637 tuleks seega vastavalt muuta,</w:t>
      </w:r>
    </w:p>
    <w:p w:rsidR="003C122C" w:rsidRPr="009F639E" w:rsidRDefault="003C122C" w:rsidP="004E1EF9">
      <w:pPr>
        <w:pStyle w:val="Formuledadoption"/>
        <w:rPr>
          <w:noProof/>
          <w:szCs w:val="24"/>
        </w:rPr>
      </w:pPr>
      <w:r w:rsidRPr="009F639E">
        <w:rPr>
          <w:noProof/>
        </w:rPr>
        <w:t>ON VASTU VÕTNUD KÄESOLEVA MÄÄRUSE:</w:t>
      </w:r>
    </w:p>
    <w:p w:rsidR="003C122C" w:rsidRPr="009F639E" w:rsidRDefault="003C122C" w:rsidP="004E1EF9">
      <w:pPr>
        <w:pStyle w:val="Titrearticle"/>
        <w:rPr>
          <w:noProof/>
          <w:szCs w:val="24"/>
        </w:rPr>
      </w:pPr>
      <w:r w:rsidRPr="009F639E">
        <w:rPr>
          <w:noProof/>
        </w:rPr>
        <w:t>Artikkel 1</w:t>
      </w:r>
    </w:p>
    <w:p w:rsidR="007F4F83" w:rsidRPr="009F639E" w:rsidRDefault="007F4F83" w:rsidP="00D00193">
      <w:pPr>
        <w:pStyle w:val="Titrearticle"/>
        <w:spacing w:before="120"/>
        <w:rPr>
          <w:b/>
          <w:i w:val="0"/>
          <w:noProof/>
          <w:szCs w:val="24"/>
        </w:rPr>
      </w:pPr>
      <w:r w:rsidRPr="009F639E">
        <w:rPr>
          <w:b/>
          <w:i w:val="0"/>
          <w:noProof/>
        </w:rPr>
        <w:t>Rakendusmääruse (EL) 2021/637 muutmine</w:t>
      </w:r>
    </w:p>
    <w:p w:rsidR="007F4F83" w:rsidRPr="009F639E" w:rsidRDefault="007F4F83" w:rsidP="007F4F83">
      <w:pPr>
        <w:pStyle w:val="Titrearticle"/>
        <w:jc w:val="left"/>
        <w:rPr>
          <w:rFonts w:eastAsiaTheme="minorEastAsia"/>
          <w:i w:val="0"/>
          <w:noProof/>
          <w:szCs w:val="24"/>
        </w:rPr>
      </w:pPr>
      <w:r w:rsidRPr="009F639E">
        <w:rPr>
          <w:i w:val="0"/>
          <w:noProof/>
        </w:rPr>
        <w:t>Rakendusmäärust (EL) 2021/637 muudetakse järgmiselt:</w:t>
      </w:r>
    </w:p>
    <w:p w:rsidR="007F4F83" w:rsidRPr="009F639E" w:rsidRDefault="003C38C7" w:rsidP="003C38C7">
      <w:pPr>
        <w:pStyle w:val="Point0"/>
        <w:rPr>
          <w:noProof/>
        </w:rPr>
      </w:pPr>
      <w:r w:rsidRPr="003C38C7">
        <w:t>(1)</w:t>
      </w:r>
      <w:r w:rsidRPr="003C38C7">
        <w:tab/>
      </w:r>
      <w:r w:rsidR="007F4F83" w:rsidRPr="009F639E">
        <w:rPr>
          <w:noProof/>
        </w:rPr>
        <w:t>Lisatakse järgmine artikkel 18a:</w:t>
      </w:r>
    </w:p>
    <w:p w:rsidR="007F4F83" w:rsidRPr="009F639E" w:rsidRDefault="006542E5" w:rsidP="004046D9">
      <w:pPr>
        <w:pStyle w:val="Titrearticle"/>
        <w:spacing w:before="120"/>
        <w:ind w:left="567" w:right="568"/>
        <w:rPr>
          <w:noProof/>
        </w:rPr>
      </w:pPr>
      <w:r w:rsidRPr="009F639E">
        <w:rPr>
          <w:noProof/>
        </w:rPr>
        <w:t>„Artikkel 18a</w:t>
      </w:r>
    </w:p>
    <w:p w:rsidR="007F4F83" w:rsidRPr="009F639E" w:rsidRDefault="007F4F83" w:rsidP="004046D9">
      <w:pPr>
        <w:pStyle w:val="Titrearticle"/>
        <w:spacing w:before="120"/>
        <w:ind w:left="567" w:right="568"/>
        <w:rPr>
          <w:b/>
          <w:i w:val="0"/>
          <w:noProof/>
        </w:rPr>
      </w:pPr>
      <w:r w:rsidRPr="009F639E">
        <w:rPr>
          <w:b/>
          <w:i w:val="0"/>
          <w:noProof/>
        </w:rPr>
        <w:t>Keskkonna-, sotsiaalsete ja juhtimisriskide avalikustamine</w:t>
      </w:r>
    </w:p>
    <w:p w:rsidR="007F4F83" w:rsidRPr="009F639E" w:rsidRDefault="003C38C7" w:rsidP="003C38C7">
      <w:pPr>
        <w:pStyle w:val="ManualNumPar1"/>
        <w:rPr>
          <w:noProof/>
        </w:rPr>
      </w:pPr>
      <w:r w:rsidRPr="003C38C7">
        <w:t>1.</w:t>
      </w:r>
      <w:r w:rsidRPr="003C38C7">
        <w:tab/>
      </w:r>
      <w:r w:rsidR="007F4F83" w:rsidRPr="009F639E">
        <w:rPr>
          <w:noProof/>
        </w:rPr>
        <w:t>Finantsinstitutsioonid avalikustavad määruse (EL) nr 575/2013 artiklis 449a osutatud teabe järgmiselt:</w:t>
      </w:r>
    </w:p>
    <w:p w:rsidR="002D1236" w:rsidRPr="009F639E" w:rsidRDefault="003C38C7" w:rsidP="003C38C7">
      <w:pPr>
        <w:pStyle w:val="Point1"/>
        <w:rPr>
          <w:noProof/>
        </w:rPr>
      </w:pPr>
      <w:r w:rsidRPr="003C38C7">
        <w:t>(a)</w:t>
      </w:r>
      <w:r w:rsidRPr="003C38C7">
        <w:tab/>
      </w:r>
      <w:r w:rsidR="002D1236" w:rsidRPr="009F639E">
        <w:rPr>
          <w:noProof/>
        </w:rPr>
        <w:t>kvalitatiivne teave keskkonna-, sotsiaalsete ja juhtimisriskide kohta, kasutades käesoleva määruse XXXIX lisas esitatud tabeleid 1, 2 ja 3 ning järgides käesoleva määruse XL lisas esitatud juhiseid;</w:t>
      </w:r>
    </w:p>
    <w:p w:rsidR="002D1236" w:rsidRPr="009F639E" w:rsidRDefault="003C38C7" w:rsidP="003C38C7">
      <w:pPr>
        <w:pStyle w:val="Point1"/>
        <w:rPr>
          <w:noProof/>
        </w:rPr>
      </w:pPr>
      <w:r w:rsidRPr="003C38C7">
        <w:t>(b)</w:t>
      </w:r>
      <w:r w:rsidRPr="003C38C7">
        <w:tab/>
      </w:r>
      <w:r w:rsidR="002D1236" w:rsidRPr="009F639E">
        <w:rPr>
          <w:noProof/>
        </w:rPr>
        <w:t>kvantitatiivne teave kliimamuutustega seotud üleminekuriski kohta, kasutades käesoleva määruse XXXIX lisas esitatud vorme 1–4 ning järgides käesoleva määruse XL lisas esitatud juhiseid;</w:t>
      </w:r>
    </w:p>
    <w:p w:rsidR="002D1236" w:rsidRPr="009F639E" w:rsidRDefault="003C38C7" w:rsidP="003C38C7">
      <w:pPr>
        <w:pStyle w:val="Point1"/>
        <w:rPr>
          <w:noProof/>
        </w:rPr>
      </w:pPr>
      <w:r w:rsidRPr="003C38C7">
        <w:t>(c)</w:t>
      </w:r>
      <w:r w:rsidRPr="003C38C7">
        <w:tab/>
      </w:r>
      <w:r w:rsidR="002D1236" w:rsidRPr="009F639E">
        <w:rPr>
          <w:noProof/>
        </w:rPr>
        <w:t>kvantitatiivne teave kliimamuutustega seotud füüsiliste riskide kohta, kasutades käesoleva määruse XXXIX lisas esitatud vormi 5 ning järgides käesoleva määruse XL lisas esitatud juhiseid;</w:t>
      </w:r>
    </w:p>
    <w:p w:rsidR="002D1236" w:rsidRPr="009F639E" w:rsidRDefault="003C38C7" w:rsidP="003C38C7">
      <w:pPr>
        <w:pStyle w:val="Point1"/>
        <w:rPr>
          <w:noProof/>
        </w:rPr>
      </w:pPr>
      <w:r w:rsidRPr="003C38C7">
        <w:t>(d)</w:t>
      </w:r>
      <w:r w:rsidRPr="003C38C7">
        <w:tab/>
      </w:r>
      <w:r w:rsidR="002D1236" w:rsidRPr="009F639E">
        <w:rPr>
          <w:noProof/>
        </w:rPr>
        <w:t>kvantitatiivne teave Euroopa Parlamendi ja nõukogu määruse (EL) 2020/852*1 artikli 3 kohaselt keskkonnakestlikuks peetava majandustegevusega seotud leevendusmeetmete kohta, mida võetakse nende vastaspoolte suhtes, kelle suhtes kohaldatakse Euroopa Parlamendi ja nõukogu direktiivi 2013/34/EL*2 artikleid 19a või 29a, kodumajapidamiste suhtes ja kohalike omavalitsuste suhtes, nagu on osutatud komisjoni rakendusmääruse (EL) 2021/451*3 V lisa 1. osa punkti 42 alapunktis b, kasutades käesoleva määruse XXXIX lisas esitatud vorme 6, 7 ja 8 ning järgides käesoleva määruse XL lisas esitatud juhiseid;</w:t>
      </w:r>
      <w:bookmarkStart w:id="1" w:name="_Hlk92470586"/>
      <w:bookmarkEnd w:id="1"/>
    </w:p>
    <w:p w:rsidR="00995098" w:rsidRPr="009F639E" w:rsidRDefault="003C38C7" w:rsidP="003C38C7">
      <w:pPr>
        <w:pStyle w:val="Point1"/>
        <w:rPr>
          <w:noProof/>
        </w:rPr>
      </w:pPr>
      <w:r w:rsidRPr="003C38C7">
        <w:t>(e)</w:t>
      </w:r>
      <w:r w:rsidRPr="003C38C7">
        <w:tab/>
      </w:r>
      <w:r w:rsidR="00995098" w:rsidRPr="009F639E">
        <w:rPr>
          <w:noProof/>
        </w:rPr>
        <w:t>kvantitatiivne teave muude kliimamuutustega seotud riskide leevendamiseks võetud meetmete ja asjaomaste riskipositsioonide kohta, mis on seotud majandustegevusega, mida ei saa pidada määruse (EL) 2020/852 artikli 3 kohaselt keskkonnakestlikuks, kuid mis toetab vastaspooli ülemineku- või kohanemisprotsessis kliimamuutuste leevendamise ja kliimamuutustega kohanemise eesmärkide saavutamiseks, kasutades käesoleva määruse XXXIX lisas esitatud vormi 10 ja järgides käesoleva määruse XL lisas esitatud juhiseid.</w:t>
      </w:r>
    </w:p>
    <w:p w:rsidR="008D2E23" w:rsidRPr="009F639E" w:rsidRDefault="003C38C7" w:rsidP="003C38C7">
      <w:pPr>
        <w:pStyle w:val="ManualNumPar1"/>
        <w:rPr>
          <w:noProof/>
        </w:rPr>
      </w:pPr>
      <w:r w:rsidRPr="003C38C7">
        <w:t>2.</w:t>
      </w:r>
      <w:r w:rsidRPr="003C38C7">
        <w:tab/>
      </w:r>
      <w:r w:rsidR="000941B5" w:rsidRPr="009F639E">
        <w:rPr>
          <w:noProof/>
        </w:rPr>
        <w:t>Finantsinstitutsioonid võivad otsustada avalikustada kvantitatiivset teavet kliimamuutustega seotud riskide leevendamiseks võetud meetmete ja asjaomaste riskipositsioonide kohta, mis on seotud majandustegevusega, mida saab määruse (EL) 2020/852 artikli 3 kohaselt pidada keskkonnakestlikuks, nende vastaspoolte suhtes, kes on rakendusmääruse (EL) 2021/451 V lisa 1. osa punkti 42 alapunktis e osutatud finantssektorivälised äriühingud, kelle suhtes ei kohaldata direktiivi 2013/34/EL artiklites 19a või 29a sätestatud avalikustamiskohustusi ega komisjoni rakendusmääruses (EL) 2021/2178</w:t>
      </w:r>
      <w:r w:rsidR="000941B5" w:rsidRPr="009F639E">
        <w:rPr>
          <w:noProof/>
          <w:vertAlign w:val="superscript"/>
        </w:rPr>
        <w:t>*4</w:t>
      </w:r>
      <w:r w:rsidR="000941B5" w:rsidRPr="009F639E">
        <w:rPr>
          <w:noProof/>
        </w:rPr>
        <w:t xml:space="preserve"> sätestatud avalikustamiskohustusi, kasutades käesoleva määruse XXXIX lisas esitatud vormi 9 ja järgides käesoleva määruse XL lisas esitatud juhiseid.</w:t>
      </w:r>
      <w:bookmarkStart w:id="2" w:name="_Hlk92470606"/>
      <w:bookmarkEnd w:id="2"/>
      <w:r w:rsidR="000941B5" w:rsidRPr="009F639E">
        <w:rPr>
          <w:noProof/>
        </w:rPr>
        <w:t xml:space="preserve"> </w:t>
      </w:r>
    </w:p>
    <w:p w:rsidR="002D1236" w:rsidRPr="009F639E" w:rsidRDefault="002D1236" w:rsidP="00353D88">
      <w:pPr>
        <w:pStyle w:val="Text1"/>
        <w:rPr>
          <w:noProof/>
        </w:rPr>
      </w:pPr>
      <w:r w:rsidRPr="009F639E">
        <w:rPr>
          <w:noProof/>
        </w:rPr>
        <w:t>Määruse (EL) 2020/852 artiklis 3 sätestatud nõuetele (taksonoomiaga kooskõlas olevad riskipositsioonid) vastava tegevusega seotud vastaspoolte suhtes olevate riskipositsioonide osakaalu arvutamiseks võivad finantsinstitutsioonid:</w:t>
      </w:r>
    </w:p>
    <w:p w:rsidR="00D23734" w:rsidRPr="009F639E" w:rsidRDefault="003C38C7" w:rsidP="003C38C7">
      <w:pPr>
        <w:pStyle w:val="Point1"/>
        <w:rPr>
          <w:noProof/>
        </w:rPr>
      </w:pPr>
      <w:r w:rsidRPr="003C38C7">
        <w:t>(a)</w:t>
      </w:r>
      <w:r w:rsidRPr="003C38C7">
        <w:tab/>
      </w:r>
      <w:r w:rsidR="008E7D06" w:rsidRPr="009F639E">
        <w:rPr>
          <w:noProof/>
        </w:rPr>
        <w:t>võimaluse korral kasutada oma vastaspooltelt saadud teavet, mis on esitatud vabatahtlikult ja kahepoolselt laenude väljastamise ning regulaarse krediidiriski kontrollimise ja krediidijärelevalve käigus;</w:t>
      </w:r>
    </w:p>
    <w:p w:rsidR="00D23734" w:rsidRPr="009F639E" w:rsidRDefault="003C38C7" w:rsidP="003C38C7">
      <w:pPr>
        <w:pStyle w:val="Point1"/>
        <w:rPr>
          <w:noProof/>
        </w:rPr>
      </w:pPr>
      <w:r w:rsidRPr="003C38C7">
        <w:t>(b)</w:t>
      </w:r>
      <w:r w:rsidRPr="003C38C7">
        <w:tab/>
      </w:r>
      <w:r w:rsidR="00B25755" w:rsidRPr="009F639E">
        <w:rPr>
          <w:noProof/>
        </w:rPr>
        <w:t>kui vastaspool ei ole suuteline või valmis esitama asjaomaseid andmeid kahepoolselt, kasutada sisehinnanguid ja asendusandmeid ning selgitada vormile lisatud kirjelduses, millises ulatuses on neid sisehinnanguid ja asendusandmeid kasutatud ning milliseid sisehinnanguid ja asendusandmeid on kohaldatud;</w:t>
      </w:r>
    </w:p>
    <w:p w:rsidR="002D1236" w:rsidRPr="009F639E" w:rsidRDefault="003C38C7" w:rsidP="003C38C7">
      <w:pPr>
        <w:pStyle w:val="Point1"/>
        <w:rPr>
          <w:noProof/>
        </w:rPr>
      </w:pPr>
      <w:r w:rsidRPr="003C38C7">
        <w:t>(c)</w:t>
      </w:r>
      <w:r w:rsidRPr="003C38C7">
        <w:tab/>
      </w:r>
      <w:r w:rsidR="00D23734" w:rsidRPr="009F639E">
        <w:rPr>
          <w:noProof/>
        </w:rPr>
        <w:t>kui nad ei saa asjaomast teavet kahepoolselt koguda või ei saa kasutada sisehinnanguid ja asendusandmeid või ei saa seda teavet koguda või kasutada neid hinnanguid ja asendusandmeid viisil, mis ei ole neile või nende vastaspooltele ülemäära koormav, selgitada seda suutmatust vormile lisatud kirjelduses.</w:t>
      </w:r>
    </w:p>
    <w:p w:rsidR="00320B78" w:rsidRPr="009F639E" w:rsidRDefault="00320B78" w:rsidP="00353D88">
      <w:pPr>
        <w:pStyle w:val="Text1"/>
        <w:rPr>
          <w:noProof/>
        </w:rPr>
      </w:pPr>
      <w:r w:rsidRPr="009F639E">
        <w:rPr>
          <w:noProof/>
        </w:rPr>
        <w:t>Punkti a kohaldamisel teavitavad finantsinstitutsioonid oma vastaspooli sellest, et sellise teabe esitamine on vabatahtlik.</w:t>
      </w:r>
    </w:p>
    <w:p w:rsidR="007F4F83" w:rsidRPr="009F639E" w:rsidRDefault="003C38C7" w:rsidP="003C38C7">
      <w:pPr>
        <w:pStyle w:val="ManualNumPar1"/>
        <w:rPr>
          <w:noProof/>
        </w:rPr>
      </w:pPr>
      <w:r w:rsidRPr="003C38C7">
        <w:t>3.</w:t>
      </w:r>
      <w:r w:rsidRPr="003C38C7">
        <w:tab/>
      </w:r>
      <w:r w:rsidR="006B71ED" w:rsidRPr="009F639E">
        <w:rPr>
          <w:noProof/>
        </w:rPr>
        <w:t>Kui käesoleva määruse XL lisas esitatud juhistes ei ole sätestatud teisiti, avalikustavad finantsinstitutsioonid alates 31. d</w:t>
      </w:r>
      <w:r w:rsidR="00A06090">
        <w:rPr>
          <w:noProof/>
        </w:rPr>
        <w:t>etsembrist 2022 määruse (EL) nr </w:t>
      </w:r>
      <w:r w:rsidR="006B71ED" w:rsidRPr="009F639E">
        <w:rPr>
          <w:noProof/>
        </w:rPr>
        <w:t>575/2013 artiklis 449a osutatud teabe järgmistel kuupäevadel:</w:t>
      </w:r>
    </w:p>
    <w:p w:rsidR="007F4F83" w:rsidRPr="009F639E" w:rsidRDefault="003C38C7" w:rsidP="003C38C7">
      <w:pPr>
        <w:pStyle w:val="Point1"/>
        <w:rPr>
          <w:noProof/>
        </w:rPr>
      </w:pPr>
      <w:r w:rsidRPr="003C38C7">
        <w:t>(a)</w:t>
      </w:r>
      <w:r w:rsidRPr="003C38C7">
        <w:tab/>
      </w:r>
      <w:r w:rsidR="007F4F83" w:rsidRPr="009F639E">
        <w:rPr>
          <w:noProof/>
        </w:rPr>
        <w:t>iga-aastase avalikustamise puhul: 31. detsember;</w:t>
      </w:r>
    </w:p>
    <w:p w:rsidR="00D01D57" w:rsidRPr="009F639E" w:rsidRDefault="003C38C7" w:rsidP="003C38C7">
      <w:pPr>
        <w:pStyle w:val="Point1"/>
        <w:rPr>
          <w:noProof/>
        </w:rPr>
      </w:pPr>
      <w:r w:rsidRPr="003C38C7">
        <w:t>(b)</w:t>
      </w:r>
      <w:r w:rsidRPr="003C38C7">
        <w:tab/>
      </w:r>
      <w:r w:rsidR="007F4F83" w:rsidRPr="009F639E">
        <w:rPr>
          <w:noProof/>
        </w:rPr>
        <w:t>poolaastaandmete avalikustamise puhul: iga aasta 30. juuni ja 31. detsember.</w:t>
      </w:r>
    </w:p>
    <w:p w:rsidR="00086FAB" w:rsidRPr="009F639E" w:rsidRDefault="001904B5" w:rsidP="0087679B">
      <w:pPr>
        <w:pStyle w:val="Text2"/>
        <w:rPr>
          <w:noProof/>
        </w:rPr>
      </w:pPr>
      <w:r w:rsidRPr="009F639E">
        <w:rPr>
          <w:noProof/>
        </w:rPr>
        <w:tab/>
        <w:t>___________</w:t>
      </w:r>
    </w:p>
    <w:p w:rsidR="00086FAB" w:rsidRPr="009F639E" w:rsidRDefault="00086FAB" w:rsidP="0087679B">
      <w:pPr>
        <w:pStyle w:val="Text3"/>
        <w:rPr>
          <w:noProof/>
          <w:sz w:val="20"/>
          <w:szCs w:val="20"/>
        </w:rPr>
      </w:pPr>
      <w:r w:rsidRPr="009F639E">
        <w:rPr>
          <w:noProof/>
          <w:sz w:val="20"/>
          <w:vertAlign w:val="superscript"/>
        </w:rPr>
        <w:t>*1</w:t>
      </w:r>
      <w:r w:rsidRPr="009F639E">
        <w:rPr>
          <w:noProof/>
        </w:rPr>
        <w:tab/>
      </w:r>
      <w:r w:rsidRPr="009F639E">
        <w:rPr>
          <w:noProof/>
          <w:sz w:val="20"/>
        </w:rPr>
        <w:t>Euroopa Parlamendi ja nõukogu 18. juuni 2020. aasta määrus (EL) 2020/852, millega kehtestatakse kestlike investeeringute hõlbustamise raamistik ja muudetakse määrust (EL) 2019/2088 (ELT L 198, 22.6.2020, lk 13).</w:t>
      </w:r>
    </w:p>
    <w:p w:rsidR="00086FAB" w:rsidRPr="009F639E" w:rsidRDefault="00086FAB" w:rsidP="004F6722">
      <w:pPr>
        <w:pStyle w:val="Text3"/>
        <w:rPr>
          <w:noProof/>
          <w:sz w:val="20"/>
          <w:szCs w:val="20"/>
        </w:rPr>
      </w:pPr>
      <w:r w:rsidRPr="009F639E">
        <w:rPr>
          <w:noProof/>
          <w:sz w:val="20"/>
          <w:vertAlign w:val="superscript"/>
        </w:rPr>
        <w:t>*2</w:t>
      </w:r>
      <w:r w:rsidRPr="009F639E">
        <w:rPr>
          <w:noProof/>
        </w:rPr>
        <w:tab/>
      </w:r>
      <w:r w:rsidRPr="009F639E">
        <w:rPr>
          <w:noProof/>
          <w:sz w:val="20"/>
        </w:rPr>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p w:rsidR="00086FAB" w:rsidRPr="009F639E" w:rsidRDefault="00086FAB" w:rsidP="0087679B">
      <w:pPr>
        <w:pStyle w:val="Text3"/>
        <w:rPr>
          <w:noProof/>
          <w:sz w:val="20"/>
          <w:szCs w:val="20"/>
        </w:rPr>
      </w:pPr>
      <w:r w:rsidRPr="009F639E">
        <w:rPr>
          <w:noProof/>
          <w:sz w:val="20"/>
          <w:vertAlign w:val="superscript"/>
        </w:rPr>
        <w:t>*3</w:t>
      </w:r>
      <w:r w:rsidRPr="009F639E">
        <w:rPr>
          <w:noProof/>
        </w:rPr>
        <w:tab/>
      </w:r>
      <w:r w:rsidRPr="009F639E">
        <w:rPr>
          <w:noProof/>
          <w:sz w:val="20"/>
        </w:rPr>
        <w:t>Komisjoni 17. detsembri 2020. aasta rakendusmäärus (EL) 2021/451, 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w:t>
      </w:r>
    </w:p>
    <w:p w:rsidR="00086FAB" w:rsidRPr="009F639E" w:rsidRDefault="00086FAB" w:rsidP="0087679B">
      <w:pPr>
        <w:pStyle w:val="Text3"/>
        <w:rPr>
          <w:noProof/>
          <w:sz w:val="20"/>
          <w:szCs w:val="20"/>
        </w:rPr>
      </w:pPr>
      <w:r w:rsidRPr="009F639E">
        <w:rPr>
          <w:noProof/>
          <w:sz w:val="20"/>
          <w:vertAlign w:val="superscript"/>
        </w:rPr>
        <w:t>*4</w:t>
      </w:r>
      <w:r w:rsidRPr="009F639E">
        <w:rPr>
          <w:noProof/>
        </w:rPr>
        <w:tab/>
      </w:r>
      <w:r w:rsidRPr="009F639E">
        <w:rPr>
          <w:noProof/>
          <w:sz w:val="20"/>
        </w:rPr>
        <w:t>Komisjoni 6. juuli 2021. aasta delegeeritud määrus (EL) 2021/2178, millega täiendatakse Euroopa Parlamendi ja nõukogu määrust (EL) 2020/852, täpsustades selliste ettevõtjate keskkonnasäästliku majandustegevuse kohta avalikustatava teabe sisu ja esitusviisi, kelle suhtes kohaldatakse direktiivi 2013/34/EL artiklit 19a või 29a, ja täpsustades kõnealuse avalikustamiskohustuse täitmise metoodikat (ELT L 443, 10.12.2021, lk 9).</w:t>
      </w:r>
    </w:p>
    <w:p w:rsidR="007F4F83" w:rsidRPr="009F639E" w:rsidRDefault="003C38C7" w:rsidP="003C38C7">
      <w:pPr>
        <w:pStyle w:val="Point0"/>
        <w:rPr>
          <w:noProof/>
        </w:rPr>
      </w:pPr>
      <w:r w:rsidRPr="003C38C7">
        <w:t>(2)</w:t>
      </w:r>
      <w:r w:rsidRPr="003C38C7">
        <w:tab/>
      </w:r>
      <w:r w:rsidR="00921483" w:rsidRPr="009F639E">
        <w:rPr>
          <w:noProof/>
        </w:rPr>
        <w:t xml:space="preserve">käesoleva määruse I lisas esitatud tekst lisatakse XXXIX lisana; </w:t>
      </w:r>
    </w:p>
    <w:p w:rsidR="007F4F83" w:rsidRPr="009F639E" w:rsidRDefault="003C38C7" w:rsidP="003C38C7">
      <w:pPr>
        <w:pStyle w:val="Point0"/>
        <w:rPr>
          <w:noProof/>
        </w:rPr>
      </w:pPr>
      <w:r w:rsidRPr="003C38C7">
        <w:t>(3)</w:t>
      </w:r>
      <w:r w:rsidRPr="003C38C7">
        <w:tab/>
      </w:r>
      <w:r w:rsidR="00921483" w:rsidRPr="009F639E">
        <w:rPr>
          <w:noProof/>
        </w:rPr>
        <w:t>käesoleva määruse II lisas esitatud tekst lisatakse XL lisana.</w:t>
      </w:r>
    </w:p>
    <w:p w:rsidR="007F4F83" w:rsidRPr="009F639E" w:rsidRDefault="007F4F83" w:rsidP="004046D9">
      <w:pPr>
        <w:pStyle w:val="Titrearticle"/>
        <w:rPr>
          <w:noProof/>
          <w:szCs w:val="24"/>
        </w:rPr>
      </w:pPr>
      <w:r w:rsidRPr="009F639E">
        <w:rPr>
          <w:noProof/>
        </w:rPr>
        <w:t>Artikkel 2</w:t>
      </w:r>
    </w:p>
    <w:p w:rsidR="007F4F83" w:rsidRPr="009F639E" w:rsidRDefault="007F4F83" w:rsidP="007F4F83">
      <w:pPr>
        <w:pStyle w:val="Titrearticle"/>
        <w:spacing w:before="120"/>
        <w:rPr>
          <w:b/>
          <w:i w:val="0"/>
          <w:noProof/>
          <w:szCs w:val="24"/>
        </w:rPr>
      </w:pPr>
      <w:r w:rsidRPr="009F639E">
        <w:rPr>
          <w:b/>
          <w:i w:val="0"/>
          <w:noProof/>
        </w:rPr>
        <w:t>Jõustumine</w:t>
      </w:r>
    </w:p>
    <w:p w:rsidR="007F4F83" w:rsidRPr="009F639E" w:rsidRDefault="007F4F83" w:rsidP="007F4F83">
      <w:pPr>
        <w:rPr>
          <w:noProof/>
          <w:color w:val="000000" w:themeColor="text1"/>
          <w:szCs w:val="24"/>
        </w:rPr>
      </w:pPr>
      <w:r w:rsidRPr="009F639E">
        <w:rPr>
          <w:noProof/>
        </w:rPr>
        <w:t xml:space="preserve">Käesolev määrus jõustub kahekümnendal päeval pärast selle avaldamist </w:t>
      </w:r>
      <w:r w:rsidRPr="009F639E">
        <w:rPr>
          <w:i/>
          <w:noProof/>
        </w:rPr>
        <w:t>Euroopa Liidu Teatajas</w:t>
      </w:r>
      <w:r w:rsidRPr="009F639E">
        <w:rPr>
          <w:noProof/>
        </w:rPr>
        <w:t>.</w:t>
      </w:r>
      <w:r w:rsidRPr="009F639E">
        <w:rPr>
          <w:noProof/>
          <w:color w:val="000000" w:themeColor="text1"/>
        </w:rPr>
        <w:t xml:space="preserve"> </w:t>
      </w:r>
    </w:p>
    <w:p w:rsidR="007F4F83" w:rsidRPr="009F639E" w:rsidRDefault="007F4F83" w:rsidP="007F4F83">
      <w:pPr>
        <w:pStyle w:val="Applicationdirecte"/>
        <w:rPr>
          <w:noProof/>
          <w:color w:val="000000"/>
          <w:szCs w:val="24"/>
        </w:rPr>
      </w:pPr>
      <w:r w:rsidRPr="009F639E">
        <w:rPr>
          <w:noProof/>
          <w:color w:val="000000"/>
        </w:rPr>
        <w:t>Käesolev määrus on tervikuna siduv ja vahetult kohaldatav kõikides liikmesriikides.</w:t>
      </w:r>
    </w:p>
    <w:p w:rsidR="003C122C" w:rsidRPr="009F639E" w:rsidRDefault="00DA2A88" w:rsidP="005731A8">
      <w:pPr>
        <w:pStyle w:val="Fait"/>
        <w:rPr>
          <w:noProof/>
        </w:rPr>
      </w:pPr>
      <w:r w:rsidRPr="00DA2A88">
        <w:t>Brüssel, 30.11.2022</w:t>
      </w:r>
    </w:p>
    <w:p w:rsidR="003C122C" w:rsidRPr="009F639E" w:rsidRDefault="003C122C" w:rsidP="005731A8">
      <w:pPr>
        <w:pStyle w:val="Institutionquisigne"/>
        <w:rPr>
          <w:noProof/>
          <w:szCs w:val="24"/>
        </w:rPr>
      </w:pPr>
      <w:r w:rsidRPr="009F639E">
        <w:rPr>
          <w:noProof/>
        </w:rPr>
        <w:tab/>
        <w:t>komisjoni nimel</w:t>
      </w:r>
    </w:p>
    <w:p w:rsidR="00C32BCD" w:rsidRPr="009F639E" w:rsidRDefault="00765D9F" w:rsidP="005731A8">
      <w:pPr>
        <w:pStyle w:val="Personnequisigne"/>
        <w:keepNext/>
        <w:rPr>
          <w:noProof/>
          <w:szCs w:val="24"/>
        </w:rPr>
      </w:pPr>
      <w:r>
        <w:tab/>
        <w:t>president</w:t>
      </w:r>
      <w:r>
        <w:br/>
      </w:r>
      <w:r>
        <w:tab/>
        <w:t>Ursula VON DER LEYEN</w:t>
      </w:r>
    </w:p>
    <w:p w:rsidR="00C32BCD" w:rsidRPr="009F639E" w:rsidRDefault="00C32BCD" w:rsidP="00C32BCD">
      <w:pPr>
        <w:pStyle w:val="Personnequisigne"/>
        <w:rPr>
          <w:noProof/>
          <w:szCs w:val="24"/>
        </w:rPr>
      </w:pPr>
    </w:p>
    <w:sectPr w:rsidR="00C32BCD" w:rsidRPr="009F639E" w:rsidSect="00DC2E2C">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39E" w:rsidRPr="00DC2E2C" w:rsidRDefault="00DC2E2C" w:rsidP="00DC2E2C">
    <w:pPr>
      <w:pStyle w:val="Footer"/>
      <w:rPr>
        <w:rFonts w:ascii="Arial" w:hAnsi="Arial" w:cs="Arial"/>
        <w:b/>
        <w:sz w:val="48"/>
      </w:rPr>
    </w:pPr>
    <w:r w:rsidRPr="00DC2E2C">
      <w:rPr>
        <w:rFonts w:ascii="Arial" w:hAnsi="Arial" w:cs="Arial"/>
        <w:b/>
        <w:sz w:val="48"/>
      </w:rPr>
      <w:t>ET</w:t>
    </w:r>
    <w:r w:rsidRPr="00DC2E2C">
      <w:rPr>
        <w:rFonts w:ascii="Arial" w:hAnsi="Arial" w:cs="Arial"/>
        <w:b/>
        <w:sz w:val="48"/>
      </w:rPr>
      <w:tab/>
    </w:r>
    <w:r w:rsidRPr="00DC2E2C">
      <w:rPr>
        <w:rFonts w:ascii="Arial" w:hAnsi="Arial" w:cs="Arial"/>
        <w:b/>
        <w:sz w:val="48"/>
      </w:rPr>
      <w:tab/>
    </w:r>
    <w:r w:rsidRPr="00DC2E2C">
      <w:tab/>
    </w:r>
    <w:r w:rsidRPr="00DC2E2C">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Footer"/>
      <w:rPr>
        <w:rFonts w:ascii="Arial" w:hAnsi="Arial" w:cs="Arial"/>
        <w:b/>
        <w:sz w:val="48"/>
      </w:rPr>
    </w:pPr>
    <w:r w:rsidRPr="00DC2E2C">
      <w:rPr>
        <w:rFonts w:ascii="Arial" w:hAnsi="Arial" w:cs="Arial"/>
        <w:b/>
        <w:sz w:val="48"/>
      </w:rPr>
      <w:t>ET</w:t>
    </w:r>
    <w:r w:rsidRPr="00DC2E2C">
      <w:rPr>
        <w:rFonts w:ascii="Arial" w:hAnsi="Arial" w:cs="Arial"/>
        <w:b/>
        <w:sz w:val="48"/>
      </w:rPr>
      <w:tab/>
    </w:r>
    <w:r>
      <w:fldChar w:fldCharType="begin"/>
    </w:r>
    <w:r>
      <w:instrText xml:space="preserve"> PAGE  \* MERGEFORMAT </w:instrText>
    </w:r>
    <w:r>
      <w:fldChar w:fldCharType="separate"/>
    </w:r>
    <w:r w:rsidR="005731A8">
      <w:rPr>
        <w:noProof/>
      </w:rPr>
      <w:t>5</w:t>
    </w:r>
    <w:r>
      <w:fldChar w:fldCharType="end"/>
    </w:r>
    <w:r>
      <w:tab/>
    </w:r>
    <w:r w:rsidRPr="00DC2E2C">
      <w:tab/>
    </w:r>
    <w:r w:rsidRPr="00DC2E2C">
      <w:rPr>
        <w:rFonts w:ascii="Arial" w:hAnsi="Arial" w:cs="Arial"/>
        <w:b/>
        <w:sz w:val="48"/>
      </w:rPr>
      <w:t>ET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ELT L 176, 27.6.2013, lk 1.</w:t>
      </w:r>
    </w:p>
  </w:footnote>
  <w:footnote w:id="2">
    <w:p w:rsidR="007067A9" w:rsidRPr="00FC42BE" w:rsidRDefault="007067A9" w:rsidP="007067A9">
      <w:pPr>
        <w:pStyle w:val="FootnoteText"/>
      </w:pPr>
      <w:r>
        <w:rPr>
          <w:rStyle w:val="FootnoteReference"/>
        </w:rPr>
        <w:footnoteRef/>
      </w:r>
      <w:r>
        <w:tab/>
        <w:t>Komisjoni 15. märtsi 2021. aasta rakendusmäärus (EL) 2021/637, millega kehtestatakse rakenduslikud tehnilised standardid seoses krediidiasutuste ja investeerimisühingute avalikustatava teabega, millele on osutatud Euroopa Parlamendi ja nõukogu määruse (EL) nr 575/2013 VIII osa II ja III jaotises, ning tunnistatakse kehtetuks komisjoni rakendusmäärus (EL) nr 1423/2013, komisjoni delegeeritud määrus (EL) 2015/1555, komisjoni rakendusmäärus (EL) 2016/200 ja komisjoni delegeeritud määrus (EL) 2017/2295 (ELT L 136, 21.4.2021, lk 1).</w:t>
      </w:r>
    </w:p>
  </w:footnote>
  <w:footnote w:id="3">
    <w:p w:rsidR="007067A9" w:rsidRPr="007067A9" w:rsidRDefault="007067A9" w:rsidP="007067A9">
      <w:pPr>
        <w:pStyle w:val="FootnoteText"/>
      </w:pPr>
      <w:r>
        <w:rPr>
          <w:rStyle w:val="FootnoteReference"/>
        </w:rPr>
        <w:footnoteRef/>
      </w:r>
      <w:r>
        <w:tab/>
        <w:t>Euroopa Parlamendi ja nõukogu 20. mai 2019. aasta määrus (EL) 2019/876, millega muudetakse määrust (EL) nr 575/2013 seoses finantsvõimenduse määra, stabiilse netorahastamise kordaja, omavahendite ja kõlblike kohustuste nõuete, vastaspoole krediidiriski, tururiski, kesksetes vastaspooltes olevate positsioonide, ühiseks investeerimiseks loodud ettevõtjates olevate riskipositsioonide, riskide kontsentreerumise, aruandlus- ja avalikustamisnõuetega ning mil</w:t>
      </w:r>
      <w:r w:rsidR="00A06090">
        <w:t>lega muudetakse määrust (EL) nr </w:t>
      </w:r>
      <w:r>
        <w:t>648/2012 (ELT L 150, 7.6.2019, lk 1).</w:t>
      </w:r>
    </w:p>
  </w:footnote>
  <w:footnote w:id="4">
    <w:p w:rsidR="00410340" w:rsidRPr="007067A9" w:rsidRDefault="00410340" w:rsidP="008B3E83">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w:t>
      </w:r>
    </w:p>
  </w:footnote>
  <w:footnote w:id="5">
    <w:p w:rsidR="00410340" w:rsidRPr="007067A9" w:rsidRDefault="00410340" w:rsidP="008B3E83">
      <w:pPr>
        <w:pStyle w:val="FootnoteText"/>
        <w:rPr>
          <w:i/>
        </w:rPr>
      </w:pPr>
      <w:r>
        <w:rPr>
          <w:rStyle w:val="FootnoteReference"/>
        </w:rPr>
        <w:footnoteRef/>
      </w:r>
      <w:r>
        <w:tab/>
        <w:t>Komisjoni 17. juuli 2020. aasta delegeeritud määrus (EL) 2020/1818, millega täiendatakse Euroopa Parlamendi ja nõukogu määrust (EL) 2016/1011 seoses ELi kliimaülemineku võrdlusaluste ja Pariisi kokkulepet järgivate ELi võrdlusaluste miinimumnõuetega (ELT L 406, 3.12.2020, lk 17).</w:t>
      </w:r>
    </w:p>
  </w:footnote>
  <w:footnote w:id="6">
    <w:p w:rsidR="00410340" w:rsidRPr="007067A9" w:rsidRDefault="00410340" w:rsidP="008B3E83">
      <w:pPr>
        <w:pStyle w:val="FootnoteText"/>
        <w:rPr>
          <w:color w:val="444444"/>
        </w:rPr>
      </w:pPr>
      <w:r>
        <w:rPr>
          <w:rStyle w:val="FootnoteReference"/>
        </w:rPr>
        <w:footnoteRef/>
      </w:r>
      <w:r>
        <w:tab/>
        <w:t>Euroopa Parlamendi ja nõukogu 19. mai 2010. aasta direktiiv 2010/31/EL hoonete energiatõhususe kohta (ELT L 153, 18.6.2010, lk 13).</w:t>
      </w:r>
    </w:p>
  </w:footnote>
  <w:footnote w:id="7">
    <w:p w:rsidR="00135CD4" w:rsidRPr="00135CD4" w:rsidRDefault="00135CD4" w:rsidP="00135CD4">
      <w:pPr>
        <w:pStyle w:val="FootnoteText"/>
      </w:pPr>
      <w:r>
        <w:rPr>
          <w:rStyle w:val="FootnoteReference"/>
        </w:rPr>
        <w:footnoteRef/>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8">
    <w:p w:rsidR="00410340" w:rsidRPr="007067A9" w:rsidRDefault="00410340" w:rsidP="00410340">
      <w:pPr>
        <w:pStyle w:val="FootnoteText"/>
      </w:pPr>
      <w:r>
        <w:rPr>
          <w:rStyle w:val="FootnoteReference"/>
        </w:rPr>
        <w:footnoteRef/>
      </w:r>
      <w:r>
        <w:tab/>
        <w:t>Euroopa Parlamendi ja nõukogu 24. novembri 2010. aasta määrus (EL) nr 1093/2010, millega asutatakse Euroopa Järelevalveasutus (Euroopa Pangandusjärelevalve), muudetakse otsust nr 716/2009/EÜ ning tunnistatakse kehtetuks komisjoni otsus 2009/7</w:t>
      </w:r>
      <w:r w:rsidR="00A06090">
        <w:t>8/EÜ (ELT L 331, 15.12.2010, lk </w:t>
      </w:r>
      <w: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2C" w:rsidRPr="00DC2E2C" w:rsidRDefault="00DC2E2C" w:rsidP="00DC2E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3:13"/>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4FABD03-D3B1-4331-BF3D-66B93317630F"/>
    <w:docVar w:name="LW_COVERPAGE_TYPE" w:val="1"/>
    <w:docVar w:name="LW_CROSSREFERENCE" w:val="&lt;UNUSED&gt;"/>
    <w:docVar w:name="LW_DATE.ADOPT.CP" w:val="30.11.2022,"/>
    <w:docVar w:name="LW_DATE.ADOPT.CP_DATEFORMAT" w:val="%DATE%,"/>
    <w:docVar w:name="LW_DATE.ADOPT.CP_ISODATE" w:val="2022-11-30"/>
    <w:docVar w:name="LW_DocType" w:val="COM"/>
    <w:docVar w:name="LW_EMISSION" w:val="30.11.2022"/>
    <w:docVar w:name="LW_EMISSION_ISODATE" w:val="2022-11-30"/>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muudetakse rakendusmääruses (EL) 2021/637 sätestatud rakenduslikke tehnilisi standardeid seoses keskkonna-, sotsiaalsete ja juhtimisriskide avalikustamisega _x000b_"/>
    <w:docVar w:name="LW_TYPE.DOC.CP" w:val="KOMISJONI RAKENDUSMÄÄRUS (EL)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77F52"/>
    <w:rsid w:val="00083B2C"/>
    <w:rsid w:val="00086FAB"/>
    <w:rsid w:val="00092C7C"/>
    <w:rsid w:val="000941B5"/>
    <w:rsid w:val="00095049"/>
    <w:rsid w:val="000A39E5"/>
    <w:rsid w:val="000A7517"/>
    <w:rsid w:val="000B1F8E"/>
    <w:rsid w:val="000B76A4"/>
    <w:rsid w:val="000C0D47"/>
    <w:rsid w:val="000C11D0"/>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38C7"/>
    <w:rsid w:val="003C70D6"/>
    <w:rsid w:val="003D22F0"/>
    <w:rsid w:val="003D5E0A"/>
    <w:rsid w:val="003E1B7D"/>
    <w:rsid w:val="0040294E"/>
    <w:rsid w:val="004046D9"/>
    <w:rsid w:val="00410340"/>
    <w:rsid w:val="0041104D"/>
    <w:rsid w:val="00413DA3"/>
    <w:rsid w:val="00414930"/>
    <w:rsid w:val="00414A4D"/>
    <w:rsid w:val="00427DDA"/>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31A8"/>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71ED"/>
    <w:rsid w:val="006C171D"/>
    <w:rsid w:val="006C4E58"/>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65D9F"/>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051C"/>
    <w:rsid w:val="00973740"/>
    <w:rsid w:val="00973E9E"/>
    <w:rsid w:val="00974379"/>
    <w:rsid w:val="009846A4"/>
    <w:rsid w:val="00986B33"/>
    <w:rsid w:val="00987AD5"/>
    <w:rsid w:val="00992A73"/>
    <w:rsid w:val="00994FD4"/>
    <w:rsid w:val="00995098"/>
    <w:rsid w:val="009A73D4"/>
    <w:rsid w:val="009B7138"/>
    <w:rsid w:val="009C5D3A"/>
    <w:rsid w:val="009D5BB9"/>
    <w:rsid w:val="009D6EB9"/>
    <w:rsid w:val="009E16FF"/>
    <w:rsid w:val="009E62A6"/>
    <w:rsid w:val="009F48FD"/>
    <w:rsid w:val="009F639E"/>
    <w:rsid w:val="009F72A3"/>
    <w:rsid w:val="00A03A3E"/>
    <w:rsid w:val="00A06090"/>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C01EE"/>
    <w:rsid w:val="00AD2CD3"/>
    <w:rsid w:val="00AE332F"/>
    <w:rsid w:val="00AE60C7"/>
    <w:rsid w:val="00AF4467"/>
    <w:rsid w:val="00B00A6D"/>
    <w:rsid w:val="00B137D8"/>
    <w:rsid w:val="00B17747"/>
    <w:rsid w:val="00B25755"/>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175E"/>
    <w:rsid w:val="00D34B59"/>
    <w:rsid w:val="00D44382"/>
    <w:rsid w:val="00D56C86"/>
    <w:rsid w:val="00D6695E"/>
    <w:rsid w:val="00D7007A"/>
    <w:rsid w:val="00D753AD"/>
    <w:rsid w:val="00D819E9"/>
    <w:rsid w:val="00DA20D3"/>
    <w:rsid w:val="00DA2A88"/>
    <w:rsid w:val="00DA6EF2"/>
    <w:rsid w:val="00DB337F"/>
    <w:rsid w:val="00DC2E2C"/>
    <w:rsid w:val="00DC51F2"/>
    <w:rsid w:val="00DD0951"/>
    <w:rsid w:val="00DD4BB1"/>
    <w:rsid w:val="00DE6779"/>
    <w:rsid w:val="00E02264"/>
    <w:rsid w:val="00E16C32"/>
    <w:rsid w:val="00E227DA"/>
    <w:rsid w:val="00E27B5B"/>
    <w:rsid w:val="00E357F8"/>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t-E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et-EE"/>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et-EE"/>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DC2E2C"/>
    <w:pPr>
      <w:tabs>
        <w:tab w:val="center" w:pos="4535"/>
        <w:tab w:val="right" w:pos="9071"/>
      </w:tabs>
      <w:spacing w:before="0"/>
    </w:pPr>
  </w:style>
  <w:style w:type="character" w:customStyle="1" w:styleId="HeaderChar">
    <w:name w:val="Header Char"/>
    <w:basedOn w:val="DefaultParagraphFont"/>
    <w:link w:val="Header"/>
    <w:uiPriority w:val="99"/>
    <w:rsid w:val="00DC2E2C"/>
    <w:rPr>
      <w:rFonts w:ascii="Times New Roman" w:hAnsi="Times New Roman" w:cs="Times New Roman"/>
      <w:sz w:val="24"/>
      <w:lang w:val="et-EE"/>
    </w:rPr>
  </w:style>
  <w:style w:type="paragraph" w:styleId="Footer">
    <w:name w:val="footer"/>
    <w:basedOn w:val="Normal"/>
    <w:link w:val="FooterChar"/>
    <w:uiPriority w:val="99"/>
    <w:unhideWhenUsed/>
    <w:rsid w:val="00DC2E2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C2E2C"/>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C2E2C"/>
    <w:pPr>
      <w:tabs>
        <w:tab w:val="center" w:pos="7285"/>
        <w:tab w:val="right" w:pos="14003"/>
      </w:tabs>
      <w:spacing w:before="0"/>
    </w:pPr>
  </w:style>
  <w:style w:type="paragraph" w:customStyle="1" w:styleId="FooterLandscape">
    <w:name w:val="FooterLandscape"/>
    <w:basedOn w:val="Normal"/>
    <w:rsid w:val="00DC2E2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C2E2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C2E2C"/>
    <w:pPr>
      <w:spacing w:before="0"/>
      <w:jc w:val="right"/>
    </w:pPr>
    <w:rPr>
      <w:sz w:val="28"/>
    </w:rPr>
  </w:style>
  <w:style w:type="paragraph" w:customStyle="1" w:styleId="FooterSensitivity">
    <w:name w:val="Footer Sensitivity"/>
    <w:basedOn w:val="Normal"/>
    <w:rsid w:val="00DC2E2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28F51-1E96-45AA-8455-AE04D09D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11</TotalTime>
  <Pages>6</Pages>
  <Words>1358</Words>
  <Characters>10213</Characters>
  <Application>Microsoft Office Word</Application>
  <DocSecurity>0</DocSecurity>
  <Lines>176</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49</cp:revision>
  <dcterms:created xsi:type="dcterms:W3CDTF">2022-10-28T13:10:00Z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