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10BBBACB" w:rsidR="00642A33" w:rsidRPr="001C19A0" w:rsidRDefault="00586FDA" w:rsidP="00586FDA">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007060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004372A3-945F-437E-BD38-8875A691A53B" style="width:455.15pt;height:438.5pt">
            <v:imagedata r:id="rId8" o:title=""/>
          </v:shape>
        </w:pict>
      </w:r>
    </w:p>
    <w:bookmarkEnd w:id="10"/>
    <w:p w14:paraId="2FD02E79" w14:textId="77777777" w:rsidR="00642A33" w:rsidRPr="001C19A0" w:rsidRDefault="00642A33" w:rsidP="00642A33">
      <w:pPr>
        <w:rPr>
          <w:rFonts w:asciiTheme="majorBidi" w:hAnsiTheme="majorBidi" w:cstheme="majorBidi"/>
          <w:noProof/>
        </w:rPr>
        <w:sectPr w:rsidR="00642A33" w:rsidRPr="001C19A0" w:rsidSect="00586FDA">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1C19A0" w:rsidRDefault="00F848CB" w:rsidP="00350EFD">
      <w:pPr>
        <w:pStyle w:val="Annexetitre"/>
        <w:rPr>
          <w:rFonts w:asciiTheme="majorBidi" w:hAnsiTheme="majorBidi" w:cstheme="majorBidi"/>
          <w:noProof/>
          <w:u w:val="none"/>
        </w:rPr>
      </w:pPr>
      <w:bookmarkStart w:id="11" w:name="_GoBack"/>
      <w:bookmarkEnd w:id="11"/>
      <w:r w:rsidRPr="001C19A0">
        <w:rPr>
          <w:rFonts w:asciiTheme="majorBidi" w:hAnsiTheme="majorBidi" w:cstheme="majorBidi"/>
          <w:noProof/>
          <w:u w:val="none"/>
        </w:rPr>
        <w:lastRenderedPageBreak/>
        <w:t>BG</w:t>
      </w:r>
    </w:p>
    <w:p w14:paraId="6093B431" w14:textId="039A3AAF" w:rsidR="009B0BC1" w:rsidRPr="001C19A0" w:rsidRDefault="009B0BC1" w:rsidP="00350EFD">
      <w:pPr>
        <w:pStyle w:val="Annexetitre"/>
        <w:rPr>
          <w:rFonts w:asciiTheme="majorBidi" w:hAnsiTheme="majorBidi" w:cstheme="majorBidi"/>
          <w:noProof/>
        </w:rPr>
      </w:pPr>
      <w:r w:rsidRPr="001C19A0">
        <w:rPr>
          <w:rFonts w:asciiTheme="majorBidi" w:hAnsiTheme="majorBidi" w:cstheme="majorBidi"/>
          <w:noProof/>
        </w:rPr>
        <w:t>ПРИЛОЖЕНИЕ II</w:t>
      </w:r>
    </w:p>
    <w:p w14:paraId="1D74ACA5" w14:textId="77777777" w:rsidR="00B43E07" w:rsidRPr="001C19A0" w:rsidRDefault="009B0BC1" w:rsidP="00350EFD">
      <w:pPr>
        <w:pStyle w:val="Annexetitre"/>
        <w:rPr>
          <w:rFonts w:asciiTheme="majorBidi" w:hAnsiTheme="majorBidi" w:cstheme="majorBidi"/>
          <w:b w:val="0"/>
          <w:noProof/>
        </w:rPr>
      </w:pPr>
      <w:r w:rsidRPr="001C19A0">
        <w:rPr>
          <w:rFonts w:asciiTheme="majorBidi" w:hAnsiTheme="majorBidi" w:cstheme="majorBidi"/>
          <w:noProof/>
        </w:rPr>
        <w:t>„Приложение XL — Указания за оповестяване на екологичните, социалните и управленските рискове</w:t>
      </w:r>
    </w:p>
    <w:p w14:paraId="200FFE8D" w14:textId="77777777" w:rsidR="0025017D" w:rsidRPr="001C19A0" w:rsidRDefault="0025017D" w:rsidP="001A08A2">
      <w:pPr>
        <w:jc w:val="both"/>
        <w:rPr>
          <w:rFonts w:asciiTheme="majorBidi" w:hAnsiTheme="majorBidi" w:cstheme="majorBidi"/>
          <w:noProof/>
          <w:sz w:val="24"/>
        </w:rPr>
      </w:pPr>
    </w:p>
    <w:p w14:paraId="20A51B13" w14:textId="20B78039" w:rsidR="00350FA5" w:rsidRPr="001C19A0" w:rsidRDefault="005348FB" w:rsidP="00B76863">
      <w:pPr>
        <w:pStyle w:val="ListParagraph"/>
        <w:numPr>
          <w:ilvl w:val="0"/>
          <w:numId w:val="11"/>
        </w:numPr>
        <w:spacing w:before="120" w:after="120"/>
        <w:ind w:left="567" w:hanging="567"/>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информацията, посочена в член 449а от Регламент (ЕС) № 575/2013, като следват указанията в настоящото приложение.  Указанията трябва да се използват при попълването на таблиците и образците в приложение XXXIX към настоящия регламент.</w:t>
      </w:r>
    </w:p>
    <w:p w14:paraId="790C760D" w14:textId="674659AA" w:rsidR="00866549" w:rsidRPr="001C19A0" w:rsidRDefault="00866549" w:rsidP="0071684B">
      <w:pPr>
        <w:pStyle w:val="NumPar2"/>
        <w:numPr>
          <w:ilvl w:val="0"/>
          <w:numId w:val="11"/>
        </w:numPr>
        <w:ind w:left="567" w:hanging="567"/>
        <w:rPr>
          <w:rFonts w:asciiTheme="majorBidi" w:hAnsiTheme="majorBidi" w:cstheme="majorBidi"/>
          <w:noProof/>
        </w:rPr>
      </w:pPr>
      <w:r w:rsidRPr="001C19A0">
        <w:rPr>
          <w:rFonts w:asciiTheme="majorBidi" w:hAnsiTheme="majorBidi" w:cstheme="majorBidi"/>
          <w:noProof/>
        </w:rPr>
        <w:t>За целите на настоящите указания следните термини трябва да се разбират, както следва:</w:t>
      </w:r>
    </w:p>
    <w:p w14:paraId="6E19BBDE" w14:textId="77777777" w:rsidR="00866549" w:rsidRPr="001C19A0" w:rsidRDefault="00866549" w:rsidP="00BD7C6D">
      <w:pPr>
        <w:pStyle w:val="Point1letter"/>
        <w:numPr>
          <w:ilvl w:val="3"/>
          <w:numId w:val="30"/>
        </w:numPr>
        <w:ind w:right="-8"/>
        <w:rPr>
          <w:rFonts w:asciiTheme="majorBidi" w:hAnsiTheme="majorBidi" w:cstheme="majorBidi"/>
          <w:noProof/>
          <w:szCs w:val="24"/>
        </w:rPr>
      </w:pPr>
      <w:r w:rsidRPr="001C19A0">
        <w:rPr>
          <w:rFonts w:asciiTheme="majorBidi" w:hAnsiTheme="majorBidi" w:cstheme="majorBidi"/>
          <w:noProof/>
        </w:rPr>
        <w:t>„екологични, социални и управленски (ЕСУ) рискове“ означава рискът от загуба поради отрицателните финансови последици за институцията от настоящото или бъдещото въздействие на екологичните, социалните и управленските фактори върху нейните контрагенти или инвестирани активи;</w:t>
      </w:r>
    </w:p>
    <w:p w14:paraId="6C492A42" w14:textId="77777777" w:rsidR="00866549" w:rsidRPr="001C19A0" w:rsidRDefault="00866549" w:rsidP="00BD7C6D">
      <w:pPr>
        <w:pStyle w:val="Point1letter"/>
        <w:numPr>
          <w:ilvl w:val="3"/>
          <w:numId w:val="30"/>
        </w:numPr>
        <w:ind w:right="-8"/>
        <w:rPr>
          <w:rFonts w:asciiTheme="majorBidi" w:hAnsiTheme="majorBidi" w:cstheme="majorBidi"/>
          <w:noProof/>
          <w:szCs w:val="24"/>
        </w:rPr>
      </w:pPr>
      <w:r w:rsidRPr="001C19A0">
        <w:rPr>
          <w:rFonts w:asciiTheme="majorBidi" w:hAnsiTheme="majorBidi" w:cstheme="majorBidi"/>
          <w:noProof/>
        </w:rPr>
        <w:t>„екологичен риск“ означава рискът от загуба поради отрицателните финансови последици за институцията от настоящото или бъдещото въздействие върху нейните контрагенти или инвестирани активи на екологичните фактори, в т.ч. на факторите, свързани с прехода за постигането на следните екологични цели:</w:t>
      </w:r>
    </w:p>
    <w:p w14:paraId="4DE7147F" w14:textId="77777777" w:rsidR="00866549" w:rsidRPr="001C19A0" w:rsidRDefault="00866549" w:rsidP="00BD7C6D">
      <w:pPr>
        <w:pStyle w:val="Point2number"/>
        <w:numPr>
          <w:ilvl w:val="4"/>
          <w:numId w:val="16"/>
        </w:numPr>
        <w:tabs>
          <w:tab w:val="clear" w:pos="1984"/>
        </w:tabs>
        <w:ind w:left="1701" w:right="-8"/>
        <w:rPr>
          <w:rFonts w:asciiTheme="majorBidi" w:hAnsiTheme="majorBidi" w:cstheme="majorBidi"/>
          <w:noProof/>
        </w:rPr>
      </w:pPr>
      <w:r w:rsidRPr="001C19A0">
        <w:rPr>
          <w:rFonts w:asciiTheme="majorBidi" w:hAnsiTheme="majorBidi" w:cstheme="majorBidi"/>
          <w:noProof/>
        </w:rPr>
        <w:t>смекчаване на изменението на климата;</w:t>
      </w:r>
    </w:p>
    <w:p w14:paraId="350A22FB" w14:textId="77777777" w:rsidR="00866549" w:rsidRPr="001C19A0" w:rsidRDefault="00866549" w:rsidP="00BD7C6D">
      <w:pPr>
        <w:pStyle w:val="Point2number"/>
        <w:numPr>
          <w:ilvl w:val="4"/>
          <w:numId w:val="16"/>
        </w:numPr>
        <w:tabs>
          <w:tab w:val="clear" w:pos="1984"/>
        </w:tabs>
        <w:ind w:left="1701" w:right="-8"/>
        <w:rPr>
          <w:rFonts w:asciiTheme="majorBidi" w:hAnsiTheme="majorBidi" w:cstheme="majorBidi"/>
          <w:noProof/>
        </w:rPr>
      </w:pPr>
      <w:r w:rsidRPr="001C19A0">
        <w:rPr>
          <w:rFonts w:asciiTheme="majorBidi" w:hAnsiTheme="majorBidi" w:cstheme="majorBidi"/>
          <w:noProof/>
        </w:rPr>
        <w:t>адаптиране към изменението на климата;</w:t>
      </w:r>
    </w:p>
    <w:p w14:paraId="60ECBEAA" w14:textId="3B256A73" w:rsidR="00866549" w:rsidRPr="001C19A0" w:rsidRDefault="00866549" w:rsidP="00BD7C6D">
      <w:pPr>
        <w:pStyle w:val="Point2number"/>
        <w:numPr>
          <w:ilvl w:val="4"/>
          <w:numId w:val="16"/>
        </w:numPr>
        <w:tabs>
          <w:tab w:val="clear" w:pos="1984"/>
        </w:tabs>
        <w:ind w:left="1701" w:right="-8"/>
        <w:rPr>
          <w:rFonts w:asciiTheme="majorBidi" w:hAnsiTheme="majorBidi" w:cstheme="majorBidi"/>
          <w:noProof/>
        </w:rPr>
      </w:pPr>
      <w:r w:rsidRPr="001C19A0">
        <w:rPr>
          <w:rFonts w:asciiTheme="majorBidi" w:hAnsiTheme="majorBidi" w:cstheme="majorBidi"/>
          <w:noProof/>
        </w:rPr>
        <w:t>устойчиво използване и опазване на водните и морските ресурси;</w:t>
      </w:r>
    </w:p>
    <w:p w14:paraId="755B6489" w14:textId="77777777" w:rsidR="00866549" w:rsidRPr="001C19A0" w:rsidRDefault="00866549" w:rsidP="00BD7C6D">
      <w:pPr>
        <w:pStyle w:val="Point2number"/>
        <w:numPr>
          <w:ilvl w:val="4"/>
          <w:numId w:val="16"/>
        </w:numPr>
        <w:tabs>
          <w:tab w:val="clear" w:pos="1984"/>
        </w:tabs>
        <w:ind w:left="1701" w:right="-8"/>
        <w:rPr>
          <w:rFonts w:asciiTheme="majorBidi" w:hAnsiTheme="majorBidi" w:cstheme="majorBidi"/>
          <w:noProof/>
        </w:rPr>
      </w:pPr>
      <w:r w:rsidRPr="001C19A0">
        <w:rPr>
          <w:rFonts w:asciiTheme="majorBidi" w:hAnsiTheme="majorBidi" w:cstheme="majorBidi"/>
          <w:noProof/>
        </w:rPr>
        <w:t>преход към кръгова икономика;</w:t>
      </w:r>
    </w:p>
    <w:p w14:paraId="4E2CC15F" w14:textId="77777777" w:rsidR="00866549" w:rsidRPr="001C19A0" w:rsidRDefault="00866549" w:rsidP="00BD7C6D">
      <w:pPr>
        <w:pStyle w:val="Point2number"/>
        <w:numPr>
          <w:ilvl w:val="4"/>
          <w:numId w:val="16"/>
        </w:numPr>
        <w:tabs>
          <w:tab w:val="clear" w:pos="1984"/>
        </w:tabs>
        <w:ind w:left="1701" w:right="-8"/>
        <w:rPr>
          <w:rFonts w:asciiTheme="majorBidi" w:hAnsiTheme="majorBidi" w:cstheme="majorBidi"/>
          <w:noProof/>
        </w:rPr>
      </w:pPr>
      <w:r w:rsidRPr="001C19A0">
        <w:rPr>
          <w:rFonts w:asciiTheme="majorBidi" w:hAnsiTheme="majorBidi" w:cstheme="majorBidi"/>
          <w:noProof/>
        </w:rPr>
        <w:t>предотвратяване и контрол на замърсяването;</w:t>
      </w:r>
    </w:p>
    <w:p w14:paraId="26033F0B" w14:textId="77777777" w:rsidR="00866549" w:rsidRPr="001C19A0" w:rsidRDefault="00866549" w:rsidP="00BD7C6D">
      <w:pPr>
        <w:pStyle w:val="Point2number"/>
        <w:numPr>
          <w:ilvl w:val="4"/>
          <w:numId w:val="16"/>
        </w:numPr>
        <w:tabs>
          <w:tab w:val="clear" w:pos="1984"/>
        </w:tabs>
        <w:ind w:left="1701" w:right="-8"/>
        <w:rPr>
          <w:rFonts w:asciiTheme="majorBidi" w:hAnsiTheme="majorBidi" w:cstheme="majorBidi"/>
          <w:noProof/>
        </w:rPr>
      </w:pPr>
      <w:r w:rsidRPr="001C19A0">
        <w:rPr>
          <w:rFonts w:asciiTheme="majorBidi" w:hAnsiTheme="majorBidi" w:cstheme="majorBidi"/>
          <w:noProof/>
        </w:rPr>
        <w:t>опазване и възстановяване на биологичното разнообразие и екосистемите.</w:t>
      </w:r>
    </w:p>
    <w:p w14:paraId="65964131" w14:textId="77777777" w:rsidR="00866549" w:rsidRPr="001C19A0" w:rsidRDefault="00866549" w:rsidP="00866549">
      <w:pPr>
        <w:pStyle w:val="Point2"/>
        <w:ind w:left="1134" w:right="568" w:firstLine="0"/>
        <w:rPr>
          <w:rFonts w:asciiTheme="majorBidi" w:hAnsiTheme="majorBidi" w:cstheme="majorBidi"/>
          <w:noProof/>
          <w:szCs w:val="24"/>
        </w:rPr>
      </w:pPr>
      <w:r w:rsidRPr="001C19A0">
        <w:rPr>
          <w:rFonts w:asciiTheme="majorBidi" w:hAnsiTheme="majorBidi" w:cstheme="majorBidi"/>
          <w:noProof/>
        </w:rPr>
        <w:t xml:space="preserve">Екологичният риск обхваща както физическия риск, така и риска от прехода. </w:t>
      </w:r>
    </w:p>
    <w:p w14:paraId="504FD77B" w14:textId="77777777" w:rsidR="00866549" w:rsidRPr="001C19A0" w:rsidRDefault="00866549" w:rsidP="00BD7C6D">
      <w:pPr>
        <w:pStyle w:val="Point1letter"/>
        <w:numPr>
          <w:ilvl w:val="3"/>
          <w:numId w:val="31"/>
        </w:numPr>
        <w:ind w:right="-8"/>
        <w:rPr>
          <w:rFonts w:asciiTheme="majorBidi" w:hAnsiTheme="majorBidi" w:cstheme="majorBidi"/>
          <w:noProof/>
          <w:szCs w:val="24"/>
        </w:rPr>
      </w:pPr>
      <w:r w:rsidRPr="001C19A0">
        <w:rPr>
          <w:rFonts w:asciiTheme="majorBidi" w:hAnsiTheme="majorBidi" w:cstheme="majorBidi"/>
          <w:noProof/>
        </w:rPr>
        <w:t>„физически риск“ означава, като част от общия екологичен риск, рискът от загуба поради отрицателните финансови последици за институцията от настоящото или бъдещото физическо въздействие на екологичните фактори върху нейните контрагенти или инвестирани активи;</w:t>
      </w:r>
    </w:p>
    <w:p w14:paraId="220A6BFE" w14:textId="77777777" w:rsidR="00866549" w:rsidRPr="001C19A0" w:rsidRDefault="00866549" w:rsidP="00BD7C6D">
      <w:pPr>
        <w:pStyle w:val="Point1letter"/>
        <w:numPr>
          <w:ilvl w:val="3"/>
          <w:numId w:val="31"/>
        </w:numPr>
        <w:ind w:right="-8"/>
        <w:rPr>
          <w:rFonts w:asciiTheme="majorBidi" w:hAnsiTheme="majorBidi" w:cstheme="majorBidi"/>
          <w:noProof/>
          <w:szCs w:val="24"/>
        </w:rPr>
      </w:pPr>
      <w:r w:rsidRPr="001C19A0">
        <w:rPr>
          <w:rFonts w:asciiTheme="majorBidi" w:hAnsiTheme="majorBidi" w:cstheme="majorBidi"/>
          <w:noProof/>
        </w:rPr>
        <w:t>„риск от прехода“ означава, като част от общия екологичен риск, рискът от загуба поради отрицателните финансови последици за институцията от настоящото или бъдещото въздействие върху нейните контрагенти или инвестирани активи на прехода към екологично устойчива икономика;</w:t>
      </w:r>
    </w:p>
    <w:p w14:paraId="04DDAEBE" w14:textId="77777777" w:rsidR="00866549" w:rsidRPr="001C19A0" w:rsidRDefault="00866549" w:rsidP="00BD7C6D">
      <w:pPr>
        <w:pStyle w:val="Point1letter"/>
        <w:numPr>
          <w:ilvl w:val="3"/>
          <w:numId w:val="31"/>
        </w:numPr>
        <w:ind w:right="-8"/>
        <w:rPr>
          <w:rFonts w:asciiTheme="majorBidi" w:hAnsiTheme="majorBidi" w:cstheme="majorBidi"/>
          <w:noProof/>
          <w:szCs w:val="24"/>
        </w:rPr>
      </w:pPr>
      <w:r w:rsidRPr="001C19A0">
        <w:rPr>
          <w:rFonts w:asciiTheme="majorBidi" w:hAnsiTheme="majorBidi" w:cstheme="majorBidi"/>
          <w:noProof/>
        </w:rPr>
        <w:t>„социален риск“ означава рискът от загуба поради отрицателните финансови последици за институцията от настоящото или бъдещото въздействие на социалните фактори върху нейните контрагенти или инвестирани активи;</w:t>
      </w:r>
    </w:p>
    <w:p w14:paraId="47855CBB" w14:textId="0ABD0110" w:rsidR="00866549" w:rsidRPr="001C19A0" w:rsidRDefault="00866549" w:rsidP="00BD7C6D">
      <w:pPr>
        <w:pStyle w:val="Point1letter"/>
        <w:numPr>
          <w:ilvl w:val="3"/>
          <w:numId w:val="31"/>
        </w:numPr>
        <w:ind w:right="-8"/>
        <w:rPr>
          <w:rFonts w:asciiTheme="majorBidi" w:hAnsiTheme="majorBidi" w:cstheme="majorBidi"/>
          <w:noProof/>
        </w:rPr>
      </w:pPr>
      <w:r w:rsidRPr="001C19A0">
        <w:rPr>
          <w:rFonts w:asciiTheme="majorBidi" w:hAnsiTheme="majorBidi" w:cstheme="majorBidi"/>
          <w:noProof/>
        </w:rPr>
        <w:t>„управленски риск“ означава рискът от загуба поради отрицателните финансови последици за институцията от настоящото или бъдещото въздействие на управленските фактори върху нейните контрагенти или инвестирани активи;</w:t>
      </w:r>
    </w:p>
    <w:p w14:paraId="62434421" w14:textId="4B35CC27" w:rsidR="00866549" w:rsidRPr="001C19A0" w:rsidRDefault="00866549" w:rsidP="00A04A43">
      <w:pPr>
        <w:pStyle w:val="ListParagraph"/>
        <w:numPr>
          <w:ilvl w:val="0"/>
          <w:numId w:val="11"/>
        </w:numPr>
        <w:spacing w:before="120" w:after="120"/>
        <w:jc w:val="both"/>
        <w:rPr>
          <w:rFonts w:asciiTheme="majorBidi" w:hAnsiTheme="majorBidi" w:cstheme="majorBidi"/>
          <w:b/>
          <w:noProof/>
          <w:sz w:val="24"/>
        </w:rPr>
      </w:pPr>
      <w:r w:rsidRPr="001C19A0">
        <w:rPr>
          <w:rFonts w:asciiTheme="majorBidi" w:hAnsiTheme="majorBidi" w:cstheme="majorBidi"/>
          <w:noProof/>
          <w:sz w:val="24"/>
        </w:rPr>
        <w:t xml:space="preserve">Позоваванията на рамката на политиката на Съюза и в международен план, както и на наличните референтни показатели в настоящите указания включват: </w:t>
      </w:r>
      <w:r w:rsidRPr="001C19A0">
        <w:rPr>
          <w:rFonts w:asciiTheme="majorBidi" w:hAnsiTheme="majorBidi" w:cstheme="majorBidi"/>
          <w:noProof/>
        </w:rPr>
        <w:t>Парижкото споразумение, прието по Рамковата конвенция на Обединените нации по изменение на климата</w:t>
      </w:r>
      <w:r w:rsidRPr="001C19A0">
        <w:rPr>
          <w:rFonts w:asciiTheme="majorBidi" w:hAnsiTheme="majorBidi" w:cstheme="majorBidi"/>
          <w:noProof/>
          <w:sz w:val="24"/>
          <w:vertAlign w:val="superscript"/>
        </w:rPr>
        <w:t>*</w:t>
      </w:r>
      <w:r w:rsidRPr="001C19A0">
        <w:rPr>
          <w:rFonts w:asciiTheme="majorBidi" w:hAnsiTheme="majorBidi" w:cstheme="majorBidi"/>
          <w:noProof/>
          <w:sz w:val="20"/>
          <w:vertAlign w:val="superscript"/>
        </w:rPr>
        <w:t xml:space="preserve">1 </w:t>
      </w:r>
      <w:r w:rsidRPr="001C19A0">
        <w:rPr>
          <w:rFonts w:asciiTheme="majorBidi" w:hAnsiTheme="majorBidi" w:cstheme="majorBidi"/>
          <w:noProof/>
          <w:sz w:val="20"/>
        </w:rPr>
        <w:t>(</w:t>
      </w:r>
      <w:r w:rsidRPr="001C19A0">
        <w:rPr>
          <w:rFonts w:asciiTheme="majorBidi" w:hAnsiTheme="majorBidi" w:cstheme="majorBidi"/>
          <w:noProof/>
          <w:sz w:val="24"/>
        </w:rPr>
        <w:t>„Парижкото споразумение“), Съобщението на Комисията относно Европейския зелен пакт</w:t>
      </w:r>
      <w:r w:rsidRPr="001C19A0">
        <w:rPr>
          <w:rFonts w:asciiTheme="majorBidi" w:hAnsiTheme="majorBidi" w:cstheme="majorBidi"/>
          <w:noProof/>
          <w:sz w:val="24"/>
          <w:vertAlign w:val="superscript"/>
        </w:rPr>
        <w:t>*2</w:t>
      </w:r>
      <w:r w:rsidRPr="001C19A0">
        <w:rPr>
          <w:rFonts w:asciiTheme="majorBidi" w:hAnsiTheme="majorBidi" w:cstheme="majorBidi"/>
          <w:noProof/>
          <w:sz w:val="24"/>
        </w:rPr>
        <w:t>, Директива 2013/34/ЕС на Европейския парламент и на Съвета</w:t>
      </w:r>
      <w:r w:rsidRPr="001C19A0">
        <w:rPr>
          <w:rFonts w:asciiTheme="majorBidi" w:hAnsiTheme="majorBidi" w:cstheme="majorBidi"/>
          <w:noProof/>
          <w:sz w:val="24"/>
          <w:vertAlign w:val="superscript"/>
        </w:rPr>
        <w:t>*3</w:t>
      </w:r>
      <w:r w:rsidRPr="001C19A0">
        <w:rPr>
          <w:rFonts w:asciiTheme="majorBidi" w:hAnsiTheme="majorBidi" w:cstheme="majorBidi"/>
          <w:noProof/>
          <w:sz w:val="24"/>
        </w:rPr>
        <w:t>,</w:t>
      </w:r>
      <w:r w:rsidRPr="001C19A0">
        <w:rPr>
          <w:rFonts w:asciiTheme="majorBidi" w:hAnsiTheme="majorBidi" w:cstheme="majorBidi"/>
          <w:noProof/>
          <w:sz w:val="24"/>
          <w:vertAlign w:val="superscript"/>
        </w:rPr>
        <w:t xml:space="preserve"> </w:t>
      </w:r>
      <w:r w:rsidRPr="001C19A0">
        <w:rPr>
          <w:rFonts w:asciiTheme="majorBidi" w:hAnsiTheme="majorBidi" w:cstheme="majorBidi"/>
          <w:noProof/>
          <w:sz w:val="24"/>
        </w:rPr>
        <w:t>Директива 2014/95/ЕС на Европейския парламент и на Съвета</w:t>
      </w:r>
      <w:r w:rsidRPr="001C19A0">
        <w:rPr>
          <w:rFonts w:asciiTheme="majorBidi" w:hAnsiTheme="majorBidi" w:cstheme="majorBidi"/>
          <w:noProof/>
          <w:sz w:val="24"/>
          <w:vertAlign w:val="superscript"/>
        </w:rPr>
        <w:t>*4</w:t>
      </w:r>
      <w:r w:rsidRPr="001C19A0">
        <w:rPr>
          <w:rFonts w:asciiTheme="majorBidi" w:hAnsiTheme="majorBidi" w:cstheme="majorBidi"/>
          <w:noProof/>
          <w:sz w:val="24"/>
        </w:rPr>
        <w:t>, Съобщението на Комисията „Насоки относно оповестяването на нефинансова информация: Допълнение относно оповестяването на свързана с климата информация“</w:t>
      </w:r>
      <w:r w:rsidRPr="001C19A0">
        <w:rPr>
          <w:rFonts w:asciiTheme="majorBidi" w:hAnsiTheme="majorBidi" w:cstheme="majorBidi"/>
          <w:noProof/>
          <w:sz w:val="24"/>
          <w:vertAlign w:val="superscript"/>
        </w:rPr>
        <w:t>*5</w:t>
      </w:r>
      <w:r w:rsidRPr="001C19A0">
        <w:rPr>
          <w:rFonts w:asciiTheme="majorBidi" w:hAnsiTheme="majorBidi" w:cstheme="majorBidi"/>
          <w:noProof/>
          <w:sz w:val="24"/>
        </w:rPr>
        <w:t>, насоките, предоставени в рамките на препоръките на Работната група за оповестяване на финансова информация във връзка с климата (TCFD)</w:t>
      </w:r>
      <w:r w:rsidRPr="001C19A0">
        <w:rPr>
          <w:rFonts w:asciiTheme="majorBidi" w:hAnsiTheme="majorBidi" w:cstheme="majorBidi"/>
          <w:noProof/>
          <w:sz w:val="24"/>
          <w:vertAlign w:val="superscript"/>
        </w:rPr>
        <w:t>*6</w:t>
      </w:r>
      <w:r w:rsidRPr="001C19A0">
        <w:rPr>
          <w:rFonts w:asciiTheme="majorBidi" w:hAnsiTheme="majorBidi" w:cstheme="majorBidi"/>
          <w:noProof/>
          <w:sz w:val="24"/>
        </w:rPr>
        <w:t>, Финансовата инициатива на Програмата на ООН за околната среда (UNEP FI)</w:t>
      </w:r>
      <w:r w:rsidRPr="001C19A0">
        <w:rPr>
          <w:rFonts w:asciiTheme="majorBidi" w:hAnsiTheme="majorBidi" w:cstheme="majorBidi"/>
          <w:noProof/>
          <w:sz w:val="24"/>
          <w:vertAlign w:val="superscript"/>
        </w:rPr>
        <w:t>*7</w:t>
      </w:r>
      <w:r w:rsidRPr="001C19A0">
        <w:rPr>
          <w:rFonts w:asciiTheme="majorBidi" w:hAnsiTheme="majorBidi" w:cstheme="majorBidi"/>
          <w:noProof/>
          <w:sz w:val="24"/>
        </w:rPr>
        <w:t>, Стандартите за отчитане на устойчивостта в рамките на глобалната инициатива за отчитане</w:t>
      </w:r>
      <w:r w:rsidRPr="001C19A0">
        <w:rPr>
          <w:rFonts w:asciiTheme="majorBidi" w:hAnsiTheme="majorBidi" w:cstheme="majorBidi"/>
          <w:noProof/>
          <w:sz w:val="24"/>
          <w:vertAlign w:val="superscript"/>
        </w:rPr>
        <w:t>*8</w:t>
      </w:r>
      <w:r w:rsidRPr="001C19A0">
        <w:rPr>
          <w:rFonts w:asciiTheme="majorBidi" w:hAnsiTheme="majorBidi" w:cstheme="majorBidi"/>
          <w:noProof/>
          <w:sz w:val="24"/>
        </w:rPr>
        <w:t>, както и Принципите на ООН за отговорно инвестиране (UNPRI)</w:t>
      </w:r>
      <w:r w:rsidRPr="001C19A0">
        <w:rPr>
          <w:rFonts w:asciiTheme="majorBidi" w:hAnsiTheme="majorBidi" w:cstheme="majorBidi"/>
          <w:noProof/>
          <w:sz w:val="24"/>
          <w:vertAlign w:val="superscript"/>
        </w:rPr>
        <w:t>*9</w:t>
      </w:r>
      <w:r w:rsidRPr="001C19A0">
        <w:rPr>
          <w:rFonts w:asciiTheme="majorBidi" w:hAnsiTheme="majorBidi" w:cstheme="majorBidi"/>
          <w:noProof/>
          <w:sz w:val="24"/>
        </w:rPr>
        <w:t>.</w:t>
      </w:r>
    </w:p>
    <w:p w14:paraId="499989CB" w14:textId="77777777" w:rsidR="00866549" w:rsidRPr="001C19A0" w:rsidRDefault="00866549" w:rsidP="001A08A2">
      <w:pPr>
        <w:jc w:val="both"/>
        <w:rPr>
          <w:rFonts w:asciiTheme="majorBidi" w:hAnsiTheme="majorBidi" w:cstheme="majorBidi"/>
          <w:b/>
          <w:noProof/>
          <w:sz w:val="24"/>
        </w:rPr>
      </w:pPr>
    </w:p>
    <w:p w14:paraId="2248087D" w14:textId="77777777" w:rsidR="000F505C" w:rsidRPr="001C19A0" w:rsidRDefault="004D24E6" w:rsidP="001A08A2">
      <w:pPr>
        <w:jc w:val="both"/>
        <w:rPr>
          <w:rFonts w:asciiTheme="majorBidi" w:hAnsiTheme="majorBidi" w:cstheme="majorBidi"/>
          <w:noProof/>
          <w:sz w:val="24"/>
        </w:rPr>
      </w:pPr>
      <w:r w:rsidRPr="001C19A0">
        <w:rPr>
          <w:rFonts w:asciiTheme="majorBidi" w:hAnsiTheme="majorBidi" w:cstheme="majorBidi"/>
          <w:b/>
          <w:noProof/>
          <w:sz w:val="24"/>
        </w:rPr>
        <w:t>Таблица 1 — Качествена информация относно екологичния риск:</w:t>
      </w:r>
      <w:r w:rsidRPr="001C19A0">
        <w:rPr>
          <w:rFonts w:asciiTheme="majorBidi" w:hAnsiTheme="majorBidi" w:cstheme="majorBidi"/>
          <w:noProof/>
          <w:sz w:val="24"/>
        </w:rPr>
        <w:t xml:space="preserve"> Полета със свободен текст за оповестяване на качествена информация в приложение XXXIX.</w:t>
      </w:r>
    </w:p>
    <w:p w14:paraId="407A71C9" w14:textId="7714E8EA" w:rsidR="0029237A" w:rsidRPr="001C19A0" w:rsidRDefault="00305AF8" w:rsidP="00B76863">
      <w:pPr>
        <w:pStyle w:val="ListParagraph"/>
        <w:numPr>
          <w:ilvl w:val="0"/>
          <w:numId w:val="11"/>
        </w:numPr>
        <w:tabs>
          <w:tab w:val="left" w:pos="567"/>
        </w:tabs>
        <w:spacing w:before="120" w:after="120"/>
        <w:ind w:left="0" w:firstLine="0"/>
        <w:jc w:val="both"/>
        <w:rPr>
          <w:rFonts w:asciiTheme="majorBidi" w:hAnsiTheme="majorBidi" w:cstheme="majorBidi"/>
          <w:noProof/>
        </w:rPr>
      </w:pPr>
      <w:r w:rsidRPr="001C19A0">
        <w:rPr>
          <w:rFonts w:asciiTheme="majorBidi" w:hAnsiTheme="majorBidi" w:cstheme="majorBidi"/>
          <w:noProof/>
          <w:sz w:val="24"/>
        </w:rPr>
        <w:t>Институциите използват следните указания при попълването на таблица 1 — „Качествена информация за екологичния риск“ от приложение XXXIX към настоящия регламент, за да опишат как екологичните рискове, в т.ч. специфичната информация за рисковете, свързани с изменението на климата, и за други екологични рискове, са отразени в тяхната стопанска стратегия и процеси, в управлението на институцията и в управлението на риска. Това е за целите на член 449а от Регламент (ЕС) № 575/2013 във връзка с член 435 от същия регламент.</w:t>
      </w:r>
    </w:p>
    <w:p w14:paraId="346C05B6" w14:textId="77777777" w:rsidR="004D24E6" w:rsidRPr="001C19A0" w:rsidRDefault="004D24E6" w:rsidP="001A08A2">
      <w:pPr>
        <w:spacing w:before="120" w:after="120"/>
        <w:jc w:val="both"/>
        <w:rPr>
          <w:rFonts w:asciiTheme="majorBidi" w:hAnsiTheme="majorBidi" w:cstheme="majorBidi"/>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1C19A0"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1C19A0" w:rsidRDefault="00295FC5" w:rsidP="001A08A2">
            <w:pPr>
              <w:jc w:val="both"/>
              <w:rPr>
                <w:rFonts w:asciiTheme="majorBidi" w:hAnsiTheme="majorBidi" w:cstheme="majorBidi"/>
                <w:b/>
                <w:noProof/>
                <w:sz w:val="24"/>
              </w:rPr>
            </w:pPr>
            <w:r w:rsidRPr="001C19A0">
              <w:rPr>
                <w:rFonts w:asciiTheme="majorBidi" w:hAnsiTheme="majorBidi" w:cstheme="majorBidi"/>
                <w:b/>
                <w:noProof/>
                <w:sz w:val="24"/>
              </w:rPr>
              <w:t>Препратки към правни норми и указания</w:t>
            </w:r>
          </w:p>
        </w:tc>
      </w:tr>
      <w:tr w:rsidR="00295FC5" w:rsidRPr="001C19A0" w14:paraId="00666BDE" w14:textId="77777777" w:rsidTr="004F0BC6">
        <w:trPr>
          <w:trHeight w:val="238"/>
        </w:trPr>
        <w:tc>
          <w:tcPr>
            <w:tcW w:w="1384" w:type="dxa"/>
            <w:shd w:val="clear" w:color="auto" w:fill="D9D9D9" w:themeFill="background1" w:themeFillShade="D9"/>
          </w:tcPr>
          <w:p w14:paraId="5E98987D" w14:textId="77777777" w:rsidR="00295FC5" w:rsidRPr="001C19A0" w:rsidRDefault="00295FC5" w:rsidP="001A08A2">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Ред №</w:t>
            </w:r>
          </w:p>
        </w:tc>
        <w:tc>
          <w:tcPr>
            <w:tcW w:w="7655" w:type="dxa"/>
            <w:shd w:val="clear" w:color="auto" w:fill="D9D9D9" w:themeFill="background1" w:themeFillShade="D9"/>
          </w:tcPr>
          <w:p w14:paraId="1F1EEC92" w14:textId="77777777" w:rsidR="00295FC5" w:rsidRPr="001C19A0" w:rsidRDefault="00295FC5" w:rsidP="001A08A2">
            <w:pPr>
              <w:autoSpaceDE w:val="0"/>
              <w:autoSpaceDN w:val="0"/>
              <w:adjustRightInd w:val="0"/>
              <w:jc w:val="both"/>
              <w:rPr>
                <w:rFonts w:asciiTheme="majorBidi" w:hAnsiTheme="majorBidi" w:cstheme="majorBidi"/>
                <w:noProof/>
                <w:color w:val="000000"/>
                <w:sz w:val="24"/>
              </w:rPr>
            </w:pPr>
            <w:r w:rsidRPr="001C19A0">
              <w:rPr>
                <w:rFonts w:asciiTheme="majorBidi" w:hAnsiTheme="majorBidi" w:cstheme="majorBidi"/>
                <w:b/>
                <w:noProof/>
                <w:sz w:val="24"/>
              </w:rPr>
              <w:t>Обяснение</w:t>
            </w:r>
          </w:p>
        </w:tc>
      </w:tr>
      <w:tr w:rsidR="006F6986" w:rsidRPr="001C19A0" w14:paraId="07AE5694" w14:textId="77777777" w:rsidTr="002C5E3F">
        <w:trPr>
          <w:trHeight w:val="423"/>
        </w:trPr>
        <w:tc>
          <w:tcPr>
            <w:tcW w:w="1384" w:type="dxa"/>
            <w:shd w:val="clear" w:color="auto" w:fill="D9D9D9" w:themeFill="background1" w:themeFillShade="D9"/>
          </w:tcPr>
          <w:p w14:paraId="7444DA6B" w14:textId="77777777" w:rsidR="006F6986" w:rsidRPr="001C19A0" w:rsidRDefault="006F6986" w:rsidP="00D35812">
            <w:pPr>
              <w:pStyle w:val="Applicationdirecte"/>
              <w:spacing w:before="120"/>
              <w:rPr>
                <w:rFonts w:asciiTheme="majorBidi" w:hAnsiTheme="majorBidi" w:cstheme="majorBidi"/>
                <w:noProof/>
              </w:rPr>
            </w:pPr>
          </w:p>
        </w:tc>
        <w:tc>
          <w:tcPr>
            <w:tcW w:w="7655" w:type="dxa"/>
            <w:shd w:val="clear" w:color="auto" w:fill="D9D9D9" w:themeFill="background1" w:themeFillShade="D9"/>
          </w:tcPr>
          <w:p w14:paraId="107C329C" w14:textId="77777777" w:rsidR="006F6986" w:rsidRPr="001C19A0" w:rsidRDefault="006F6986" w:rsidP="001A08A2">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Стопанска стратегия и процеси</w:t>
            </w:r>
          </w:p>
        </w:tc>
      </w:tr>
      <w:tr w:rsidR="00085BAF" w:rsidRPr="001C19A0" w14:paraId="51A24472" w14:textId="77777777" w:rsidTr="002C5E3F">
        <w:trPr>
          <w:trHeight w:val="990"/>
        </w:trPr>
        <w:tc>
          <w:tcPr>
            <w:tcW w:w="1384" w:type="dxa"/>
          </w:tcPr>
          <w:p w14:paraId="463C1F51" w14:textId="77777777" w:rsidR="00085BAF" w:rsidRPr="001C19A0" w:rsidRDefault="00085BAF" w:rsidP="00085BAF">
            <w:pPr>
              <w:pStyle w:val="Applicationdirecte"/>
              <w:spacing w:before="120"/>
              <w:rPr>
                <w:rFonts w:asciiTheme="majorBidi" w:hAnsiTheme="majorBidi" w:cstheme="majorBidi"/>
                <w:noProof/>
              </w:rPr>
            </w:pPr>
            <w:r w:rsidRPr="001C19A0">
              <w:rPr>
                <w:rFonts w:asciiTheme="majorBidi" w:hAnsiTheme="majorBidi" w:cstheme="majorBidi"/>
                <w:noProof/>
              </w:rPr>
              <w:t>а)</w:t>
            </w:r>
          </w:p>
        </w:tc>
        <w:tc>
          <w:tcPr>
            <w:tcW w:w="7655" w:type="dxa"/>
          </w:tcPr>
          <w:p w14:paraId="0B8A3F12" w14:textId="297B4FFF" w:rsidR="00085BAF" w:rsidRPr="001C19A0" w:rsidRDefault="00085BAF" w:rsidP="00C96BCE">
            <w:pPr>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букви а) и д) от посочения регламент институциите посочват по какъв начин рисковете, произтичащи от екологични фактори (т.е. екологични рискове), са отразени в техния стопански модел, стратегия и процеси, както и финансово планиране, и как тези рискове могат да се променят с течение на времето предвид развитието на технологиите, рамката на политиката, стопанската среда, предпочитанията на заинтересованите страни и промените в самата физическа среда.</w:t>
            </w:r>
          </w:p>
        </w:tc>
      </w:tr>
      <w:tr w:rsidR="00085BAF" w:rsidRPr="001C19A0" w14:paraId="7F5F3573" w14:textId="77777777" w:rsidTr="004F0BC6">
        <w:trPr>
          <w:trHeight w:val="316"/>
        </w:trPr>
        <w:tc>
          <w:tcPr>
            <w:tcW w:w="1384" w:type="dxa"/>
          </w:tcPr>
          <w:p w14:paraId="59289803"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б)</w:t>
            </w:r>
          </w:p>
        </w:tc>
        <w:tc>
          <w:tcPr>
            <w:tcW w:w="7655" w:type="dxa"/>
          </w:tcPr>
          <w:p w14:paraId="055C99B0" w14:textId="73DD6FB7" w:rsidR="00085BAF" w:rsidRPr="001C19A0" w:rsidRDefault="00085BAF" w:rsidP="00085BAF">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 xml:space="preserve">В съответствие с член 449а от Регламент (ЕС) № 575/2013 във връзка с член 435, параграф 1, буква а) и букви в) — е) от посочения регламент институциите определят целите, целевите стойности и ограниченията по отношение на оценката и управлението на екологичните рискове. Институциите обясняват какви процеси използват при определянето на тези цели, целеви стойности и ограничения. </w:t>
            </w:r>
          </w:p>
          <w:p w14:paraId="4C80AC4F" w14:textId="68A2D380" w:rsidR="00085BAF" w:rsidRPr="001C19A0" w:rsidRDefault="008C55DE" w:rsidP="00C4296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Те посочват как целите, целевите стойности и ограниченията са свързани с действащата рамка на политиката в Съюза и в международен план, както и с наличните референтни показатели.</w:t>
            </w:r>
          </w:p>
        </w:tc>
      </w:tr>
      <w:tr w:rsidR="00085BAF" w:rsidRPr="001C19A0" w14:paraId="313DCF2B" w14:textId="77777777" w:rsidTr="004F0BC6">
        <w:trPr>
          <w:trHeight w:val="316"/>
        </w:trPr>
        <w:tc>
          <w:tcPr>
            <w:tcW w:w="1384" w:type="dxa"/>
          </w:tcPr>
          <w:p w14:paraId="02928C6B"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в)</w:t>
            </w:r>
          </w:p>
        </w:tc>
        <w:tc>
          <w:tcPr>
            <w:tcW w:w="7655" w:type="dxa"/>
          </w:tcPr>
          <w:p w14:paraId="4B21A04A" w14:textId="3AF7939C" w:rsidR="00085BAF" w:rsidRPr="001C19A0" w:rsidRDefault="00085BAF" w:rsidP="00085BAF">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институциите предоставят информация за настоящите и бъдещите си (планирани) инвестиции в екологично устойчиви дейности, както и в дейности и сектори, съобразени с екологичните цели, включително целите във връзка с изменението на климата, посочени в член 9 от Регламент (ЕС) 2020/852.</w:t>
            </w:r>
          </w:p>
          <w:p w14:paraId="640F124C" w14:textId="6ED88F80" w:rsidR="00085BAF" w:rsidRPr="001C19A0" w:rsidRDefault="00135C6C" w:rsidP="002A2C5B">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 xml:space="preserve">Когато тази информация зависи от вътрешния подход на институцията или се основава на вътрешните условия на институциите, те включват в оповестяванията си описание на тези подходи и вътрешни условия. </w:t>
            </w:r>
          </w:p>
        </w:tc>
      </w:tr>
      <w:tr w:rsidR="00085BAF" w:rsidRPr="001C19A0" w14:paraId="2BB13DBC" w14:textId="77777777" w:rsidTr="004F0BC6">
        <w:trPr>
          <w:trHeight w:val="316"/>
        </w:trPr>
        <w:tc>
          <w:tcPr>
            <w:tcW w:w="1384" w:type="dxa"/>
          </w:tcPr>
          <w:p w14:paraId="2B416B21"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г)</w:t>
            </w:r>
          </w:p>
        </w:tc>
        <w:tc>
          <w:tcPr>
            <w:tcW w:w="7655" w:type="dxa"/>
          </w:tcPr>
          <w:p w14:paraId="07B7A7E9" w14:textId="46516C7B" w:rsidR="00085BAF" w:rsidRPr="001C19A0" w:rsidRDefault="00085BAF" w:rsidP="00134FC8">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г) от посочения регламент институциите предоставят информация за мерките, предприети за смекчаване на рисковете, свързани с екологични фактори. Институциите трябва да вземат предвид способността на контрагента да управлява екологичните рискове.</w:t>
            </w:r>
          </w:p>
        </w:tc>
      </w:tr>
      <w:tr w:rsidR="00085BAF" w:rsidRPr="001C19A0" w14:paraId="75014262" w14:textId="77777777" w:rsidTr="002C5E3F">
        <w:trPr>
          <w:trHeight w:val="547"/>
        </w:trPr>
        <w:tc>
          <w:tcPr>
            <w:tcW w:w="1384" w:type="dxa"/>
            <w:shd w:val="clear" w:color="auto" w:fill="D9D9D9" w:themeFill="background1" w:themeFillShade="D9"/>
          </w:tcPr>
          <w:p w14:paraId="499A0F97" w14:textId="77777777" w:rsidR="00085BAF" w:rsidRPr="001C19A0" w:rsidRDefault="00085BAF" w:rsidP="00085BAF">
            <w:pPr>
              <w:autoSpaceDE w:val="0"/>
              <w:autoSpaceDN w:val="0"/>
              <w:adjustRightInd w:val="0"/>
              <w:jc w:val="both"/>
              <w:rPr>
                <w:rFonts w:asciiTheme="majorBidi" w:hAnsiTheme="majorBidi" w:cstheme="majorBidi"/>
                <w:b/>
                <w:noProof/>
                <w:sz w:val="24"/>
              </w:rPr>
            </w:pPr>
          </w:p>
        </w:tc>
        <w:tc>
          <w:tcPr>
            <w:tcW w:w="7655" w:type="dxa"/>
            <w:shd w:val="clear" w:color="auto" w:fill="D9D9D9" w:themeFill="background1" w:themeFillShade="D9"/>
          </w:tcPr>
          <w:p w14:paraId="3654F9D5" w14:textId="77777777" w:rsidR="00085BAF" w:rsidRPr="001C19A0" w:rsidRDefault="00085BAF" w:rsidP="00085BAF">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Управление</w:t>
            </w:r>
          </w:p>
        </w:tc>
      </w:tr>
      <w:tr w:rsidR="00085BAF" w:rsidRPr="001C19A0" w14:paraId="185824AB" w14:textId="77777777" w:rsidTr="004F0BC6">
        <w:trPr>
          <w:trHeight w:val="316"/>
        </w:trPr>
        <w:tc>
          <w:tcPr>
            <w:tcW w:w="1384" w:type="dxa"/>
          </w:tcPr>
          <w:p w14:paraId="4C5C99EB"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д)</w:t>
            </w:r>
          </w:p>
        </w:tc>
        <w:tc>
          <w:tcPr>
            <w:tcW w:w="7655" w:type="dxa"/>
          </w:tcPr>
          <w:p w14:paraId="1789B101" w14:textId="73FDA989" w:rsidR="00085BAF" w:rsidRPr="001C19A0" w:rsidRDefault="00085BAF" w:rsidP="002A2C5B">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б) и член 435, параграф 2, букви а), б) и в) от посочения регламент институциите предоставят информация за участието на своя управителен орган в надзора и управлението на екологичните рискове. Институциите трябва да вземат предвид потенциалните механизми на въздействие на такива екологични рискове (включително физически рискове, рискове от прехода и рискове, свързани с отговорността).</w:t>
            </w:r>
          </w:p>
        </w:tc>
      </w:tr>
      <w:tr w:rsidR="00085BAF" w:rsidRPr="001C19A0" w14:paraId="65CDDFEB" w14:textId="77777777" w:rsidTr="004F0BC6">
        <w:trPr>
          <w:trHeight w:val="316"/>
        </w:trPr>
        <w:tc>
          <w:tcPr>
            <w:tcW w:w="1384" w:type="dxa"/>
          </w:tcPr>
          <w:p w14:paraId="08837B88"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е)</w:t>
            </w:r>
          </w:p>
        </w:tc>
        <w:tc>
          <w:tcPr>
            <w:tcW w:w="7655" w:type="dxa"/>
          </w:tcPr>
          <w:p w14:paraId="3726C7DB" w14:textId="54436495" w:rsidR="00085BAF" w:rsidRPr="001C19A0" w:rsidRDefault="00085BAF" w:rsidP="002A2C5B">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буква г) от посочения регламент институциите предоставят информация за начина, по който техният управителен орган включва краткосрочните, средносрочните и дългосрочните последици от екологичните рискове в организационната структура на институцията за целите на управлението на риска. Те следва да обяснят как това действие на равнището на управителния орган впоследствие се отразява в техните стопански дейности и функции за вътрешен контрол.</w:t>
            </w:r>
          </w:p>
        </w:tc>
      </w:tr>
      <w:tr w:rsidR="00085BAF" w:rsidRPr="001C19A0" w14:paraId="3C56BEC3" w14:textId="77777777" w:rsidTr="004F0BC6">
        <w:trPr>
          <w:trHeight w:val="316"/>
        </w:trPr>
        <w:tc>
          <w:tcPr>
            <w:tcW w:w="1384" w:type="dxa"/>
          </w:tcPr>
          <w:p w14:paraId="26141F87"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ж)</w:t>
            </w:r>
          </w:p>
        </w:tc>
        <w:tc>
          <w:tcPr>
            <w:tcW w:w="7655" w:type="dxa"/>
          </w:tcPr>
          <w:p w14:paraId="6D0A39C2" w14:textId="2F797070" w:rsidR="00085BAF" w:rsidRPr="001C19A0" w:rsidRDefault="00085BAF" w:rsidP="00160FD9">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букви а), б) и в) от посочения регламент институциите предоставят информация за организацията на своите комитети по риска и за начина, по който задачите и отговорностите по наблюдение и управление на екологичните рискове са разпределени в рамката за управлението на риска, като вземат предвид механизмите на въздействие на физическите рискове, рисковете от прехода и рисковете, свързани с отговорността.</w:t>
            </w:r>
          </w:p>
        </w:tc>
      </w:tr>
      <w:tr w:rsidR="00085BAF" w:rsidRPr="001C19A0" w14:paraId="03CFC9E0" w14:textId="77777777" w:rsidTr="004F0BC6">
        <w:trPr>
          <w:trHeight w:val="316"/>
        </w:trPr>
        <w:tc>
          <w:tcPr>
            <w:tcW w:w="1384" w:type="dxa"/>
          </w:tcPr>
          <w:p w14:paraId="66E11F45"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з)</w:t>
            </w:r>
          </w:p>
        </w:tc>
        <w:tc>
          <w:tcPr>
            <w:tcW w:w="7655" w:type="dxa"/>
          </w:tcPr>
          <w:p w14:paraId="65799180" w14:textId="29EEB273" w:rsidR="00085BAF" w:rsidRPr="001C19A0" w:rsidRDefault="00085BAF" w:rsidP="00160FD9">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буква д) от посочения регламент институциите предоставят информация за начините, по които включват екологичните рискове в своята рамка и структура за вътрешно отчитане, и посочват честотата на вътрешното отчитане и обмена на информация относно тези рискове.</w:t>
            </w:r>
          </w:p>
        </w:tc>
      </w:tr>
      <w:tr w:rsidR="00085BAF" w:rsidRPr="001C19A0" w14:paraId="414A95DC" w14:textId="77777777" w:rsidTr="004F0BC6">
        <w:trPr>
          <w:trHeight w:val="316"/>
        </w:trPr>
        <w:tc>
          <w:tcPr>
            <w:tcW w:w="1384" w:type="dxa"/>
          </w:tcPr>
          <w:p w14:paraId="558038D7"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и)</w:t>
            </w:r>
          </w:p>
        </w:tc>
        <w:tc>
          <w:tcPr>
            <w:tcW w:w="7655" w:type="dxa"/>
          </w:tcPr>
          <w:p w14:paraId="33117F3A" w14:textId="62D0CB2D" w:rsidR="00085BAF" w:rsidRPr="001C19A0" w:rsidRDefault="00085BAF" w:rsidP="00367B72">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В съответствие с член 449а от Регламент (ЕС) № 575/2013 във връзка с член 435, параграф 2, буква д) от посочения регламент институциите предоставят информация за това дали екологичните рискове са включени в тяхната политика за възнагражденията, както и за критериите и показателите, използвани за определяне на въздействието на съображенията, свързани с екологичния риск, върху променливите възнаграждения. </w:t>
            </w:r>
          </w:p>
        </w:tc>
      </w:tr>
      <w:tr w:rsidR="00085BAF" w:rsidRPr="001C19A0" w14:paraId="14DB1811" w14:textId="77777777" w:rsidTr="002C5E3F">
        <w:trPr>
          <w:trHeight w:val="723"/>
        </w:trPr>
        <w:tc>
          <w:tcPr>
            <w:tcW w:w="1384" w:type="dxa"/>
            <w:shd w:val="clear" w:color="auto" w:fill="D9D9D9" w:themeFill="background1" w:themeFillShade="D9"/>
          </w:tcPr>
          <w:p w14:paraId="6563DED4" w14:textId="77777777" w:rsidR="00085BAF" w:rsidRPr="001C19A0" w:rsidRDefault="00085BAF" w:rsidP="00085BAF">
            <w:pPr>
              <w:autoSpaceDE w:val="0"/>
              <w:autoSpaceDN w:val="0"/>
              <w:adjustRightInd w:val="0"/>
              <w:jc w:val="both"/>
              <w:rPr>
                <w:rFonts w:asciiTheme="majorBidi" w:hAnsiTheme="majorBidi" w:cstheme="majorBidi"/>
                <w:noProof/>
                <w:sz w:val="24"/>
              </w:rPr>
            </w:pPr>
          </w:p>
        </w:tc>
        <w:tc>
          <w:tcPr>
            <w:tcW w:w="7655" w:type="dxa"/>
            <w:shd w:val="clear" w:color="auto" w:fill="D9D9D9" w:themeFill="background1" w:themeFillShade="D9"/>
          </w:tcPr>
          <w:p w14:paraId="436856EA" w14:textId="77777777" w:rsidR="00085BAF" w:rsidRPr="001C19A0" w:rsidRDefault="00085BAF" w:rsidP="00085BAF">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Управление на риска</w:t>
            </w:r>
          </w:p>
        </w:tc>
      </w:tr>
      <w:tr w:rsidR="00085BAF" w:rsidRPr="001C19A0" w14:paraId="6A73626B" w14:textId="77777777" w:rsidTr="004F0BC6">
        <w:trPr>
          <w:trHeight w:val="316"/>
        </w:trPr>
        <w:tc>
          <w:tcPr>
            <w:tcW w:w="1384" w:type="dxa"/>
          </w:tcPr>
          <w:p w14:paraId="3436FB79"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й)</w:t>
            </w:r>
          </w:p>
        </w:tc>
        <w:tc>
          <w:tcPr>
            <w:tcW w:w="7655" w:type="dxa"/>
          </w:tcPr>
          <w:p w14:paraId="3C5A2CBF" w14:textId="0BE0EEFB" w:rsidR="00085BAF" w:rsidRPr="001C19A0" w:rsidRDefault="00085BAF" w:rsidP="00694E60">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В съответствие с член 449а от Регламент (ЕС) № 575/2013 във връзка с член 435, параграф 1, буква е) от посочения регламент институциите предоставят информация за това как краткосрочните, средносрочните и дългосрочните въздействия на екологичните фактори и рискове са отразени в рамката за поносимост към риска. Институциите решават какъв ще бъде съответният времеви хоризонт в съответствие с рисковия си профил и експозициите си. </w:t>
            </w:r>
          </w:p>
        </w:tc>
      </w:tr>
      <w:tr w:rsidR="00085BAF" w:rsidRPr="001C19A0" w14:paraId="314E2F6F" w14:textId="77777777" w:rsidTr="004F0BC6">
        <w:trPr>
          <w:trHeight w:val="316"/>
        </w:trPr>
        <w:tc>
          <w:tcPr>
            <w:tcW w:w="1384" w:type="dxa"/>
          </w:tcPr>
          <w:p w14:paraId="67938433"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к)</w:t>
            </w:r>
          </w:p>
        </w:tc>
        <w:tc>
          <w:tcPr>
            <w:tcW w:w="7655" w:type="dxa"/>
          </w:tcPr>
          <w:p w14:paraId="214396DC" w14:textId="5FE1AF3B"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В съответствие с член 449а от Регламент (ЕС) № 575/2013 във връзка с член 435, параграф 1, буква а) от посочения регламент институциите предоставят информация за методите, определенията и стандартите, които използват, за да установяват и управляват екологичните фактори и рискове, както и за рамката, на която се основават тези стандарти, определения и методи. </w:t>
            </w:r>
          </w:p>
          <w:p w14:paraId="38FF32D7" w14:textId="63B0BFA7" w:rsidR="00085BAF" w:rsidRPr="001C19A0" w:rsidRDefault="0071684B" w:rsidP="008F66F5">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посочват как тези методи, определения и стандарти са свързани с приложимата рамка на политиката на Съюза и в международен план, както и с наличните референтни показатели.</w:t>
            </w:r>
          </w:p>
        </w:tc>
      </w:tr>
      <w:tr w:rsidR="00085BAF" w:rsidRPr="001C19A0" w14:paraId="17F9BA3B" w14:textId="77777777" w:rsidTr="004F0BC6">
        <w:trPr>
          <w:trHeight w:val="316"/>
        </w:trPr>
        <w:tc>
          <w:tcPr>
            <w:tcW w:w="1384" w:type="dxa"/>
          </w:tcPr>
          <w:p w14:paraId="1F7E7A30"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л)</w:t>
            </w:r>
          </w:p>
        </w:tc>
        <w:tc>
          <w:tcPr>
            <w:tcW w:w="7655" w:type="dxa"/>
          </w:tcPr>
          <w:p w14:paraId="52223424" w14:textId="0EB55139"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а) от посочения регламент институциите оповестяват:</w:t>
            </w:r>
          </w:p>
          <w:p w14:paraId="05372578" w14:textId="294EA920" w:rsidR="00085BAF" w:rsidRPr="001C19A0" w:rsidRDefault="00085BAF" w:rsidP="00BD7C6D">
            <w:pPr>
              <w:pStyle w:val="ListParagraph"/>
              <w:numPr>
                <w:ilvl w:val="0"/>
                <w:numId w:val="13"/>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процесите, чрез които институцията установява и наблюдава своите дейности и експозиции, които са чувствителни и уязвими спрямо екологични рискове, включително всички свързани с такива дейности и експозиции движими и недвижими активи; </w:t>
            </w:r>
          </w:p>
          <w:p w14:paraId="2FA51EA6" w14:textId="040809C1" w:rsidR="00085BAF" w:rsidRPr="001C19A0" w:rsidRDefault="00B45966" w:rsidP="00BD7C6D">
            <w:pPr>
              <w:pStyle w:val="ListParagraph"/>
              <w:numPr>
                <w:ilvl w:val="0"/>
                <w:numId w:val="13"/>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процесите, чрез които институцията установява и наблюдава екологичните рискове, които са съществени от финансова гледна точка или които понастоящем не са съществени, но има възможност да станат съществени в бъдеще. </w:t>
            </w:r>
          </w:p>
          <w:p w14:paraId="6C9586AA" w14:textId="73D0C90E"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Дейностите, експозициите и активите, които са чувствителни и уязвими спрямо екологични рискове, включват онези от тях, които са свързани със секторите на селското стопанство, рибарството, горското стопанство, енергетиката, наред с географското им местоположение, зависимостта от води или други екологични фактори и рискове, които могат да бъдат уязвими спрямо различни фактори, включително наводнения, суша, пожари и загуба на биологично разнообразие. Те включват също така концентрацията на дейностите на контрагента в застрашени зони и се приема, че обхващат цялата верига на стойността на контрагента.</w:t>
            </w:r>
          </w:p>
          <w:p w14:paraId="3F5C2916" w14:textId="6E8BC92E" w:rsidR="00085BAF" w:rsidRPr="001C19A0" w:rsidRDefault="00085BAF" w:rsidP="00FB2D1C">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Когато оповестяват информацията по настоящата буква, институциите посочват съществеността (включително двойната същественост), която трябва да се разбира в смисъла на определенията, съдържащи се в доклада, посочен в член 98, параграф 8 от Директива 2013/36/ЕС на Европейския парламент и на Съвета</w:t>
            </w:r>
            <w:r w:rsidRPr="001C19A0">
              <w:rPr>
                <w:rFonts w:asciiTheme="majorBidi" w:hAnsiTheme="majorBidi" w:cstheme="majorBidi"/>
                <w:noProof/>
                <w:sz w:val="24"/>
                <w:vertAlign w:val="superscript"/>
              </w:rPr>
              <w:t>*10</w:t>
            </w:r>
            <w:r w:rsidRPr="001C19A0">
              <w:rPr>
                <w:rFonts w:asciiTheme="majorBidi" w:hAnsiTheme="majorBidi" w:cstheme="majorBidi"/>
                <w:noProof/>
                <w:sz w:val="24"/>
              </w:rPr>
              <w:t>, и обхващат жизнения цикъл на експозициите, включително отпускането на кредити, заедно с оценката на кредитоспособността на контрагента и наблюдението.</w:t>
            </w:r>
          </w:p>
          <w:p w14:paraId="4DA0F840" w14:textId="03B1D7C9"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посочват до каква степен тази оценка обхваща съответните механизми на въздействие, включително i) по-ниска рентабилност, ii) по-ниска стойност на недвижимите имоти, по-ниско благосъстояние на домакинствата, iii) по-ниски показатели на активите, iv) по-високи разходи за спазване на изискванията и v) по-високи правни разходи.</w:t>
            </w:r>
          </w:p>
          <w:p w14:paraId="33607F20" w14:textId="758D969B" w:rsidR="00085BAF" w:rsidRPr="001C19A0" w:rsidRDefault="004254BA" w:rsidP="00660574">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Ако дадена институция не установи наличието на съществени екологични рискове, тя трябва да обясни и обоснове причините за това и да опише методите, които е използвала за достигане до такова заключение. </w:t>
            </w:r>
          </w:p>
        </w:tc>
      </w:tr>
      <w:tr w:rsidR="00085BAF" w:rsidRPr="001C19A0" w14:paraId="39E900BE" w14:textId="77777777" w:rsidTr="004F0BC6">
        <w:trPr>
          <w:trHeight w:val="316"/>
        </w:trPr>
        <w:tc>
          <w:tcPr>
            <w:tcW w:w="1384" w:type="dxa"/>
          </w:tcPr>
          <w:p w14:paraId="626A2779"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м)</w:t>
            </w:r>
          </w:p>
        </w:tc>
        <w:tc>
          <w:tcPr>
            <w:tcW w:w="7655" w:type="dxa"/>
          </w:tcPr>
          <w:p w14:paraId="1D793615" w14:textId="5BFE9323" w:rsidR="00085BAF" w:rsidRPr="001C19A0" w:rsidRDefault="00085BAF" w:rsidP="00085BAF">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г) от посочения регламент институциите предоставят информация за дейностите, поетите задължения и експозициите, които са въвели с цел смекчаване на екологичните рискове.</w:t>
            </w:r>
          </w:p>
          <w:p w14:paraId="4E1C9766" w14:textId="6E983BD8" w:rsidR="00085BAF" w:rsidRPr="001C19A0" w:rsidRDefault="004254BA" w:rsidP="00F11C8B">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методите, които използват за определяне на мерките и дейностите за ограничаване на риска. Освен това те предоставят информация за степента, в която тези дейности, поети задължения и експозиции отчитат съответните механизми на въздействие, включително i) по-ниска рентабилност, ii) по-ниска стойност на недвижимите имоти, по-ниско благосъстояние на домакинствата, iii) по-ниски показатели на активите, iv) по-високи разходи за спазване на изискванията и v) по-високи правни разходи. </w:t>
            </w:r>
          </w:p>
        </w:tc>
      </w:tr>
      <w:tr w:rsidR="00085BAF" w:rsidRPr="001C19A0" w14:paraId="48B2B1AD" w14:textId="77777777" w:rsidTr="004F0BC6">
        <w:trPr>
          <w:trHeight w:val="316"/>
        </w:trPr>
        <w:tc>
          <w:tcPr>
            <w:tcW w:w="1384" w:type="dxa"/>
          </w:tcPr>
          <w:p w14:paraId="3ACE46F3"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н)</w:t>
            </w:r>
          </w:p>
        </w:tc>
        <w:tc>
          <w:tcPr>
            <w:tcW w:w="7655" w:type="dxa"/>
          </w:tcPr>
          <w:p w14:paraId="1684AE86" w14:textId="10A40E11"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букви а) и е) от посочения регламент институциите предоставят информация относно инструментите за прилагане, които използват за установяване и управление на екологичните рискове. Тези инструменти включват стрес тестове, анализ на чувствителността или други показатели за предварителен анализ, които се прилагат на равнище експозиция, на равнище портфейл, на равнище контрагент или на секторно равнище в зависимост от съществеността на риска.</w:t>
            </w:r>
          </w:p>
          <w:p w14:paraId="7B2800C6" w14:textId="14DF5146" w:rsidR="00085BAF" w:rsidRPr="001C19A0" w:rsidRDefault="00745446" w:rsidP="00745446">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оповестената информация се посочват допусканията и методите, на които се основават съответните инструменти за прилагане.  Институциите посочват също така времевия хоризонт, използван за оценката на екологичните рискове въз основа на счетоводни и пруденциални показатели, т.е. краткосрочни, средносрочни или дългосрочни времеви хоризонти.</w:t>
            </w:r>
          </w:p>
        </w:tc>
      </w:tr>
      <w:tr w:rsidR="00085BAF" w:rsidRPr="001C19A0" w14:paraId="767A76EC" w14:textId="77777777" w:rsidTr="004F0BC6">
        <w:trPr>
          <w:trHeight w:val="316"/>
        </w:trPr>
        <w:tc>
          <w:tcPr>
            <w:tcW w:w="1384" w:type="dxa"/>
          </w:tcPr>
          <w:p w14:paraId="0A571C88"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о)</w:t>
            </w:r>
          </w:p>
        </w:tc>
        <w:tc>
          <w:tcPr>
            <w:tcW w:w="7655" w:type="dxa"/>
          </w:tcPr>
          <w:p w14:paraId="4AEE4959" w14:textId="7C6A3679"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букви а) и е) от посочения регламент институциите описват резултата от оценката, извършена чрез инструмента за установяване и управление на риска, използван в съответствие с точка 14.</w:t>
            </w:r>
          </w:p>
          <w:p w14:paraId="107F15F8" w14:textId="5BE23EF5" w:rsidR="00085BAF" w:rsidRPr="001C19A0" w:rsidRDefault="004254BA"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предоставят информация за прогнозното въздействие на екологичния риск, включително риска, свързан с изменението на климата, върху платежоспособността на институцията, регулаторните капиталови изисквания и профила от гледна точка на риска по отношение на ликвидността в рамките на процеса на вътрешна оценка на капиталовата адекватност (ICAAP) и процеса на вътрешна оценка на адекватността на ликвидността (ILAAP).</w:t>
            </w:r>
          </w:p>
        </w:tc>
      </w:tr>
      <w:tr w:rsidR="00085BAF" w:rsidRPr="001C19A0" w14:paraId="3361CFC5" w14:textId="77777777" w:rsidTr="004F0BC6">
        <w:trPr>
          <w:trHeight w:val="316"/>
        </w:trPr>
        <w:tc>
          <w:tcPr>
            <w:tcW w:w="1384" w:type="dxa"/>
          </w:tcPr>
          <w:p w14:paraId="533145E7"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п)</w:t>
            </w:r>
          </w:p>
        </w:tc>
        <w:tc>
          <w:tcPr>
            <w:tcW w:w="7655" w:type="dxa"/>
          </w:tcPr>
          <w:p w14:paraId="245386A9" w14:textId="653D50F2" w:rsidR="00085BAF" w:rsidRPr="001C19A0" w:rsidRDefault="00085BAF" w:rsidP="003725B4">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институциите предоставят сведения за данните и информацията, с които разполагат за целите на управлението на екологичните рискове, за липсващите към момента основни данни и информация, както и за мерките, които предприемат за отстраняване на пропуските в данните и за подобряване на качеството и точността на данните.</w:t>
            </w:r>
          </w:p>
        </w:tc>
      </w:tr>
      <w:tr w:rsidR="00085BAF" w:rsidRPr="001C19A0" w14:paraId="21CCB73A" w14:textId="77777777" w:rsidTr="004F0BC6">
        <w:trPr>
          <w:trHeight w:val="316"/>
        </w:trPr>
        <w:tc>
          <w:tcPr>
            <w:tcW w:w="1384" w:type="dxa"/>
          </w:tcPr>
          <w:p w14:paraId="4A6C9241"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р)</w:t>
            </w:r>
          </w:p>
        </w:tc>
        <w:tc>
          <w:tcPr>
            <w:tcW w:w="7655" w:type="dxa"/>
          </w:tcPr>
          <w:p w14:paraId="4233B1B6" w14:textId="7C43650A" w:rsidR="00085BAF" w:rsidRPr="001C19A0" w:rsidRDefault="00085BAF" w:rsidP="00085BAF">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е) от посочения регламент институциите предоставят информация за ограниченията, които определят в съответствие със стопанската си стратегия, относно финансирането на проекти или контрагенти, които нанасят значителни вреди във връзка с постигането на екологичните цели.</w:t>
            </w:r>
          </w:p>
          <w:p w14:paraId="543574BF" w14:textId="6FEAC929" w:rsidR="00085BAF" w:rsidRPr="001C19A0" w:rsidRDefault="00085BAF" w:rsidP="003725B4">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Тези ограничения включват ограниченията, определени от институциите към момента на отпускането на кредити и наблюдението им с цел избягване или смекчаване на екологичните рискове, както и ограниченията, които показват кога конкретна експозиция би довела до коригиращи действия, допълнително проучване, вътрешно ескалиране или изключване от портфейла.</w:t>
            </w:r>
          </w:p>
        </w:tc>
      </w:tr>
      <w:tr w:rsidR="00085BAF" w:rsidRPr="001C19A0" w14:paraId="3BE6EE17" w14:textId="77777777" w:rsidTr="004F0BC6">
        <w:trPr>
          <w:trHeight w:val="316"/>
        </w:trPr>
        <w:tc>
          <w:tcPr>
            <w:tcW w:w="1384" w:type="dxa"/>
          </w:tcPr>
          <w:p w14:paraId="459DFEDE"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с)</w:t>
            </w:r>
          </w:p>
        </w:tc>
        <w:tc>
          <w:tcPr>
            <w:tcW w:w="7655" w:type="dxa"/>
          </w:tcPr>
          <w:p w14:paraId="59475979" w14:textId="5FAEB087" w:rsidR="00085BAF" w:rsidRPr="001C19A0" w:rsidRDefault="003725B4"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описват как отразяват в баланса си възникващите екологични рискове и каква връзка намират между тях и кредитния, ликвидния, пазарния и операционния риск.</w:t>
            </w:r>
          </w:p>
          <w:p w14:paraId="21405418" w14:textId="0B6315D2" w:rsidR="00085BAF" w:rsidRPr="001C19A0" w:rsidRDefault="003725B4" w:rsidP="00010E8E">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трябва да обяснят как оценяват и управляват въздействието на прехода към нисковъглеродна и издръжлива спрямо изменението на климата икономика върху категориите пруденциален риск, включително кредитен риск, ликвиден риск, пазарен риск и операционен риск.</w:t>
            </w:r>
          </w:p>
        </w:tc>
      </w:tr>
    </w:tbl>
    <w:p w14:paraId="2548CC3D" w14:textId="77777777" w:rsidR="00305AF8" w:rsidRPr="001C19A0" w:rsidRDefault="00305AF8" w:rsidP="001A08A2">
      <w:pPr>
        <w:jc w:val="both"/>
        <w:rPr>
          <w:rFonts w:asciiTheme="majorBidi" w:hAnsiTheme="majorBidi" w:cstheme="majorBidi"/>
          <w:b/>
          <w:noProof/>
          <w:sz w:val="24"/>
        </w:rPr>
      </w:pPr>
    </w:p>
    <w:p w14:paraId="74CFF881" w14:textId="77777777" w:rsidR="00832FB8" w:rsidRPr="001C19A0" w:rsidRDefault="00832FB8" w:rsidP="001A08A2">
      <w:pPr>
        <w:jc w:val="both"/>
        <w:rPr>
          <w:rFonts w:asciiTheme="majorBidi" w:hAnsiTheme="majorBidi" w:cstheme="majorBidi"/>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1C19A0" w:rsidRDefault="004D24E6" w:rsidP="00720CB4">
      <w:pPr>
        <w:jc w:val="both"/>
        <w:rPr>
          <w:rFonts w:asciiTheme="majorBidi" w:hAnsiTheme="majorBidi" w:cstheme="majorBidi"/>
          <w:noProof/>
          <w:sz w:val="24"/>
        </w:rPr>
      </w:pPr>
      <w:r w:rsidRPr="001C19A0">
        <w:rPr>
          <w:rFonts w:asciiTheme="majorBidi" w:hAnsiTheme="majorBidi" w:cstheme="majorBidi"/>
          <w:b/>
          <w:noProof/>
          <w:sz w:val="24"/>
        </w:rPr>
        <w:t>Таблица 2 — Качествена информация относно социалния риск: Полета със свободен текст за оповестяване</w:t>
      </w:r>
      <w:r w:rsidRPr="001C19A0">
        <w:rPr>
          <w:rFonts w:asciiTheme="majorBidi" w:hAnsiTheme="majorBidi" w:cstheme="majorBidi"/>
          <w:noProof/>
          <w:sz w:val="24"/>
        </w:rPr>
        <w:t xml:space="preserve"> на качествена информация в приложение XXXVII.</w:t>
      </w:r>
    </w:p>
    <w:p w14:paraId="097811D3" w14:textId="669BFD73" w:rsidR="00AC3A94" w:rsidRPr="001C19A0" w:rsidRDefault="002F142F" w:rsidP="00B76863">
      <w:pPr>
        <w:pStyle w:val="ListParagraph"/>
        <w:numPr>
          <w:ilvl w:val="0"/>
          <w:numId w:val="11"/>
        </w:numPr>
        <w:tabs>
          <w:tab w:val="left" w:pos="567"/>
        </w:tabs>
        <w:spacing w:before="120" w:after="120"/>
        <w:ind w:left="0" w:firstLine="0"/>
        <w:jc w:val="both"/>
        <w:rPr>
          <w:rFonts w:asciiTheme="majorBidi" w:hAnsiTheme="majorBidi" w:cstheme="majorBidi"/>
          <w:noProof/>
        </w:rPr>
      </w:pPr>
      <w:r w:rsidRPr="001C19A0">
        <w:rPr>
          <w:rFonts w:asciiTheme="majorBidi" w:hAnsiTheme="majorBidi" w:cstheme="majorBidi"/>
          <w:noProof/>
          <w:sz w:val="24"/>
        </w:rPr>
        <w:t xml:space="preserve">Институциите използват следните указания при попълването на таблица 2 — „Качествена информация за социалния риск“ от приложение XXXIX към настоящия регламент, за да опишат как социалните рискове са отразени в тяхната стопанска стратегия и процеси, в управлението на институцията и в управлението на риска в съответствие с член 449а от Регламент (ЕС) № 575/2013 във връзка с член 435 от същия регламент. </w:t>
      </w:r>
    </w:p>
    <w:p w14:paraId="5E5092D5" w14:textId="77777777" w:rsidR="000F505C" w:rsidRPr="001C19A0" w:rsidRDefault="000F505C" w:rsidP="001A08A2">
      <w:pPr>
        <w:jc w:val="both"/>
        <w:rPr>
          <w:rFonts w:asciiTheme="majorBidi" w:hAnsiTheme="majorBidi" w:cstheme="majorBidi"/>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1C19A0"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1C19A0" w:rsidRDefault="00684527" w:rsidP="001A08A2">
            <w:pPr>
              <w:jc w:val="both"/>
              <w:rPr>
                <w:rFonts w:asciiTheme="majorBidi" w:hAnsiTheme="majorBidi" w:cstheme="majorBidi"/>
                <w:b/>
                <w:noProof/>
                <w:sz w:val="24"/>
              </w:rPr>
            </w:pPr>
            <w:r w:rsidRPr="001C19A0">
              <w:rPr>
                <w:rFonts w:asciiTheme="majorBidi" w:hAnsiTheme="majorBidi" w:cstheme="majorBidi"/>
                <w:b/>
                <w:noProof/>
                <w:sz w:val="24"/>
              </w:rPr>
              <w:t>Препратки към правни норми и указания</w:t>
            </w:r>
          </w:p>
        </w:tc>
      </w:tr>
      <w:tr w:rsidR="00684527" w:rsidRPr="001C19A0" w14:paraId="75BA9EF2" w14:textId="77777777" w:rsidTr="00453CE1">
        <w:trPr>
          <w:trHeight w:val="238"/>
        </w:trPr>
        <w:tc>
          <w:tcPr>
            <w:tcW w:w="1384" w:type="dxa"/>
            <w:shd w:val="clear" w:color="auto" w:fill="D9D9D9" w:themeFill="background1" w:themeFillShade="D9"/>
          </w:tcPr>
          <w:p w14:paraId="48AAE492" w14:textId="77777777" w:rsidR="00684527" w:rsidRPr="001C19A0" w:rsidRDefault="00684527" w:rsidP="001A08A2">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Ред №</w:t>
            </w:r>
          </w:p>
        </w:tc>
        <w:tc>
          <w:tcPr>
            <w:tcW w:w="7655" w:type="dxa"/>
            <w:shd w:val="clear" w:color="auto" w:fill="D9D9D9" w:themeFill="background1" w:themeFillShade="D9"/>
          </w:tcPr>
          <w:p w14:paraId="5F0FA1AF" w14:textId="77777777" w:rsidR="00684527" w:rsidRPr="001C19A0" w:rsidRDefault="00684527" w:rsidP="001A08A2">
            <w:pPr>
              <w:autoSpaceDE w:val="0"/>
              <w:autoSpaceDN w:val="0"/>
              <w:adjustRightInd w:val="0"/>
              <w:jc w:val="both"/>
              <w:rPr>
                <w:rFonts w:asciiTheme="majorBidi" w:hAnsiTheme="majorBidi" w:cstheme="majorBidi"/>
                <w:noProof/>
                <w:color w:val="000000"/>
                <w:sz w:val="24"/>
              </w:rPr>
            </w:pPr>
            <w:r w:rsidRPr="001C19A0">
              <w:rPr>
                <w:rFonts w:asciiTheme="majorBidi" w:hAnsiTheme="majorBidi" w:cstheme="majorBidi"/>
                <w:b/>
                <w:noProof/>
                <w:sz w:val="24"/>
              </w:rPr>
              <w:t>Обяснение</w:t>
            </w:r>
          </w:p>
        </w:tc>
      </w:tr>
      <w:tr w:rsidR="00684527" w:rsidRPr="001C19A0" w14:paraId="62D7A501" w14:textId="77777777" w:rsidTr="00453CE1">
        <w:trPr>
          <w:trHeight w:val="423"/>
        </w:trPr>
        <w:tc>
          <w:tcPr>
            <w:tcW w:w="1384" w:type="dxa"/>
            <w:shd w:val="clear" w:color="auto" w:fill="D9D9D9" w:themeFill="background1" w:themeFillShade="D9"/>
          </w:tcPr>
          <w:p w14:paraId="1370AB18" w14:textId="77777777" w:rsidR="00684527" w:rsidRPr="001C19A0" w:rsidRDefault="00684527" w:rsidP="00D35812">
            <w:pPr>
              <w:pStyle w:val="Applicationdirecte"/>
              <w:spacing w:before="120"/>
              <w:rPr>
                <w:rFonts w:asciiTheme="majorBidi" w:hAnsiTheme="majorBidi" w:cstheme="majorBidi"/>
                <w:noProof/>
              </w:rPr>
            </w:pPr>
          </w:p>
        </w:tc>
        <w:tc>
          <w:tcPr>
            <w:tcW w:w="7655" w:type="dxa"/>
            <w:shd w:val="clear" w:color="auto" w:fill="D9D9D9" w:themeFill="background1" w:themeFillShade="D9"/>
          </w:tcPr>
          <w:p w14:paraId="646070E3" w14:textId="77777777" w:rsidR="00684527" w:rsidRPr="001C19A0" w:rsidRDefault="00684527" w:rsidP="001A08A2">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Стопанска стратегия и процеси</w:t>
            </w:r>
          </w:p>
        </w:tc>
      </w:tr>
      <w:tr w:rsidR="00085BAF" w:rsidRPr="001C19A0" w14:paraId="052CE091" w14:textId="77777777" w:rsidTr="00684527">
        <w:trPr>
          <w:trHeight w:val="697"/>
        </w:trPr>
        <w:tc>
          <w:tcPr>
            <w:tcW w:w="1384" w:type="dxa"/>
          </w:tcPr>
          <w:p w14:paraId="05E210D3" w14:textId="77777777" w:rsidR="00085BAF" w:rsidRPr="001C19A0" w:rsidRDefault="00085BAF" w:rsidP="00085BAF">
            <w:pPr>
              <w:pStyle w:val="Applicationdirecte"/>
              <w:spacing w:before="120"/>
              <w:rPr>
                <w:rFonts w:asciiTheme="majorBidi" w:hAnsiTheme="majorBidi" w:cstheme="majorBidi"/>
                <w:noProof/>
              </w:rPr>
            </w:pPr>
            <w:r w:rsidRPr="001C19A0">
              <w:rPr>
                <w:rFonts w:asciiTheme="majorBidi" w:hAnsiTheme="majorBidi" w:cstheme="majorBidi"/>
                <w:noProof/>
              </w:rPr>
              <w:t>а)</w:t>
            </w:r>
          </w:p>
        </w:tc>
        <w:tc>
          <w:tcPr>
            <w:tcW w:w="7655" w:type="dxa"/>
          </w:tcPr>
          <w:p w14:paraId="4CAC32FD" w14:textId="35E545AF" w:rsidR="00085BAF" w:rsidRPr="001C19A0" w:rsidRDefault="00085BAF" w:rsidP="00E252FB">
            <w:pPr>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букви а) и д) от посочения регламент институциите посочват по какъв начин рисковете, произтичащи от социални фактори (т.е. социални рискове), са отразени в техния стопански модел, стратегия и процеси, както и финансово планиране, и как тези рискове се променят с течение на времето предвид  развитието на технологиите, рамката на политиката, стопанската среда и предпочитанията на заинтересованите страни.</w:t>
            </w:r>
          </w:p>
        </w:tc>
      </w:tr>
      <w:tr w:rsidR="00085BAF" w:rsidRPr="001C19A0" w14:paraId="38BF1039" w14:textId="77777777" w:rsidTr="00453CE1">
        <w:trPr>
          <w:trHeight w:val="316"/>
        </w:trPr>
        <w:tc>
          <w:tcPr>
            <w:tcW w:w="1384" w:type="dxa"/>
          </w:tcPr>
          <w:p w14:paraId="25AFC72F"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б)</w:t>
            </w:r>
          </w:p>
        </w:tc>
        <w:tc>
          <w:tcPr>
            <w:tcW w:w="7655" w:type="dxa"/>
          </w:tcPr>
          <w:p w14:paraId="63792BDE" w14:textId="11CA1F76" w:rsidR="00085BAF" w:rsidRPr="001C19A0" w:rsidRDefault="00085BAF" w:rsidP="00085BAF">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 xml:space="preserve">В съответствие с член 449а от Регламент (ЕС) № 575/2013 във връзка с член 435, параграф 1, буква а) и букви в) — е) от посочения регламент институциите описват своите цели, целеви стойности и ограничения по отношение на оценката и управлението на социалните рискове, както и процесите, които използват за определянето на тези цели, целеви стойности и ограничения. </w:t>
            </w:r>
          </w:p>
          <w:p w14:paraId="3A94BCAA" w14:textId="1E857334" w:rsidR="00085BAF" w:rsidRPr="001C19A0" w:rsidRDefault="00C767CD"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посочват как тези цели, целеви стойности и ограничения са свързани с приложимата рамка на политиката в Съюза и в международен план, както и с наличните референтни показатели.</w:t>
            </w:r>
          </w:p>
          <w:p w14:paraId="77169780" w14:textId="12259BE8" w:rsidR="00F83F48" w:rsidRPr="001C19A0" w:rsidRDefault="00233F87" w:rsidP="00FF322E">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Социалните аспекти са свързани с нарушаването на правата на човека, трудовите права, неравенството по отношение на доходите, липсата на права на човека, безопасността и защитата на потребителите, неприкосновеността на личния живот, бедността и недискриминацията. Освен това изменението на климата и преходът към нисковъглеродна икономика оказват социални въздействия, включващи промени на пазара на труда.  Сред тях са намаляването на търсенето на определени работни места и умения, появата на нови работни места и умения, променящите се предпочитания на потребителите, готовността на акционерите своевременно да вземат под внимание в дейността на своите дружества климатичните, екологичните и социалните промени, както е посочено в параграф 78 от доклада на ЕБО, приет съгласно член 98, параграф 8 от Директива 2013/36/ЕС.</w:t>
            </w:r>
          </w:p>
        </w:tc>
      </w:tr>
      <w:tr w:rsidR="00085BAF" w:rsidRPr="001C19A0" w14:paraId="1C55218A" w14:textId="77777777" w:rsidTr="00453CE1">
        <w:trPr>
          <w:trHeight w:val="316"/>
        </w:trPr>
        <w:tc>
          <w:tcPr>
            <w:tcW w:w="1384" w:type="dxa"/>
          </w:tcPr>
          <w:p w14:paraId="14DE24F7"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в)</w:t>
            </w:r>
          </w:p>
        </w:tc>
        <w:tc>
          <w:tcPr>
            <w:tcW w:w="7655" w:type="dxa"/>
          </w:tcPr>
          <w:p w14:paraId="293CCB6F" w14:textId="0B00FDC1" w:rsidR="00085BAF" w:rsidRPr="001C19A0" w:rsidRDefault="00085BAF" w:rsidP="00EF039B">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г) от посочения регламент институциите описват начина, по който предприемат мерки за смекчаване на рисковете, свързани със социалните фактори, включително разбиране относно способността на контрагентите да управляват социалните рискове и започване на диалог с тях с цел смекчаването на тези рискове.</w:t>
            </w:r>
          </w:p>
        </w:tc>
      </w:tr>
      <w:tr w:rsidR="00085BAF" w:rsidRPr="001C19A0" w14:paraId="4DBB0E13" w14:textId="77777777" w:rsidTr="00453CE1">
        <w:trPr>
          <w:trHeight w:val="547"/>
        </w:trPr>
        <w:tc>
          <w:tcPr>
            <w:tcW w:w="1384" w:type="dxa"/>
            <w:shd w:val="clear" w:color="auto" w:fill="D9D9D9" w:themeFill="background1" w:themeFillShade="D9"/>
          </w:tcPr>
          <w:p w14:paraId="08F4782A" w14:textId="77777777" w:rsidR="00085BAF" w:rsidRPr="001C19A0" w:rsidRDefault="00085BAF" w:rsidP="00085BAF">
            <w:pPr>
              <w:autoSpaceDE w:val="0"/>
              <w:autoSpaceDN w:val="0"/>
              <w:adjustRightInd w:val="0"/>
              <w:jc w:val="both"/>
              <w:rPr>
                <w:rFonts w:asciiTheme="majorBidi" w:hAnsiTheme="majorBidi" w:cstheme="majorBidi"/>
                <w:b/>
                <w:noProof/>
                <w:sz w:val="24"/>
              </w:rPr>
            </w:pPr>
          </w:p>
        </w:tc>
        <w:tc>
          <w:tcPr>
            <w:tcW w:w="7655" w:type="dxa"/>
            <w:shd w:val="clear" w:color="auto" w:fill="D9D9D9" w:themeFill="background1" w:themeFillShade="D9"/>
          </w:tcPr>
          <w:p w14:paraId="25B28C3F" w14:textId="77777777" w:rsidR="00085BAF" w:rsidRPr="001C19A0" w:rsidRDefault="00085BAF" w:rsidP="00085BAF">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Управление</w:t>
            </w:r>
          </w:p>
        </w:tc>
      </w:tr>
      <w:tr w:rsidR="00085BAF" w:rsidRPr="001C19A0" w14:paraId="77513A85" w14:textId="77777777" w:rsidTr="00453CE1">
        <w:trPr>
          <w:trHeight w:val="316"/>
        </w:trPr>
        <w:tc>
          <w:tcPr>
            <w:tcW w:w="1384" w:type="dxa"/>
          </w:tcPr>
          <w:p w14:paraId="1C17C9CB"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г)</w:t>
            </w:r>
          </w:p>
        </w:tc>
        <w:tc>
          <w:tcPr>
            <w:tcW w:w="7655" w:type="dxa"/>
          </w:tcPr>
          <w:p w14:paraId="57A530E2" w14:textId="0579C670" w:rsidR="00085BAF" w:rsidRPr="001C19A0" w:rsidRDefault="00085BAF" w:rsidP="000478D0">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б) и член 435, параграф 2, букви а), б) и в) от посочения регламент институциите описват как техният управителен орган участва в надзора и управлението на социалните рискове. Тази информация обхваща обосновката на подхода, възприет от управителния орган, и отчита редица социални фактори. Тези фактори включват ангажираността на институцията към общността и обществото, нейните отношения със служителите и спазването на трудовите стандарти, защитата на потребителите и отговорността за продуктите, както и правата на човека.</w:t>
            </w:r>
          </w:p>
        </w:tc>
      </w:tr>
      <w:tr w:rsidR="00085BAF" w:rsidRPr="001C19A0" w14:paraId="07A56FC0" w14:textId="77777777" w:rsidTr="00453CE1">
        <w:trPr>
          <w:trHeight w:val="316"/>
        </w:trPr>
        <w:tc>
          <w:tcPr>
            <w:tcW w:w="1384" w:type="dxa"/>
          </w:tcPr>
          <w:p w14:paraId="023EFA27" w14:textId="77777777" w:rsidR="00085BAF" w:rsidRPr="001C19A0" w:rsidRDefault="00085BAF" w:rsidP="00085BAF">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rPr>
              <w:t>д)</w:t>
            </w:r>
          </w:p>
        </w:tc>
        <w:tc>
          <w:tcPr>
            <w:tcW w:w="7655" w:type="dxa"/>
          </w:tcPr>
          <w:p w14:paraId="450F6B21" w14:textId="47ADBE3C" w:rsidR="00085BAF" w:rsidRPr="001C19A0" w:rsidRDefault="00085BAF" w:rsidP="00085BAF">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букви а), б) и в) от посочения регламент институциите описват как организират своите комитети по риска и как разпределят задачите и отговорностите по управление на риска с цел наблюдение и управление на социалните рискове.</w:t>
            </w:r>
          </w:p>
          <w:p w14:paraId="7B8DBD55" w14:textId="0E9AF518" w:rsidR="00F83F48" w:rsidRPr="001C19A0" w:rsidRDefault="00F83F48" w:rsidP="00EF039B">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предоставят информация както за своите вътрешни, така и за външните ресурси, предназначени за оценка на социалните рискове.</w:t>
            </w:r>
          </w:p>
        </w:tc>
      </w:tr>
      <w:tr w:rsidR="00085BAF" w:rsidRPr="001C19A0" w14:paraId="7CEC0C50" w14:textId="77777777" w:rsidTr="00453CE1">
        <w:trPr>
          <w:trHeight w:val="316"/>
        </w:trPr>
        <w:tc>
          <w:tcPr>
            <w:tcW w:w="1384" w:type="dxa"/>
          </w:tcPr>
          <w:p w14:paraId="70BCD49D"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е)</w:t>
            </w:r>
          </w:p>
        </w:tc>
        <w:tc>
          <w:tcPr>
            <w:tcW w:w="7655" w:type="dxa"/>
          </w:tcPr>
          <w:p w14:paraId="17359043" w14:textId="598EC9C0" w:rsidR="00085BAF" w:rsidRPr="001C19A0" w:rsidRDefault="00085BAF" w:rsidP="007C337E">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буква д) от посочения регламент институциите описват начините, по които включват социалните рискове в своята рамка и структура за вътрешно отчитане, и посочват честотата на вътрешното отчитане и обмена на информация относно социалните рискове.</w:t>
            </w:r>
          </w:p>
        </w:tc>
      </w:tr>
      <w:tr w:rsidR="00085BAF" w:rsidRPr="001C19A0" w14:paraId="1EE7445F" w14:textId="77777777" w:rsidTr="00453CE1">
        <w:trPr>
          <w:trHeight w:val="316"/>
        </w:trPr>
        <w:tc>
          <w:tcPr>
            <w:tcW w:w="1384" w:type="dxa"/>
          </w:tcPr>
          <w:p w14:paraId="06A15F30"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ж)</w:t>
            </w:r>
          </w:p>
        </w:tc>
        <w:tc>
          <w:tcPr>
            <w:tcW w:w="7655" w:type="dxa"/>
          </w:tcPr>
          <w:p w14:paraId="77CD6D4E" w14:textId="7688CD6F" w:rsidR="00085BAF" w:rsidRPr="001C19A0" w:rsidRDefault="00085BAF" w:rsidP="00EF039B">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буква д) от посочения регламент институциите предоставят информация за това дали социалните рискове са включени в тяхната политика за възнагражденията, както и за критериите и показателите, използвани за определяне на въздействието на социалния риск върху променливите възнаграждения.</w:t>
            </w:r>
          </w:p>
        </w:tc>
      </w:tr>
      <w:tr w:rsidR="00085BAF" w:rsidRPr="001C19A0" w14:paraId="2FDEB116" w14:textId="77777777" w:rsidTr="00453CE1">
        <w:trPr>
          <w:trHeight w:val="723"/>
        </w:trPr>
        <w:tc>
          <w:tcPr>
            <w:tcW w:w="1384" w:type="dxa"/>
            <w:shd w:val="clear" w:color="auto" w:fill="D9D9D9" w:themeFill="background1" w:themeFillShade="D9"/>
          </w:tcPr>
          <w:p w14:paraId="2936ADE1" w14:textId="77777777" w:rsidR="00085BAF" w:rsidRPr="001C19A0" w:rsidRDefault="00085BAF" w:rsidP="00085BAF">
            <w:pPr>
              <w:autoSpaceDE w:val="0"/>
              <w:autoSpaceDN w:val="0"/>
              <w:adjustRightInd w:val="0"/>
              <w:jc w:val="both"/>
              <w:rPr>
                <w:rFonts w:asciiTheme="majorBidi" w:hAnsiTheme="majorBidi" w:cstheme="majorBidi"/>
                <w:noProof/>
                <w:sz w:val="24"/>
              </w:rPr>
            </w:pPr>
          </w:p>
        </w:tc>
        <w:tc>
          <w:tcPr>
            <w:tcW w:w="7655" w:type="dxa"/>
            <w:shd w:val="clear" w:color="auto" w:fill="D9D9D9" w:themeFill="background1" w:themeFillShade="D9"/>
          </w:tcPr>
          <w:p w14:paraId="31B96183" w14:textId="77777777" w:rsidR="00085BAF" w:rsidRPr="001C19A0" w:rsidRDefault="00085BAF" w:rsidP="00085BAF">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Управление на риска</w:t>
            </w:r>
          </w:p>
        </w:tc>
      </w:tr>
      <w:tr w:rsidR="00085BAF" w:rsidRPr="001C19A0" w14:paraId="5C8AB057" w14:textId="77777777" w:rsidTr="00453CE1">
        <w:trPr>
          <w:trHeight w:val="316"/>
        </w:trPr>
        <w:tc>
          <w:tcPr>
            <w:tcW w:w="1384" w:type="dxa"/>
          </w:tcPr>
          <w:p w14:paraId="0D3C724F"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з)</w:t>
            </w:r>
          </w:p>
        </w:tc>
        <w:tc>
          <w:tcPr>
            <w:tcW w:w="7655" w:type="dxa"/>
          </w:tcPr>
          <w:p w14:paraId="62FA07F4" w14:textId="47418DD3"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В съответствие с член 449а от Регламент (ЕС) № 575/2013 във връзка с член 435, параграф 1, буква а) от посочения регламент институциите предоставят информация за методите, определенията и стандартите, които използват за установяването и управлението на социалните фактори и рискове, както и за рамката, на която се основават тези стандарти, определения и методи. </w:t>
            </w:r>
          </w:p>
          <w:p w14:paraId="2D1011E1" w14:textId="53F41758" w:rsidR="00085BAF" w:rsidRPr="001C19A0" w:rsidRDefault="00C767CD" w:rsidP="00EF039B">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посочват как тези методи, определения и стандарти са свързани с приложимата рамка на политиката на Съюза и в международен план, както и с наличните референтни показатели.</w:t>
            </w:r>
          </w:p>
        </w:tc>
      </w:tr>
      <w:tr w:rsidR="00085BAF" w:rsidRPr="001C19A0" w14:paraId="4E756BCC" w14:textId="77777777" w:rsidTr="00453CE1">
        <w:trPr>
          <w:trHeight w:val="316"/>
        </w:trPr>
        <w:tc>
          <w:tcPr>
            <w:tcW w:w="1384" w:type="dxa"/>
          </w:tcPr>
          <w:p w14:paraId="4F9BDE02"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и)</w:t>
            </w:r>
          </w:p>
        </w:tc>
        <w:tc>
          <w:tcPr>
            <w:tcW w:w="7655" w:type="dxa"/>
          </w:tcPr>
          <w:p w14:paraId="29A0DBDA" w14:textId="28C13826"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В съответствие с член 449а от Регламент (ЕС) № 575/2013 във връзка с член 435, параграф 1, буква а) от посочения регламент институциите предоставят информация за процеса, чрез който установяват и наблюдават своите дейности и експозиции, които са чувствителни към социални рискове, включително чрез своите контрагенти, инвестиционни дейности или дейности по управление на активи, и включително всички движими и недвижими активи, свързани с тези дейности и експозиции. </w:t>
            </w:r>
          </w:p>
          <w:p w14:paraId="1B1F0DF8" w14:textId="7DFDD69E" w:rsidR="00085BAF" w:rsidRPr="001C19A0" w:rsidRDefault="00C767CD"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предоставят информация за процеса, чрез който установяват и наблюдават социалните рискове, които са съществени от финансова гледна точка или които понастоящем не са съществени, но има възможност да станат съществени в бъдеще. </w:t>
            </w:r>
          </w:p>
          <w:p w14:paraId="1167996C" w14:textId="2FBAE879" w:rsidR="00211887" w:rsidRPr="001C19A0" w:rsidRDefault="00085BAF" w:rsidP="00486580">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Такива дейности, експозиции и активи, чувствителни към социални рискове, може да бъдат свързани с контрагенти, нарушаващи трудовото право, правата на човека или други социални закони или права, които може да бъдат правно оспорвани. По-конкретно, сред секторите с повишен социален риск може да бъдат сектори с работници мигранти, ниски заплати, ниски трудови стандарти или лоши условия на труд, които оказват отрицателно въздействие върху общностите и има по-висока вероятност да бъдат под обществен и политически контрол.</w:t>
            </w:r>
          </w:p>
        </w:tc>
      </w:tr>
      <w:tr w:rsidR="00085BAF" w:rsidRPr="001C19A0" w14:paraId="4A9AF1EA" w14:textId="77777777" w:rsidTr="00453CE1">
        <w:trPr>
          <w:trHeight w:val="316"/>
        </w:trPr>
        <w:tc>
          <w:tcPr>
            <w:tcW w:w="1384" w:type="dxa"/>
          </w:tcPr>
          <w:p w14:paraId="09B5475B"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й)</w:t>
            </w:r>
          </w:p>
        </w:tc>
        <w:tc>
          <w:tcPr>
            <w:tcW w:w="7655" w:type="dxa"/>
          </w:tcPr>
          <w:p w14:paraId="0A7F2429" w14:textId="7C67B582" w:rsidR="00085BAF" w:rsidRPr="001C19A0" w:rsidRDefault="00085BAF" w:rsidP="007C337E">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а) от посочения регламент институциите предоставят информация за дейностите, поетите задължения и активите, с които разполагат за смекчаване на социалните рискове.</w:t>
            </w:r>
          </w:p>
        </w:tc>
      </w:tr>
      <w:tr w:rsidR="00085BAF" w:rsidRPr="001C19A0" w14:paraId="697FE407" w14:textId="77777777" w:rsidTr="00453CE1">
        <w:trPr>
          <w:trHeight w:val="316"/>
        </w:trPr>
        <w:tc>
          <w:tcPr>
            <w:tcW w:w="1384" w:type="dxa"/>
          </w:tcPr>
          <w:p w14:paraId="353F809D"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к)</w:t>
            </w:r>
          </w:p>
        </w:tc>
        <w:tc>
          <w:tcPr>
            <w:tcW w:w="7655" w:type="dxa"/>
          </w:tcPr>
          <w:p w14:paraId="6035E25F" w14:textId="36442567" w:rsidR="00211887"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а) от посочения регламент институциите предоставят информация относно инструментите за прилагане, които използват за установяване и управление на социалните рискове. Тези инструменти включват анализ на сценариите, прилаган на равнище експозиция, на равнище портфейл, на равнище контрагент или на секторно равнище, и обхващат фактори като миграцията, демографските тенденции, промените в работната сила и технологичните промени.</w:t>
            </w:r>
          </w:p>
          <w:p w14:paraId="0E3A4077" w14:textId="34BAB921" w:rsidR="00211887" w:rsidRPr="001C19A0" w:rsidRDefault="00C767CD" w:rsidP="00211887">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Социалните рискове могат да включват и промяна в поведението на потребителите, проблеми, свързани с дискриминацията и социалното приобщаване, анализ на сценарии относно увеличаване на неравенството, социалното въздействие на изменението на климата, смекчаване на изменението на климата или адаптиране към него и влошаване на състоянието на околната среда.</w:t>
            </w:r>
          </w:p>
          <w:p w14:paraId="6BC7C28F" w14:textId="2C42D240" w:rsidR="00085BAF" w:rsidRPr="001C19A0" w:rsidRDefault="00C767CD" w:rsidP="00486580">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предоставят информация за допусканията и методите, използвани за извършване на този анализ на сценариите.  Институциите посочват времевия хоризонт, използван за оценка на социалния риск, въз основа на счетоводни и пруденциални показатели, т.е. краткосрочен, средносрочен или дългосрочен времеви хоризонт.</w:t>
            </w:r>
          </w:p>
        </w:tc>
      </w:tr>
      <w:tr w:rsidR="00085BAF" w:rsidRPr="001C19A0" w14:paraId="0BFA423F" w14:textId="77777777" w:rsidTr="00453CE1">
        <w:trPr>
          <w:trHeight w:val="316"/>
        </w:trPr>
        <w:tc>
          <w:tcPr>
            <w:tcW w:w="1384" w:type="dxa"/>
          </w:tcPr>
          <w:p w14:paraId="6A5BD8F3"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л)</w:t>
            </w:r>
          </w:p>
        </w:tc>
        <w:tc>
          <w:tcPr>
            <w:tcW w:w="7655" w:type="dxa"/>
          </w:tcPr>
          <w:p w14:paraId="609EDE82" w14:textId="15FD4405" w:rsidR="00A1551E" w:rsidRPr="001C19A0" w:rsidRDefault="00A1551E" w:rsidP="00A1551E">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1, буква е) от посочения регламент институциите предоставят информация за ограниченията, които определят относно финансирането на проекти или контрагенти, нанасящи значителни вреди във връзка с постигането на социалните цели на стопанската им стратегия.</w:t>
            </w:r>
          </w:p>
          <w:p w14:paraId="49CB0136" w14:textId="7EC4A654" w:rsidR="00085BAF" w:rsidRPr="001C19A0" w:rsidRDefault="00486580" w:rsidP="00486580">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Тези ограничения включват ограниченията, определени от институциите в момента на отпускането на кредити и наблюдението им с цел избягване или смекчаване на социалните рискове, както и ограниченията, които показват кога конкретна експозиция би довела до допълнително проучване, вътрешно ескалиране, коригиращи действия или изключване от портфейла.</w:t>
            </w:r>
          </w:p>
        </w:tc>
      </w:tr>
      <w:tr w:rsidR="00085BAF" w:rsidRPr="001C19A0" w14:paraId="65F64E12" w14:textId="77777777" w:rsidTr="00453CE1">
        <w:trPr>
          <w:trHeight w:val="316"/>
        </w:trPr>
        <w:tc>
          <w:tcPr>
            <w:tcW w:w="1384" w:type="dxa"/>
          </w:tcPr>
          <w:p w14:paraId="1ACC2542" w14:textId="77777777" w:rsidR="00085BAF" w:rsidRPr="001C19A0" w:rsidRDefault="00085BAF" w:rsidP="00085BAF">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rPr>
              <w:t>м)</w:t>
            </w:r>
          </w:p>
        </w:tc>
        <w:tc>
          <w:tcPr>
            <w:tcW w:w="7655" w:type="dxa"/>
          </w:tcPr>
          <w:p w14:paraId="24BE1B90" w14:textId="7C0CBA40" w:rsidR="00085BAF" w:rsidRPr="001C19A0" w:rsidRDefault="00085BAF" w:rsidP="00085BAF">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институциите предоставят информация за това как  отразяват в баланса си възникващите социални рискове и каква връзка намират между тях и кредитния, ликвидния, пазарния и операционния риск.</w:t>
            </w:r>
          </w:p>
          <w:p w14:paraId="2C341AD6" w14:textId="278ECDAC" w:rsidR="00085BAF" w:rsidRPr="001C19A0" w:rsidRDefault="00C767CD" w:rsidP="00862D53">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трябва да предоставят информация за начините, по които оценяват и управляват въздействието на съответните събития, нанасящи вреди в социален аспект, върху категориите пруденциални рискове, включително кредитен риск, ликвиден риск, пазарен риск и операционен риск.</w:t>
            </w:r>
          </w:p>
        </w:tc>
      </w:tr>
    </w:tbl>
    <w:p w14:paraId="351DE992" w14:textId="77777777" w:rsidR="001F2096" w:rsidRPr="001C19A0" w:rsidRDefault="001F2096" w:rsidP="001A08A2">
      <w:pPr>
        <w:jc w:val="both"/>
        <w:rPr>
          <w:rFonts w:asciiTheme="majorBidi" w:hAnsiTheme="majorBidi" w:cstheme="majorBidi"/>
          <w:noProof/>
          <w:sz w:val="24"/>
        </w:rPr>
      </w:pPr>
    </w:p>
    <w:p w14:paraId="5796687E" w14:textId="77777777" w:rsidR="007A6AB7" w:rsidRPr="001C19A0" w:rsidRDefault="007A6AB7" w:rsidP="00720CB4">
      <w:pPr>
        <w:jc w:val="both"/>
        <w:rPr>
          <w:rFonts w:asciiTheme="majorBidi" w:hAnsiTheme="majorBidi" w:cstheme="majorBidi"/>
          <w:noProof/>
          <w:sz w:val="24"/>
        </w:rPr>
      </w:pPr>
      <w:r w:rsidRPr="001C19A0">
        <w:rPr>
          <w:rFonts w:asciiTheme="majorBidi" w:hAnsiTheme="majorBidi" w:cstheme="majorBidi"/>
          <w:b/>
          <w:noProof/>
          <w:sz w:val="24"/>
        </w:rPr>
        <w:t>Таблица 3 — Качествена информация относно управленския риск:</w:t>
      </w:r>
      <w:r w:rsidRPr="001C19A0">
        <w:rPr>
          <w:rFonts w:asciiTheme="majorBidi" w:hAnsiTheme="majorBidi" w:cstheme="majorBidi"/>
          <w:noProof/>
          <w:sz w:val="24"/>
        </w:rPr>
        <w:t xml:space="preserve"> Полета със свободен текст за оповестяване на качествена информация в приложение XXXVII.</w:t>
      </w:r>
    </w:p>
    <w:p w14:paraId="40339D8A" w14:textId="06C5D09C" w:rsidR="007A6AB7" w:rsidRPr="001C19A0" w:rsidRDefault="007A6AB7" w:rsidP="00B76863">
      <w:pPr>
        <w:pStyle w:val="ListParagraph"/>
        <w:numPr>
          <w:ilvl w:val="0"/>
          <w:numId w:val="11"/>
        </w:numPr>
        <w:tabs>
          <w:tab w:val="left" w:pos="567"/>
        </w:tabs>
        <w:spacing w:before="120" w:after="120"/>
        <w:ind w:left="0" w:firstLine="0"/>
        <w:jc w:val="both"/>
        <w:rPr>
          <w:rFonts w:asciiTheme="majorBidi" w:hAnsiTheme="majorBidi" w:cstheme="majorBidi"/>
          <w:noProof/>
        </w:rPr>
      </w:pPr>
      <w:r w:rsidRPr="001C19A0">
        <w:rPr>
          <w:rFonts w:asciiTheme="majorBidi" w:hAnsiTheme="majorBidi" w:cstheme="majorBidi"/>
          <w:noProof/>
          <w:sz w:val="24"/>
        </w:rPr>
        <w:t>Институциите използват следните указания при попълването на таблица 3 — „Качествена информация за управленския риск“ от приложение XXXIX към настоящия регламент, за да опишат как управленските рискове са отразени в управлението на институцията и в управлението на риска в съответствие с член 449а от Регламент (ЕС) № 575/2013 във връзка с член 435 от същия регламент.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1C19A0"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1C19A0" w:rsidRDefault="007A6AB7" w:rsidP="001A08A2">
            <w:pPr>
              <w:jc w:val="both"/>
              <w:rPr>
                <w:rFonts w:asciiTheme="majorBidi" w:hAnsiTheme="majorBidi" w:cstheme="majorBidi"/>
                <w:b/>
                <w:noProof/>
                <w:sz w:val="24"/>
              </w:rPr>
            </w:pPr>
            <w:r w:rsidRPr="001C19A0">
              <w:rPr>
                <w:rFonts w:asciiTheme="majorBidi" w:hAnsiTheme="majorBidi" w:cstheme="majorBidi"/>
                <w:b/>
                <w:noProof/>
                <w:sz w:val="24"/>
              </w:rPr>
              <w:t>Препратки към правни норми и указания</w:t>
            </w:r>
          </w:p>
        </w:tc>
      </w:tr>
      <w:tr w:rsidR="007A6AB7" w:rsidRPr="001C19A0" w14:paraId="4DA086FB" w14:textId="77777777" w:rsidTr="00453CE1">
        <w:trPr>
          <w:trHeight w:val="238"/>
        </w:trPr>
        <w:tc>
          <w:tcPr>
            <w:tcW w:w="1384" w:type="dxa"/>
            <w:shd w:val="clear" w:color="auto" w:fill="D9D9D9" w:themeFill="background1" w:themeFillShade="D9"/>
          </w:tcPr>
          <w:p w14:paraId="218CDBD3" w14:textId="77777777" w:rsidR="007A6AB7" w:rsidRPr="001C19A0" w:rsidRDefault="007A6AB7" w:rsidP="001A08A2">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Ред №</w:t>
            </w:r>
          </w:p>
        </w:tc>
        <w:tc>
          <w:tcPr>
            <w:tcW w:w="7655" w:type="dxa"/>
            <w:shd w:val="clear" w:color="auto" w:fill="D9D9D9" w:themeFill="background1" w:themeFillShade="D9"/>
          </w:tcPr>
          <w:p w14:paraId="33DA028C" w14:textId="77777777" w:rsidR="007A6AB7" w:rsidRPr="001C19A0" w:rsidRDefault="007A6AB7" w:rsidP="001A08A2">
            <w:pPr>
              <w:autoSpaceDE w:val="0"/>
              <w:autoSpaceDN w:val="0"/>
              <w:adjustRightInd w:val="0"/>
              <w:jc w:val="both"/>
              <w:rPr>
                <w:rFonts w:asciiTheme="majorBidi" w:hAnsiTheme="majorBidi" w:cstheme="majorBidi"/>
                <w:noProof/>
                <w:color w:val="000000"/>
                <w:sz w:val="24"/>
              </w:rPr>
            </w:pPr>
            <w:r w:rsidRPr="001C19A0">
              <w:rPr>
                <w:rFonts w:asciiTheme="majorBidi" w:hAnsiTheme="majorBidi" w:cstheme="majorBidi"/>
                <w:b/>
                <w:noProof/>
                <w:sz w:val="24"/>
              </w:rPr>
              <w:t>Обяснение</w:t>
            </w:r>
          </w:p>
        </w:tc>
      </w:tr>
      <w:tr w:rsidR="007A6AB7" w:rsidRPr="001C19A0" w14:paraId="77A09835" w14:textId="77777777" w:rsidTr="00453CE1">
        <w:trPr>
          <w:trHeight w:val="547"/>
        </w:trPr>
        <w:tc>
          <w:tcPr>
            <w:tcW w:w="1384" w:type="dxa"/>
            <w:shd w:val="clear" w:color="auto" w:fill="D9D9D9" w:themeFill="background1" w:themeFillShade="D9"/>
          </w:tcPr>
          <w:p w14:paraId="22672806" w14:textId="77777777" w:rsidR="007A6AB7" w:rsidRPr="001C19A0" w:rsidRDefault="007A6AB7" w:rsidP="001A08A2">
            <w:pPr>
              <w:autoSpaceDE w:val="0"/>
              <w:autoSpaceDN w:val="0"/>
              <w:adjustRightInd w:val="0"/>
              <w:jc w:val="both"/>
              <w:rPr>
                <w:rFonts w:asciiTheme="majorBidi" w:hAnsiTheme="majorBidi" w:cstheme="majorBidi"/>
                <w:b/>
                <w:noProof/>
                <w:sz w:val="24"/>
                <w:lang w:val="en-GB"/>
              </w:rPr>
            </w:pPr>
          </w:p>
        </w:tc>
        <w:tc>
          <w:tcPr>
            <w:tcW w:w="7655" w:type="dxa"/>
            <w:shd w:val="clear" w:color="auto" w:fill="D9D9D9" w:themeFill="background1" w:themeFillShade="D9"/>
          </w:tcPr>
          <w:p w14:paraId="6A7723AD" w14:textId="77777777" w:rsidR="007A6AB7" w:rsidRPr="001C19A0" w:rsidRDefault="007A6AB7" w:rsidP="001A08A2">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Управление</w:t>
            </w:r>
          </w:p>
        </w:tc>
      </w:tr>
      <w:tr w:rsidR="007A6AB7" w:rsidRPr="001C19A0" w14:paraId="344BD5A4" w14:textId="77777777" w:rsidTr="00453CE1">
        <w:trPr>
          <w:trHeight w:val="316"/>
        </w:trPr>
        <w:tc>
          <w:tcPr>
            <w:tcW w:w="1384" w:type="dxa"/>
          </w:tcPr>
          <w:p w14:paraId="66FC2CD3" w14:textId="77777777" w:rsidR="007A6AB7" w:rsidRPr="001C19A0" w:rsidRDefault="00930E02" w:rsidP="001A08A2">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а)</w:t>
            </w:r>
          </w:p>
        </w:tc>
        <w:tc>
          <w:tcPr>
            <w:tcW w:w="7655" w:type="dxa"/>
          </w:tcPr>
          <w:p w14:paraId="7350995A" w14:textId="0DA01A48" w:rsidR="005508BA" w:rsidRPr="001C19A0" w:rsidRDefault="00853187" w:rsidP="00D35812">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от посочения регламент институциите предоставят информация за начините, по които резултатите от управлението на контрагента са отразени в техните механизми за управление.</w:t>
            </w:r>
          </w:p>
          <w:p w14:paraId="15568C2A" w14:textId="20EEE71A" w:rsidR="007A35BC" w:rsidRPr="001C19A0" w:rsidRDefault="005508BA" w:rsidP="003675DE">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Съображенията относно резултатите от управлението на контрагента трябва да обхващат необходимите стъпки от процесите на вземане на решения, надзор и управление на контрагента на всички равнища, включително комитетите на най-висшия управителен орган и комитетите, отговарящи за вземането на решения по икономически, екологични и социални въпроси.</w:t>
            </w:r>
          </w:p>
        </w:tc>
      </w:tr>
      <w:tr w:rsidR="007A6AB7" w:rsidRPr="001C19A0" w14:paraId="6A0A5117" w14:textId="77777777" w:rsidTr="00453CE1">
        <w:trPr>
          <w:trHeight w:val="316"/>
        </w:trPr>
        <w:tc>
          <w:tcPr>
            <w:tcW w:w="1384" w:type="dxa"/>
          </w:tcPr>
          <w:p w14:paraId="5C4FB8C3" w14:textId="77777777" w:rsidR="007A6AB7" w:rsidRPr="001C19A0" w:rsidRDefault="00930E02" w:rsidP="001A08A2">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б)</w:t>
            </w:r>
          </w:p>
        </w:tc>
        <w:tc>
          <w:tcPr>
            <w:tcW w:w="7655" w:type="dxa"/>
          </w:tcPr>
          <w:p w14:paraId="573A137C" w14:textId="67DCB06F" w:rsidR="00E25992" w:rsidRPr="001C19A0" w:rsidRDefault="00693087" w:rsidP="00693087">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обясняват как вземат предвид ролята на висшия управителен орган на контрагента в отчитането на нефинансова информация, включително висшия комитет или функционалната длъжност, която официално преглежда и одобрява доклада на организацията относно устойчивостта и гарантира, че са обхванати всички съществени теми.</w:t>
            </w:r>
          </w:p>
        </w:tc>
      </w:tr>
      <w:tr w:rsidR="007A6AB7" w:rsidRPr="001C19A0" w14:paraId="2158BD8D" w14:textId="77777777" w:rsidTr="00453CE1">
        <w:trPr>
          <w:trHeight w:val="316"/>
        </w:trPr>
        <w:tc>
          <w:tcPr>
            <w:tcW w:w="1384" w:type="dxa"/>
          </w:tcPr>
          <w:p w14:paraId="28D5BF6A" w14:textId="77777777" w:rsidR="007A6AB7" w:rsidRPr="001C19A0" w:rsidRDefault="00930E02"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в)</w:t>
            </w:r>
          </w:p>
        </w:tc>
        <w:tc>
          <w:tcPr>
            <w:tcW w:w="7655" w:type="dxa"/>
          </w:tcPr>
          <w:p w14:paraId="2B1D1A1A" w14:textId="0953076F" w:rsidR="007A35BC" w:rsidRPr="001C19A0" w:rsidRDefault="00A65693" w:rsidP="00D35812">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съответствие с член 449а от Регламент (ЕС) № 575/2013 във връзка с член 435, параграф 2 от посочения регламент институциите предоставят информация за начина, по който резултатите от управлението на контрагентите им са отразени в техните механизми за управление.</w:t>
            </w:r>
          </w:p>
          <w:p w14:paraId="167F340F" w14:textId="5150DB7B" w:rsidR="007A6AB7" w:rsidRPr="001C19A0" w:rsidRDefault="007A35BC" w:rsidP="00DA390D">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Съображенията, свързани с резултатите от управлението на контрагентите на институцията, трябва да обхващат всички изброени по-долу елементи:</w:t>
            </w:r>
          </w:p>
          <w:p w14:paraId="28FCEA68" w14:textId="2600D354" w:rsidR="007A35BC" w:rsidRPr="001C19A0" w:rsidRDefault="00565454" w:rsidP="00BD7C6D">
            <w:pPr>
              <w:pStyle w:val="ListParagraph"/>
              <w:numPr>
                <w:ilvl w:val="0"/>
                <w:numId w:val="12"/>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етични съображения, включително почтеност на поведението, ценности и етика, мерки за борба с подкупите и с корупцията, отчетност и върховенство на закона;</w:t>
            </w:r>
          </w:p>
          <w:p w14:paraId="09B97226" w14:textId="08B80899" w:rsidR="007A35BC" w:rsidRPr="001C19A0" w:rsidRDefault="00565454" w:rsidP="00BD7C6D">
            <w:pPr>
              <w:pStyle w:val="ListParagraph"/>
              <w:numPr>
                <w:ilvl w:val="0"/>
                <w:numId w:val="12"/>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стратегия и управление на риска, включително прилагане на стратегията, оперативно изпълнение и наблюдение, вътрешен контрол и политики и процедури за управление на риска;</w:t>
            </w:r>
          </w:p>
          <w:p w14:paraId="2A5CD188" w14:textId="172E8936" w:rsidR="007A35BC" w:rsidRPr="001C19A0" w:rsidRDefault="00565454" w:rsidP="00BD7C6D">
            <w:pPr>
              <w:pStyle w:val="ListParagraph"/>
              <w:numPr>
                <w:ilvl w:val="0"/>
                <w:numId w:val="12"/>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приобщаване; включително неравнопоставеността между половете и представителството на хората от малцинствени групи в управлението, разликата в доходите;</w:t>
            </w:r>
          </w:p>
          <w:p w14:paraId="45DF0AF3" w14:textId="6F5295DC" w:rsidR="007A35BC" w:rsidRPr="001C19A0" w:rsidRDefault="00565454" w:rsidP="00BD7C6D">
            <w:pPr>
              <w:pStyle w:val="ListParagraph"/>
              <w:numPr>
                <w:ilvl w:val="0"/>
                <w:numId w:val="12"/>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прозрачност; включително оповестяване на информация относно дискриминация, данъчни задължения и плащания, оповестяване на лобистки дейности и правила и практики;</w:t>
            </w:r>
          </w:p>
          <w:p w14:paraId="18B3DD21" w14:textId="571F415F" w:rsidR="003B665E" w:rsidRPr="001C19A0" w:rsidRDefault="00F9705C" w:rsidP="00BD7C6D">
            <w:pPr>
              <w:pStyle w:val="ListParagraph"/>
              <w:numPr>
                <w:ilvl w:val="0"/>
                <w:numId w:val="12"/>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управление на конфликтите на интереси, включително процедури за най-висшия управителен орган, гарантиращи, че всеки конфликт на интереси се предотвратява, управлява и смекчава; както и</w:t>
            </w:r>
          </w:p>
          <w:p w14:paraId="4736EE17" w14:textId="765CCB98" w:rsidR="003B665E" w:rsidRPr="001C19A0" w:rsidRDefault="00F9705C" w:rsidP="00BD7C6D">
            <w:pPr>
              <w:pStyle w:val="ListParagraph"/>
              <w:numPr>
                <w:ilvl w:val="0"/>
                <w:numId w:val="12"/>
              </w:numPr>
              <w:autoSpaceDE w:val="0"/>
              <w:autoSpaceDN w:val="0"/>
              <w:adjustRightInd w:val="0"/>
              <w:spacing w:before="120" w:after="120"/>
              <w:ind w:left="350"/>
              <w:jc w:val="both"/>
              <w:rPr>
                <w:rFonts w:asciiTheme="majorBidi" w:eastAsia="Times New Roman" w:hAnsiTheme="majorBidi" w:cstheme="majorBidi"/>
                <w:noProof/>
                <w:sz w:val="24"/>
              </w:rPr>
            </w:pPr>
            <w:r w:rsidRPr="001C19A0">
              <w:rPr>
                <w:rFonts w:asciiTheme="majorBidi" w:hAnsiTheme="majorBidi" w:cstheme="majorBidi"/>
                <w:noProof/>
                <w:sz w:val="24"/>
              </w:rPr>
              <w:t>вътрешна комуникация по критични въпроси, включително как функционира вътрешният процес на контрагента за уведомяване на най-висшия управителен орган при наличието на критични опасения.</w:t>
            </w:r>
          </w:p>
        </w:tc>
      </w:tr>
      <w:tr w:rsidR="007A6AB7" w:rsidRPr="001C19A0" w14:paraId="6F5AAA01" w14:textId="77777777" w:rsidTr="00C6390F">
        <w:trPr>
          <w:trHeight w:val="493"/>
        </w:trPr>
        <w:tc>
          <w:tcPr>
            <w:tcW w:w="1384" w:type="dxa"/>
            <w:shd w:val="clear" w:color="auto" w:fill="D9D9D9" w:themeFill="background1" w:themeFillShade="D9"/>
          </w:tcPr>
          <w:p w14:paraId="646C91DA" w14:textId="77777777" w:rsidR="007A6AB7" w:rsidRPr="001C19A0" w:rsidRDefault="007A6AB7" w:rsidP="001A08A2">
            <w:pPr>
              <w:autoSpaceDE w:val="0"/>
              <w:autoSpaceDN w:val="0"/>
              <w:adjustRightInd w:val="0"/>
              <w:jc w:val="both"/>
              <w:rPr>
                <w:rFonts w:asciiTheme="majorBidi" w:hAnsiTheme="majorBidi" w:cstheme="majorBidi"/>
                <w:noProof/>
                <w:sz w:val="24"/>
              </w:rPr>
            </w:pPr>
          </w:p>
        </w:tc>
        <w:tc>
          <w:tcPr>
            <w:tcW w:w="7655" w:type="dxa"/>
            <w:shd w:val="clear" w:color="auto" w:fill="D9D9D9" w:themeFill="background1" w:themeFillShade="D9"/>
          </w:tcPr>
          <w:p w14:paraId="34244AE9" w14:textId="77777777" w:rsidR="007A6AB7" w:rsidRPr="001C19A0" w:rsidRDefault="00C6390F" w:rsidP="001A08A2">
            <w:pPr>
              <w:autoSpaceDE w:val="0"/>
              <w:autoSpaceDN w:val="0"/>
              <w:adjustRightInd w:val="0"/>
              <w:jc w:val="both"/>
              <w:rPr>
                <w:rFonts w:asciiTheme="majorBidi" w:hAnsiTheme="majorBidi" w:cstheme="majorBidi"/>
                <w:b/>
                <w:noProof/>
                <w:sz w:val="24"/>
              </w:rPr>
            </w:pPr>
            <w:r w:rsidRPr="001C19A0">
              <w:rPr>
                <w:rFonts w:asciiTheme="majorBidi" w:hAnsiTheme="majorBidi" w:cstheme="majorBidi"/>
                <w:b/>
                <w:noProof/>
                <w:sz w:val="24"/>
              </w:rPr>
              <w:t>Управление на риска</w:t>
            </w:r>
          </w:p>
        </w:tc>
      </w:tr>
      <w:tr w:rsidR="007A6AB7" w:rsidRPr="001C19A0" w14:paraId="783CF56B" w14:textId="77777777" w:rsidTr="00453CE1">
        <w:trPr>
          <w:trHeight w:val="316"/>
        </w:trPr>
        <w:tc>
          <w:tcPr>
            <w:tcW w:w="1384" w:type="dxa"/>
          </w:tcPr>
          <w:p w14:paraId="0438CEA5" w14:textId="77777777" w:rsidR="007A6AB7" w:rsidRPr="001C19A0" w:rsidRDefault="00930E02"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г)</w:t>
            </w:r>
          </w:p>
        </w:tc>
        <w:tc>
          <w:tcPr>
            <w:tcW w:w="7655" w:type="dxa"/>
          </w:tcPr>
          <w:p w14:paraId="125C412C" w14:textId="0E1064DD" w:rsidR="000F7FF2" w:rsidRPr="001C19A0" w:rsidRDefault="00A65693" w:rsidP="00FF5C07">
            <w:pPr>
              <w:autoSpaceDE w:val="0"/>
              <w:autoSpaceDN w:val="0"/>
              <w:adjustRightInd w:val="0"/>
              <w:spacing w:before="120" w:after="120"/>
              <w:jc w:val="both"/>
              <w:rPr>
                <w:rFonts w:asciiTheme="majorBidi" w:hAnsiTheme="majorBidi" w:cstheme="majorBidi"/>
                <w:noProof/>
              </w:rPr>
            </w:pPr>
            <w:r w:rsidRPr="001C19A0">
              <w:rPr>
                <w:rFonts w:asciiTheme="majorBidi" w:hAnsiTheme="majorBidi" w:cstheme="majorBidi"/>
                <w:noProof/>
                <w:sz w:val="24"/>
              </w:rPr>
              <w:t>В съответствие с член 449а от Регламент (ЕС) № 575/2013 във връзка с член 435, параграф 1 от посочения регламент институциите предоставят информация за начина, по който резултатите от управлението на контрагентите им са отразени в механизмите им за управление на риска, като вземат предвид аспектите, посочени в ред 3.</w:t>
            </w:r>
          </w:p>
        </w:tc>
      </w:tr>
    </w:tbl>
    <w:p w14:paraId="55A0122A" w14:textId="77777777" w:rsidR="00C168F0" w:rsidRPr="001C19A0" w:rsidRDefault="00C168F0" w:rsidP="001A08A2">
      <w:pPr>
        <w:jc w:val="both"/>
        <w:rPr>
          <w:rFonts w:asciiTheme="majorBidi" w:hAnsiTheme="majorBidi" w:cstheme="majorBidi"/>
          <w:b/>
          <w:noProof/>
          <w:sz w:val="24"/>
        </w:rPr>
      </w:pPr>
    </w:p>
    <w:p w14:paraId="78E5BEAE" w14:textId="77777777" w:rsidR="00535F94" w:rsidRPr="001C19A0" w:rsidRDefault="00535F94">
      <w:pPr>
        <w:rPr>
          <w:rFonts w:asciiTheme="majorBidi" w:hAnsiTheme="majorBidi" w:cstheme="majorBidi"/>
          <w:b/>
          <w:noProof/>
          <w:sz w:val="24"/>
        </w:rPr>
      </w:pPr>
      <w:r w:rsidRPr="001C19A0">
        <w:rPr>
          <w:rFonts w:asciiTheme="majorBidi" w:hAnsiTheme="majorBidi" w:cstheme="majorBidi"/>
          <w:noProof/>
        </w:rPr>
        <w:br w:type="page"/>
      </w:r>
    </w:p>
    <w:p w14:paraId="20D108DB" w14:textId="47DAC2EF" w:rsidR="00C168F0" w:rsidRPr="001C19A0" w:rsidRDefault="00C168F0" w:rsidP="001A08A2">
      <w:pPr>
        <w:jc w:val="both"/>
        <w:rPr>
          <w:rFonts w:asciiTheme="majorBidi" w:hAnsiTheme="majorBidi" w:cstheme="majorBidi"/>
          <w:noProof/>
          <w:sz w:val="24"/>
        </w:rPr>
      </w:pPr>
      <w:r w:rsidRPr="001C19A0">
        <w:rPr>
          <w:rFonts w:asciiTheme="majorBidi" w:hAnsiTheme="majorBidi" w:cstheme="majorBidi"/>
          <w:b/>
          <w:noProof/>
          <w:sz w:val="24"/>
        </w:rPr>
        <w:t xml:space="preserve">Образец 1 — Банков портфейл — Показатели за потенциален риск от прехода във връзка с изменението на климата: </w:t>
      </w:r>
      <w:r w:rsidRPr="001C19A0">
        <w:rPr>
          <w:rFonts w:asciiTheme="majorBidi" w:hAnsiTheme="majorBidi" w:cstheme="majorBidi"/>
          <w:noProof/>
          <w:sz w:val="24"/>
        </w:rPr>
        <w:t>Кредитно качество на експозициите по сектори, емисии и остатъчен срок до падежа. Зададен формат.</w:t>
      </w:r>
    </w:p>
    <w:p w14:paraId="0E4D85EA" w14:textId="77777777" w:rsidR="00535F94" w:rsidRPr="001C19A0" w:rsidRDefault="00535F94" w:rsidP="001A08A2">
      <w:pPr>
        <w:jc w:val="both"/>
        <w:rPr>
          <w:rFonts w:asciiTheme="majorBidi" w:hAnsiTheme="majorBidi" w:cstheme="majorBidi"/>
          <w:b/>
          <w:noProof/>
          <w:sz w:val="24"/>
          <w:lang w:val="en-GB"/>
        </w:rPr>
      </w:pPr>
    </w:p>
    <w:p w14:paraId="4F171901" w14:textId="4705200E" w:rsidR="00C168F0" w:rsidRPr="001C19A0" w:rsidRDefault="00503B0C" w:rsidP="00BD7C6D">
      <w:pPr>
        <w:pStyle w:val="ListParagraph"/>
        <w:numPr>
          <w:ilvl w:val="0"/>
          <w:numId w:val="17"/>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използват следните указания при попълването на образец 1 от приложение XXXIX към настоящия регламент, за да предоставят информация за експозициите, податливи в по голяма степен на рисковете, пред които институциите може да бъдат изправени при прехода към нисковъглеродна и издръжлива спрямо изменението на климата икономика. За целите на член 449а от Регламент (ЕС) № 575/2013:</w:t>
      </w:r>
    </w:p>
    <w:p w14:paraId="442721A4" w14:textId="2AAB99D2" w:rsidR="00C168F0" w:rsidRPr="001C19A0" w:rsidRDefault="00C35AC3" w:rsidP="00B76863">
      <w:pPr>
        <w:pStyle w:val="ListParagraph"/>
        <w:spacing w:before="120" w:after="120"/>
        <w:ind w:left="567" w:hanging="567"/>
        <w:jc w:val="both"/>
        <w:rPr>
          <w:rFonts w:asciiTheme="majorBidi" w:hAnsiTheme="majorBidi" w:cstheme="majorBidi"/>
          <w:noProof/>
          <w:sz w:val="24"/>
        </w:rPr>
      </w:pPr>
      <w:r w:rsidRPr="001C19A0">
        <w:rPr>
          <w:rFonts w:asciiTheme="majorBidi" w:hAnsiTheme="majorBidi" w:cstheme="majorBidi"/>
          <w:noProof/>
          <w:sz w:val="24"/>
        </w:rPr>
        <w:t>а)</w:t>
      </w:r>
      <w:r w:rsidRPr="001C19A0">
        <w:rPr>
          <w:rFonts w:asciiTheme="majorBidi" w:hAnsiTheme="majorBidi" w:cstheme="majorBidi"/>
          <w:noProof/>
        </w:rPr>
        <w:tab/>
      </w:r>
      <w:r w:rsidRPr="001C19A0">
        <w:rPr>
          <w:rFonts w:asciiTheme="majorBidi" w:hAnsiTheme="majorBidi" w:cstheme="majorBidi"/>
          <w:noProof/>
          <w:sz w:val="24"/>
        </w:rPr>
        <w:t xml:space="preserve">институциите оповестяват информация за своите експозиции към нефинансови предприятия, извършващи дейност в свързани с въглеродните емисии сектори, и за качеството на тези експозиции, включително състояние на необслужвани експозиции, експозиции, класифицирани във фаза 2, и свързаните с тях провизии, както и падежни групи;  </w:t>
      </w:r>
    </w:p>
    <w:p w14:paraId="2C426819" w14:textId="6CEF11CE" w:rsidR="00C37C47" w:rsidRPr="001C19A0" w:rsidRDefault="00C35AC3" w:rsidP="00B76863">
      <w:pPr>
        <w:spacing w:before="120" w:after="120"/>
        <w:ind w:left="567" w:hanging="567"/>
        <w:jc w:val="both"/>
        <w:rPr>
          <w:rFonts w:asciiTheme="majorBidi" w:hAnsiTheme="majorBidi" w:cstheme="majorBidi"/>
          <w:noProof/>
          <w:sz w:val="24"/>
        </w:rPr>
      </w:pPr>
      <w:r w:rsidRPr="001C19A0">
        <w:rPr>
          <w:rFonts w:asciiTheme="majorBidi" w:hAnsiTheme="majorBidi" w:cstheme="majorBidi"/>
          <w:noProof/>
          <w:sz w:val="24"/>
        </w:rPr>
        <w:t>б)</w:t>
      </w:r>
      <w:r w:rsidRPr="001C19A0">
        <w:rPr>
          <w:rFonts w:asciiTheme="majorBidi" w:hAnsiTheme="majorBidi" w:cstheme="majorBidi"/>
          <w:noProof/>
        </w:rPr>
        <w:tab/>
      </w:r>
      <w:r w:rsidRPr="001C19A0">
        <w:rPr>
          <w:rFonts w:asciiTheme="majorBidi" w:hAnsiTheme="majorBidi" w:cstheme="majorBidi"/>
          <w:noProof/>
          <w:sz w:val="24"/>
        </w:rPr>
        <w:t>институциите започват да оповестяват информация за емисиите от обхват 1, 2 и 3 на своите контрагенти, ако такава вече е налична, включително качествена информация в описанието, придружаващо настоящия образец, относно методиката и източниците, използвани за изчисляването на тези емисии. Ако институциите все още не извършват оценка на емисиите на контрагентите си, свързани с техните дейности по финансиране, включително кредитни и инвестиционни дейности, те оповестяват информация относно плановете си за прилагане на методики за приблизително оценяване и оповестяване на тази информация. Институциите започват да оповестяват информацията в колони и) — к) от образеца, като първата референтна дата на оповестяване е 30 юни 2024 г.</w:t>
      </w:r>
    </w:p>
    <w:p w14:paraId="0AA0408E" w14:textId="01ED5070" w:rsidR="00C168F0" w:rsidRPr="001C19A0" w:rsidRDefault="00C168F0" w:rsidP="00BD7C6D">
      <w:pPr>
        <w:pStyle w:val="ListParagraph"/>
        <w:numPr>
          <w:ilvl w:val="0"/>
          <w:numId w:val="17"/>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включват в описанието, придружаващо образеца, обяснения относно оповестената информация и промените в сравнение с предходни периоди на оповестяване, както и всички последици, които тези експозиции могат да имат по отношение на кредитните, пазарните, оперативните, репутационните и ликвидните рискове за институциите.</w:t>
      </w:r>
    </w:p>
    <w:p w14:paraId="40D94746" w14:textId="4DF42F68" w:rsidR="00C168F0" w:rsidRPr="001C19A0" w:rsidRDefault="00C168F0" w:rsidP="00BD7C6D">
      <w:pPr>
        <w:pStyle w:val="ListParagraph"/>
        <w:numPr>
          <w:ilvl w:val="0"/>
          <w:numId w:val="17"/>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включват в редовете на образеца разпределението на брутната балансова стойност на кредитите и авансите, дълговите ценни книжа и капиталовите инструменти към нефинансови предприятия, различни от държаните за търгуване, по сектори на икономическа дейност, като използват кодовете по номенклатурата на икономическите дейности (NACE), установена в Регламент (ЕО) № 1893/2006 на Европейския парламент и на Съвета</w:t>
      </w:r>
      <w:r w:rsidRPr="001C19A0">
        <w:rPr>
          <w:rStyle w:val="FootnoteReference"/>
          <w:rFonts w:asciiTheme="majorBidi" w:hAnsiTheme="majorBidi" w:cstheme="majorBidi"/>
          <w:noProof/>
          <w:sz w:val="24"/>
        </w:rPr>
        <w:t>*</w:t>
      </w:r>
      <w:r w:rsidRPr="001C19A0">
        <w:rPr>
          <w:rFonts w:asciiTheme="majorBidi" w:hAnsiTheme="majorBidi" w:cstheme="majorBidi"/>
          <w:noProof/>
          <w:sz w:val="24"/>
          <w:vertAlign w:val="superscript"/>
        </w:rPr>
        <w:t>11</w:t>
      </w:r>
      <w:r w:rsidRPr="001C19A0">
        <w:rPr>
          <w:rFonts w:asciiTheme="majorBidi" w:hAnsiTheme="majorBidi" w:cstheme="majorBidi"/>
          <w:noProof/>
          <w:sz w:val="24"/>
        </w:rPr>
        <w:t>, за основната дейност на контрагента. Те включват също така междинните сборове, агрегиращи брутната балансова стойност на експозициите към сектори и подсектори, които в голяма степен допринасят за изменението на климата. По-специално се посочват секторите, изброени в раздели А—З и Л от приложение I към Регламент (ЕО) № 1893/2006, които включват секторите на нефта, природния газ, минното дело и транспорта като отрасли, които допринасят в голяма степен за изменението на климата, както е посочено в съображение 6 от Делегиран регламент (ЕС) 2020/1818 на Комисията</w:t>
      </w:r>
      <w:r w:rsidRPr="001C19A0">
        <w:rPr>
          <w:rFonts w:asciiTheme="majorBidi" w:hAnsiTheme="majorBidi" w:cstheme="majorBidi"/>
          <w:noProof/>
          <w:sz w:val="24"/>
          <w:vertAlign w:val="superscript"/>
        </w:rPr>
        <w:t>*12</w:t>
      </w:r>
      <w:r w:rsidRPr="001C19A0">
        <w:rPr>
          <w:rFonts w:asciiTheme="majorBidi" w:hAnsiTheme="majorBidi" w:cstheme="majorBidi"/>
          <w:noProof/>
          <w:sz w:val="24"/>
        </w:rPr>
        <w:t>; и междинен сбор от експозиции към „други сектори“, които не са посочени в това съображение.</w:t>
      </w:r>
    </w:p>
    <w:p w14:paraId="6A903167" w14:textId="4AE206CC" w:rsidR="00C168F0" w:rsidRPr="001C19A0" w:rsidRDefault="00C168F0" w:rsidP="00BD7C6D">
      <w:pPr>
        <w:pStyle w:val="ListParagraph"/>
        <w:numPr>
          <w:ilvl w:val="0"/>
          <w:numId w:val="17"/>
        </w:numPr>
        <w:tabs>
          <w:tab w:val="left" w:pos="567"/>
        </w:tabs>
        <w:spacing w:before="120" w:after="120"/>
        <w:ind w:left="0" w:firstLine="66"/>
        <w:jc w:val="both"/>
        <w:rPr>
          <w:rFonts w:asciiTheme="majorBidi" w:hAnsiTheme="majorBidi" w:cstheme="majorBidi"/>
          <w:noProof/>
          <w:sz w:val="24"/>
        </w:rPr>
      </w:pPr>
      <w:r w:rsidRPr="001C19A0">
        <w:rPr>
          <w:rFonts w:asciiTheme="majorBidi" w:hAnsiTheme="majorBidi" w:cstheme="majorBidi"/>
          <w:noProof/>
          <w:sz w:val="24"/>
        </w:rPr>
        <w:t>Разпределението по сектори от NACE на контрагента се основава на естеството на прекия контрагент.</w:t>
      </w:r>
      <w:r w:rsidRPr="001C19A0">
        <w:rPr>
          <w:rFonts w:asciiTheme="majorBidi" w:hAnsiTheme="majorBidi" w:cstheme="majorBidi"/>
          <w:noProof/>
        </w:rPr>
        <w:t xml:space="preserve"> </w:t>
      </w:r>
      <w:r w:rsidRPr="001C19A0">
        <w:rPr>
          <w:rFonts w:asciiTheme="majorBidi" w:hAnsiTheme="majorBidi" w:cstheme="majorBidi"/>
          <w:noProof/>
          <w:sz w:val="24"/>
        </w:rPr>
        <w:t>Когато контрагентът на институциите е холдингово дружество, институциите вземат предвид сектора по NACE на конкретния длъжник в рамките на холдинговото дружество (ако е различен от холдинговото дружество), който получава финансирането (т.е. конкретното дъщерно предприятие на въпросното холдингово дружество), а не сектора на холдинговото дружество, особено в случаите, когато ползващият се от финансирането длъжник е нефинансово предприятие. Аналогично, когато прекият контрагент на дадена институция (длъжникът) е дружество със специална цел, институциите оповестяват съответната информация за сектора от NACE, свързан с икономическата дейност на дружеството майка на дружеството със специална цел. Класифицирането на експозициите, поети съвместно от няколко длъжници, се извършва въз основа на характеристиките на длъжника, който е бил от по-голямо значение или е бил определящ за решението на институцията да разреши експозицията. Разпределението на съвместно поетите експозиции по кодове по NACE се определя от характеристиките на длъжника, който има по-голямо значение или е определящ. Институциите оповестяват информацията по кодовете по NACE със степента на подробност, изисквана в редовете на образеца.</w:t>
      </w:r>
    </w:p>
    <w:p w14:paraId="38C4289D" w14:textId="77777777" w:rsidR="00C168F0" w:rsidRPr="001C19A0" w:rsidRDefault="00C168F0" w:rsidP="00DA390D">
      <w:pPr>
        <w:pStyle w:val="ListParagraph"/>
        <w:spacing w:before="120" w:after="120"/>
        <w:jc w:val="both"/>
        <w:rPr>
          <w:rFonts w:asciiTheme="majorBidi" w:hAnsiTheme="majorBidi" w:cstheme="majorBidi"/>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1C19A0"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1C19A0" w:rsidRDefault="00C168F0"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1C19A0" w:rsidRDefault="00C168F0"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Указания</w:t>
            </w:r>
          </w:p>
        </w:tc>
      </w:tr>
      <w:tr w:rsidR="00C168F0" w:rsidRPr="001C19A0"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1C19A0" w:rsidRDefault="00C168F0"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1C19A0" w:rsidRDefault="00C168F0"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Обща брутна балансова стойност</w:t>
            </w:r>
          </w:p>
          <w:p w14:paraId="7C34BA88" w14:textId="10F1BE64" w:rsidR="00C168F0" w:rsidRPr="001C19A0" w:rsidRDefault="00750A24" w:rsidP="004B0861">
            <w:pPr>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посочена в част 1 от приложение V към Регламент за изпълнение (ЕС) 2021/451, на тези експозиции към нефинансови предприятия, включително кредити и аванси, дългови ценни книжа и капиталови инструменти,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или активите, държани за продажба.</w:t>
            </w:r>
          </w:p>
        </w:tc>
      </w:tr>
      <w:tr w:rsidR="00C168F0" w:rsidRPr="001C19A0"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1C19A0" w:rsidRDefault="005E30B4"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б</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1C19A0" w:rsidRDefault="00EF08EC" w:rsidP="00EF08EC">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експозиции към дружества, изключени от референтните показатели на ЕС, съответстващи на Парижкото споразумение</w:t>
            </w:r>
          </w:p>
          <w:p w14:paraId="1DCBAA4E" w14:textId="56D24AFD" w:rsidR="00EF08EC" w:rsidRPr="001C19A0" w:rsidRDefault="00750A24" w:rsidP="005720C9">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на тези експозиции към контрагенти, които са изключени от референтните показатели на ЕС, съответстващи на Парижкото споразумение, както е посочено в член 12, параграф 1, букви г) — ж) и член 12, параграф 2 от Делегиран регламент (ЕС) 2020/1818.</w:t>
            </w:r>
          </w:p>
        </w:tc>
      </w:tr>
      <w:tr w:rsidR="00C97892" w:rsidRPr="001C19A0"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1C19A0" w:rsidRDefault="00EF08EC"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1C19A0" w:rsidRDefault="00EF08EC" w:rsidP="00A4516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екологично устойчиви</w:t>
            </w:r>
          </w:p>
          <w:p w14:paraId="60C85EC8" w14:textId="28C75053" w:rsidR="00A45166" w:rsidRPr="001C19A0" w:rsidRDefault="00750A24" w:rsidP="00720CB4">
            <w:pPr>
              <w:spacing w:before="120" w:after="120"/>
              <w:jc w:val="both"/>
              <w:rPr>
                <w:rFonts w:asciiTheme="majorBidi" w:hAnsiTheme="majorBidi" w:cstheme="majorBidi"/>
                <w:bCs/>
                <w:noProof/>
              </w:rPr>
            </w:pPr>
            <w:r w:rsidRPr="001C19A0">
              <w:rPr>
                <w:rFonts w:asciiTheme="majorBidi" w:hAnsiTheme="majorBidi" w:cstheme="majorBidi"/>
                <w:noProof/>
                <w:sz w:val="24"/>
              </w:rPr>
              <w:t>Институциите оповестяват експозициите, които се определят като екологично устойчиви, тъй като представляват дейности по финансиране, допринасящи или спомагащи за постигането на екологичната цел за смекчаване на изменението на климата в съответствие с членове 10 и 16 от Регламент (ЕС) 2020/852 съгласно оповестеното в образец 7 от приложение XXXIX към настоящия регламент.</w:t>
            </w:r>
          </w:p>
          <w:p w14:paraId="23994142" w14:textId="5131CDD3" w:rsidR="0089627B" w:rsidRPr="001C19A0" w:rsidRDefault="00A45166" w:rsidP="008F66F5">
            <w:pPr>
              <w:pStyle w:val="Fait"/>
              <w:spacing w:after="120"/>
              <w:rPr>
                <w:rFonts w:asciiTheme="majorBidi" w:hAnsiTheme="majorBidi" w:cstheme="majorBidi"/>
                <w:noProof/>
              </w:rPr>
            </w:pPr>
            <w:r w:rsidRPr="001C19A0">
              <w:rPr>
                <w:rFonts w:asciiTheme="majorBidi" w:hAnsiTheme="majorBidi" w:cstheme="majorBidi"/>
                <w:noProof/>
              </w:rPr>
              <w:t xml:space="preserve">Институциите започват да оповестяват тази информация през 2024 г., като първата референтна дата на оповестяване е 31 декември 2023 г., за експозициите, включени в числителя на отношението на екосъобразните активи (ОЕА).  </w:t>
            </w:r>
          </w:p>
          <w:p w14:paraId="01E906E3" w14:textId="7EB1E559" w:rsidR="00C97892" w:rsidRPr="001C19A0" w:rsidRDefault="008F66F5" w:rsidP="002A2C5B">
            <w:pPr>
              <w:pStyle w:val="Fait"/>
              <w:spacing w:after="120"/>
              <w:rPr>
                <w:rFonts w:asciiTheme="majorBidi" w:hAnsiTheme="majorBidi" w:cstheme="majorBidi"/>
                <w:noProof/>
              </w:rPr>
            </w:pPr>
            <w:r w:rsidRPr="001C19A0">
              <w:rPr>
                <w:rFonts w:asciiTheme="majorBidi" w:hAnsiTheme="majorBidi" w:cstheme="majorBidi"/>
                <w:noProof/>
              </w:rPr>
              <w:t>Институциите могат да започнат да оповестяват тази информация през 2025 г., като първата референтна дата на оповестяване е 31 декември 2024 г., за експозициите, включени в числителя на отношението на съобразения с таксономията банков портфейл, но не и в числителя на ОЕА.</w:t>
            </w:r>
          </w:p>
        </w:tc>
      </w:tr>
      <w:tr w:rsidR="00EF08EC" w:rsidRPr="001C19A0"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1C19A0" w:rsidRDefault="00EF08EC"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г</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1C19A0" w:rsidRDefault="00EF08EC" w:rsidP="00EF08EC">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от фаза 2</w:t>
            </w:r>
          </w:p>
          <w:p w14:paraId="1EF6469A" w14:textId="09B89566" w:rsidR="00EF08EC" w:rsidRPr="001C19A0" w:rsidRDefault="00EF08EC" w:rsidP="00EF08E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прилагащи Международните стандарти за финансово отчитане (МСФО), оповестяват брутната балансова стойност на инструментите от фаза 2, както е посочено в МСФО 9. </w:t>
            </w:r>
          </w:p>
          <w:p w14:paraId="68FF50EB" w14:textId="09482C85" w:rsidR="00EF08EC" w:rsidRPr="001C19A0" w:rsidRDefault="00EF08EC" w:rsidP="00D653B5">
            <w:pPr>
              <w:jc w:val="both"/>
              <w:rPr>
                <w:rFonts w:asciiTheme="majorBidi" w:hAnsiTheme="majorBidi" w:cstheme="majorBidi"/>
                <w:noProof/>
                <w:sz w:val="24"/>
              </w:rPr>
            </w:pPr>
            <w:r w:rsidRPr="001C19A0">
              <w:rPr>
                <w:rFonts w:asciiTheme="majorBidi" w:hAnsiTheme="majorBidi" w:cstheme="majorBidi"/>
                <w:noProof/>
                <w:sz w:val="24"/>
              </w:rPr>
              <w:t>Данните от колоните „В т.ч. фаза 2“ не се оповестяват от институциите, които прилагат национални общоприети счетоводни принципи, основани на Директива 86/635/ЕИО на Съвета</w:t>
            </w:r>
            <w:r w:rsidRPr="001C19A0">
              <w:rPr>
                <w:rFonts w:asciiTheme="majorBidi" w:hAnsiTheme="majorBidi" w:cstheme="majorBidi"/>
                <w:noProof/>
                <w:sz w:val="24"/>
                <w:vertAlign w:val="superscript"/>
              </w:rPr>
              <w:t>*13</w:t>
            </w:r>
            <w:r w:rsidRPr="001C19A0">
              <w:rPr>
                <w:rFonts w:asciiTheme="majorBidi" w:hAnsiTheme="majorBidi" w:cstheme="majorBidi"/>
                <w:noProof/>
                <w:sz w:val="24"/>
              </w:rPr>
              <w:t>.</w:t>
            </w:r>
          </w:p>
        </w:tc>
      </w:tr>
      <w:tr w:rsidR="00921167" w:rsidRPr="001C19A0"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1C19A0" w:rsidRDefault="002B014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д</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1C19A0" w:rsidRDefault="00921167" w:rsidP="00DA390D">
            <w:pPr>
              <w:tabs>
                <w:tab w:val="left" w:pos="4104"/>
              </w:tabs>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необслужвани експозиции</w:t>
            </w:r>
          </w:p>
          <w:p w14:paraId="0B42204B" w14:textId="34BBDECA" w:rsidR="00921167" w:rsidRPr="001C19A0" w:rsidRDefault="00750A24" w:rsidP="005720C9">
            <w:pPr>
              <w:pStyle w:val="Fait"/>
              <w:spacing w:before="0" w:after="120"/>
              <w:rPr>
                <w:rFonts w:asciiTheme="majorBidi" w:hAnsiTheme="majorBidi" w:cstheme="majorBidi"/>
                <w:b/>
                <w:noProof/>
                <w:u w:val="single"/>
              </w:rPr>
            </w:pPr>
            <w:r w:rsidRPr="001C19A0">
              <w:rPr>
                <w:rFonts w:asciiTheme="majorBidi" w:hAnsiTheme="majorBidi" w:cstheme="majorBidi"/>
                <w:noProof/>
              </w:rPr>
              <w:t xml:space="preserve">Институциите оповестяват необслужваните експозиции съгласно определението в член 47а, параграф 3 от Регламент (ЕС) № 575/2013. </w:t>
            </w:r>
          </w:p>
        </w:tc>
      </w:tr>
      <w:tr w:rsidR="002B014E" w:rsidRPr="001C19A0"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1C19A0" w:rsidRDefault="002B014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1C19A0" w:rsidRDefault="0063718E" w:rsidP="0063718E">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Натрупана обезценка, натрупани отрицателни промени в справедливата стойност поради кредитен риск и провизии</w:t>
            </w:r>
          </w:p>
          <w:p w14:paraId="5F580424" w14:textId="08EE2A6E" w:rsidR="002B014E" w:rsidRPr="001C19A0" w:rsidRDefault="00750A24" w:rsidP="005720C9">
            <w:pPr>
              <w:tabs>
                <w:tab w:val="left" w:pos="4104"/>
              </w:tabs>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сумите, посочени в част 2, точки 11, 69, 70, 71, 106 и 110 от приложение V към Регламент за изпълнение (ЕС) 2021/451.</w:t>
            </w:r>
          </w:p>
        </w:tc>
      </w:tr>
      <w:tr w:rsidR="00C168F0" w:rsidRPr="001C19A0"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1C19A0" w:rsidRDefault="002B014E"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ж</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1C19A0" w:rsidRDefault="002B014E" w:rsidP="002B014E">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от фаза 2</w:t>
            </w:r>
          </w:p>
          <w:p w14:paraId="12615E91" w14:textId="001D08DA" w:rsidR="00702661" w:rsidRPr="001C19A0" w:rsidRDefault="006A6F6D" w:rsidP="002B014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размера на натрупаната обезценка на експозициите от фаза 2.</w:t>
            </w:r>
          </w:p>
          <w:p w14:paraId="3C7589F6" w14:textId="32018069" w:rsidR="00702661" w:rsidRPr="001C19A0" w:rsidRDefault="002B014E" w:rsidP="002B014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които прилагат МСФО, оповестяват брутната балансова стойност на инструментите от фаза 2, както е посочено в МСФО 9.</w:t>
            </w:r>
          </w:p>
          <w:p w14:paraId="043A7F6F" w14:textId="125D2AD7" w:rsidR="00C168F0" w:rsidRPr="001C19A0" w:rsidRDefault="002B014E" w:rsidP="00CA6FC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Данните от колоните „В т.ч.: фаза 2“ не се оповестяват от институциите, които прилагат национални общоприети счетоводни принципи, основани на Директива 86/635/ЕИО.</w:t>
            </w:r>
          </w:p>
        </w:tc>
      </w:tr>
      <w:tr w:rsidR="002B014E" w:rsidRPr="001C19A0"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1C19A0" w:rsidRDefault="002B014E"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1C19A0" w:rsidRDefault="002B014E"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необслужвани експозиции</w:t>
            </w:r>
          </w:p>
          <w:p w14:paraId="523135D5" w14:textId="29BD81B0" w:rsidR="002B014E" w:rsidRPr="001C19A0" w:rsidRDefault="00750A24" w:rsidP="005720C9">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Институциите оповестяват необслужваните експозиции, както е посочено в член 47а, параграф 3 от Регламент (ЕС) № 575/2013.</w:t>
            </w:r>
          </w:p>
        </w:tc>
      </w:tr>
      <w:tr w:rsidR="00C168F0" w:rsidRPr="001C19A0"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1C19A0" w:rsidRDefault="00AC03F6"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1C19A0" w:rsidRDefault="000F453E"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Финансирани емисии на парникови газове (емисии на контрагента от обхват 1, обхват 2 и обхват 3) (в тонове еквивалент на CO2)</w:t>
            </w:r>
          </w:p>
          <w:p w14:paraId="20A73311" w14:textId="176DCC65" w:rsidR="00E9693D" w:rsidRPr="001C19A0" w:rsidRDefault="00C168F0"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Когато такава информация е налична, институциите оповестяват оценките на обхвата на своите емисии на парникови газове от обхват 3 в тонове CO2 (TCO2) като част от колона i). Оповестяването обхваща всички сектори и подсектори, включени в редове 2—52 от образеца, които допринасят в голяма степен за изменението на климата, включително секторите на нефта, природния газ, минното дело и транспорта, както е посочено в съображение 6 от Делегиран регламент (ЕС) 2020/1818.  </w:t>
            </w:r>
          </w:p>
          <w:p w14:paraId="495ECB26" w14:textId="55455B27" w:rsidR="00E9693D" w:rsidRPr="001C19A0" w:rsidRDefault="008C59EB" w:rsidP="00F12A7B">
            <w:pPr>
              <w:spacing w:before="120" w:after="120"/>
              <w:jc w:val="both"/>
              <w:rPr>
                <w:rFonts w:asciiTheme="majorBidi" w:hAnsiTheme="majorBidi" w:cstheme="majorBidi"/>
                <w:bCs/>
                <w:noProof/>
                <w:sz w:val="24"/>
              </w:rPr>
            </w:pPr>
            <w:r w:rsidRPr="001C19A0">
              <w:rPr>
                <w:rFonts w:asciiTheme="majorBidi" w:hAnsiTheme="majorBidi" w:cstheme="majorBidi"/>
                <w:noProof/>
                <w:sz w:val="24"/>
              </w:rPr>
              <w:t>Институциите основават оценката на емисиите от обхват 3 на информацията за емисиите, събрана от техните контрагенти, и на информацията за средния за сектора интензитет на емисиите. Методите за изчисляване на въглеродните емисии на дружествата включват Глобалния стандарт за отчитане и докладване на емисиите на парникови газове във финансовия сектор, разработен от Партньорството за финансови институции, отчитащи въглеродни емисии</w:t>
            </w:r>
            <w:r w:rsidRPr="001C19A0">
              <w:rPr>
                <w:rFonts w:asciiTheme="majorBidi" w:hAnsiTheme="majorBidi" w:cstheme="majorBidi"/>
                <w:noProof/>
                <w:sz w:val="24"/>
                <w:vertAlign w:val="superscript"/>
              </w:rPr>
              <w:t>*14</w:t>
            </w:r>
            <w:r w:rsidRPr="001C19A0">
              <w:rPr>
                <w:rFonts w:asciiTheme="majorBidi" w:hAnsiTheme="majorBidi" w:cstheme="majorBidi"/>
                <w:noProof/>
                <w:sz w:val="24"/>
              </w:rPr>
              <w:t xml:space="preserve"> (чиято дейност е от особено значение за TCFD), или Проекта за оповестяване на информация относно въглеродните емисии</w:t>
            </w:r>
            <w:r w:rsidRPr="001C19A0">
              <w:rPr>
                <w:rFonts w:asciiTheme="majorBidi" w:hAnsiTheme="majorBidi" w:cstheme="majorBidi"/>
                <w:noProof/>
                <w:sz w:val="24"/>
                <w:vertAlign w:val="superscript"/>
              </w:rPr>
              <w:t>*15</w:t>
            </w:r>
            <w:r w:rsidRPr="001C19A0">
              <w:rPr>
                <w:rFonts w:asciiTheme="majorBidi" w:hAnsiTheme="majorBidi" w:cstheme="majorBidi"/>
                <w:noProof/>
                <w:sz w:val="24"/>
              </w:rPr>
              <w:t xml:space="preserve">. </w:t>
            </w:r>
          </w:p>
          <w:p w14:paraId="54A43E94" w14:textId="7977B460" w:rsidR="00E9693D" w:rsidRPr="001C19A0" w:rsidRDefault="008C59EB" w:rsidP="008D522D">
            <w:pPr>
              <w:spacing w:before="120" w:after="120"/>
              <w:jc w:val="both"/>
              <w:rPr>
                <w:rFonts w:asciiTheme="majorBidi" w:eastAsia="Times New Roman" w:hAnsiTheme="majorBidi" w:cstheme="majorBidi"/>
                <w:noProof/>
                <w:sz w:val="24"/>
              </w:rPr>
            </w:pPr>
            <w:bookmarkStart w:id="12" w:name="_Hlk87344561"/>
            <w:r w:rsidRPr="001C19A0">
              <w:rPr>
                <w:rFonts w:asciiTheme="majorBidi" w:hAnsiTheme="majorBidi" w:cstheme="majorBidi"/>
                <w:noProof/>
                <w:sz w:val="24"/>
              </w:rPr>
              <w:t>Институциите оценяват пропорционално емисиите от обхват 3 по сектори, включително като вземат под внимание своите експозиции (кредити и аванси, дългови ценни книжа и дялови участия) към контрагента спрямо общия размер на пасивите (счетоводни пасиви и собствен капитал на акционерите) на контрагента</w:t>
            </w:r>
            <w:bookmarkEnd w:id="12"/>
            <w:r w:rsidRPr="001C19A0">
              <w:rPr>
                <w:rFonts w:asciiTheme="majorBidi" w:hAnsiTheme="majorBidi" w:cstheme="majorBidi"/>
                <w:noProof/>
              </w:rPr>
              <w:t>.</w:t>
            </w:r>
          </w:p>
          <w:p w14:paraId="3C01A26F" w14:textId="7118B9B2" w:rsidR="0041578E" w:rsidRPr="001C19A0" w:rsidRDefault="00E9693D"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 описанието, придружаващо образеца, институциите предоставят подробни обяснения относно използваните източници на данни и методиката, която са приложили за оценката на своите емисии на парникови газове от обхват 3. По-специално институциите следва да посочат дали оповестяват някое от следните:</w:t>
            </w:r>
          </w:p>
          <w:p w14:paraId="25C16108" w14:textId="5C98C77D" w:rsidR="0041578E" w:rsidRPr="001C19A0" w:rsidRDefault="00B860FE" w:rsidP="006871C4">
            <w:pPr>
              <w:spacing w:before="120" w:after="120"/>
              <w:ind w:left="539" w:hanging="539"/>
              <w:jc w:val="both"/>
              <w:rPr>
                <w:rFonts w:asciiTheme="majorBidi" w:eastAsia="Times New Roman" w:hAnsiTheme="majorBidi" w:cstheme="majorBidi"/>
                <w:noProof/>
                <w:sz w:val="24"/>
              </w:rPr>
            </w:pPr>
            <w:r w:rsidRPr="001C19A0">
              <w:rPr>
                <w:rFonts w:asciiTheme="majorBidi" w:hAnsiTheme="majorBidi" w:cstheme="majorBidi"/>
                <w:noProof/>
                <w:sz w:val="24"/>
              </w:rPr>
              <w:t>а)</w:t>
            </w:r>
            <w:r w:rsidRPr="001C19A0">
              <w:rPr>
                <w:rFonts w:asciiTheme="majorBidi" w:hAnsiTheme="majorBidi" w:cstheme="majorBidi"/>
                <w:noProof/>
              </w:rPr>
              <w:tab/>
            </w:r>
            <w:r w:rsidRPr="001C19A0">
              <w:rPr>
                <w:rFonts w:asciiTheme="majorBidi" w:hAnsiTheme="majorBidi" w:cstheme="majorBidi"/>
                <w:noProof/>
                <w:sz w:val="24"/>
              </w:rPr>
              <w:t xml:space="preserve">отчитани емисии (данните за емисиите се събират пряко от кредитополучателя или от предприятието — обект на инвестиции);  </w:t>
            </w:r>
          </w:p>
          <w:p w14:paraId="06B4282E" w14:textId="0CF1379B" w:rsidR="0041578E" w:rsidRPr="001C19A0" w:rsidRDefault="00B860FE" w:rsidP="006871C4">
            <w:pPr>
              <w:spacing w:before="120" w:after="120"/>
              <w:ind w:left="539" w:hanging="539"/>
              <w:jc w:val="both"/>
              <w:rPr>
                <w:rFonts w:asciiTheme="majorBidi" w:eastAsia="Times New Roman" w:hAnsiTheme="majorBidi" w:cstheme="majorBidi"/>
                <w:noProof/>
                <w:sz w:val="24"/>
              </w:rPr>
            </w:pPr>
            <w:r w:rsidRPr="001C19A0">
              <w:rPr>
                <w:rFonts w:asciiTheme="majorBidi" w:hAnsiTheme="majorBidi" w:cstheme="majorBidi"/>
                <w:noProof/>
                <w:sz w:val="24"/>
              </w:rPr>
              <w:t>б)</w:t>
            </w:r>
            <w:r w:rsidRPr="001C19A0">
              <w:rPr>
                <w:rFonts w:asciiTheme="majorBidi" w:hAnsiTheme="majorBidi" w:cstheme="majorBidi"/>
                <w:noProof/>
              </w:rPr>
              <w:tab/>
            </w:r>
            <w:r w:rsidRPr="001C19A0">
              <w:rPr>
                <w:rFonts w:asciiTheme="majorBidi" w:hAnsiTheme="majorBidi" w:cstheme="majorBidi"/>
                <w:noProof/>
                <w:sz w:val="24"/>
              </w:rPr>
              <w:t xml:space="preserve">емисии въз основа на физическа дейност (емисиите се оценяват приблизително от отчитащата се финансова институция въз основа на данни за първичната физическа активност, събрани от кредитополучателя или от предприятието — обект на инвестиции);  </w:t>
            </w:r>
          </w:p>
          <w:p w14:paraId="48762FFF" w14:textId="30E7B4FB" w:rsidR="00C168F0" w:rsidRPr="001C19A0" w:rsidRDefault="00B860FE" w:rsidP="00B76863">
            <w:pPr>
              <w:spacing w:before="120" w:after="120"/>
              <w:ind w:left="539" w:hanging="539"/>
              <w:jc w:val="both"/>
              <w:rPr>
                <w:rFonts w:asciiTheme="majorBidi" w:eastAsia="Times New Roman" w:hAnsiTheme="majorBidi" w:cstheme="majorBidi"/>
                <w:noProof/>
                <w:sz w:val="24"/>
              </w:rPr>
            </w:pPr>
            <w:r w:rsidRPr="001C19A0">
              <w:rPr>
                <w:rFonts w:asciiTheme="majorBidi" w:hAnsiTheme="majorBidi" w:cstheme="majorBidi"/>
                <w:noProof/>
                <w:sz w:val="24"/>
              </w:rPr>
              <w:t>в)</w:t>
            </w:r>
            <w:r w:rsidRPr="001C19A0">
              <w:rPr>
                <w:rFonts w:asciiTheme="majorBidi" w:hAnsiTheme="majorBidi" w:cstheme="majorBidi"/>
                <w:noProof/>
              </w:rPr>
              <w:tab/>
            </w:r>
            <w:r w:rsidRPr="001C19A0">
              <w:rPr>
                <w:rFonts w:asciiTheme="majorBidi" w:hAnsiTheme="majorBidi" w:cstheme="majorBidi"/>
                <w:noProof/>
                <w:sz w:val="24"/>
              </w:rPr>
              <w:t>емисии, основани на икономическата дейност (емисиите се оценяват приблизително от отчитащата се финансова институция въз основа на данни за икономическата дейност, събрани от кредитополучателя или от предприятието — обект на инвестиции).</w:t>
            </w:r>
          </w:p>
          <w:p w14:paraId="1A1A566D" w14:textId="7437ACFC" w:rsidR="00C168F0" w:rsidRPr="001C19A0" w:rsidRDefault="00EB19E7" w:rsidP="002A2C5B">
            <w:pPr>
              <w:spacing w:before="120" w:after="120"/>
              <w:jc w:val="both"/>
              <w:rPr>
                <w:rFonts w:asciiTheme="majorBidi" w:hAnsiTheme="majorBidi" w:cstheme="majorBidi"/>
                <w:noProof/>
                <w:sz w:val="24"/>
              </w:rPr>
            </w:pPr>
            <w:r w:rsidRPr="001C19A0">
              <w:rPr>
                <w:rFonts w:asciiTheme="majorBidi" w:hAnsiTheme="majorBidi" w:cstheme="majorBidi"/>
                <w:noProof/>
                <w:sz w:val="24"/>
              </w:rPr>
              <w:t>Ако институциите все още не извършват приблизителна оценка на емисиите на контрагентите си, свързани с техните дейности по финансиране, включително кредитни и инвестиционни дейности, те оповестяват информация относно плановете си за прилагане на методи за приблизителна оценка на тази информация. Институциите оповестяват информацията в колони и), й) и к) от образеца, като първата референтна дата на оповестяване е 30 юни 2024 г.</w:t>
            </w:r>
          </w:p>
          <w:p w14:paraId="791C27D2" w14:textId="7F725C46" w:rsidR="00107E03" w:rsidRPr="001C19A0" w:rsidRDefault="00107E03" w:rsidP="002A2C5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могат да решат да започнат да оповестяват тази информация по-рано, т.е. с първа референтна дата на оповестяване 31 декември 2022 г.</w:t>
            </w:r>
          </w:p>
        </w:tc>
      </w:tr>
      <w:tr w:rsidR="00274FF7" w:rsidRPr="001C19A0"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1C19A0" w:rsidRDefault="00274FF7"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й</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1C19A0" w:rsidRDefault="001B39BA"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финансирани емисии от обхват 3</w:t>
            </w:r>
          </w:p>
          <w:p w14:paraId="6F4426B3" w14:textId="719DFE0B" w:rsidR="006D22C8" w:rsidRPr="001C19A0" w:rsidRDefault="001B39BA"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емисиите от обхват 3 на контрагентите си във връзка с кредитните и инвестиционните си дейности. Когато институциите все още не извършват приблизителна оценка на своите емисии от обхват 3, те оставят колона й) празна и в описанието, придружаващо образеца, оповестяват плановете си за прилагане на методи за приблизителна оценка и оповестяване на тази информация.</w:t>
            </w:r>
          </w:p>
          <w:p w14:paraId="248D8D87" w14:textId="4AE15654" w:rsidR="006D22C8" w:rsidRPr="001C19A0" w:rsidRDefault="006871C4" w:rsidP="006D22C8">
            <w:pPr>
              <w:pStyle w:val="Tabledata"/>
              <w:rPr>
                <w:rFonts w:asciiTheme="majorBidi" w:eastAsiaTheme="minorEastAsia" w:hAnsiTheme="majorBidi" w:cstheme="majorBidi"/>
                <w:bCs w:val="0"/>
                <w:noProof/>
                <w:color w:val="auto"/>
                <w:sz w:val="24"/>
                <w:szCs w:val="24"/>
              </w:rPr>
            </w:pPr>
            <w:r w:rsidRPr="001C19A0">
              <w:rPr>
                <w:rFonts w:asciiTheme="majorBidi" w:hAnsiTheme="majorBidi" w:cstheme="majorBidi"/>
                <w:noProof/>
                <w:color w:val="auto"/>
                <w:sz w:val="24"/>
              </w:rPr>
              <w:t>Институциите оповестяват своите емисии от обхват 3 въз основа на принципа на полагане на максимални усилия, като обхващат най-значимите сектори в съответствие с подхода на Партньорството за финансови институции, отчитащи въглеродни емисии, и поетапния подход за емисиите от обхват 3, включен в член 5 от Делегиран регламент (ЕС) 2020/1818.</w:t>
            </w:r>
          </w:p>
          <w:p w14:paraId="657B281E" w14:textId="2F45B8B2" w:rsidR="006D22C8" w:rsidRPr="001C19A0" w:rsidRDefault="00960690" w:rsidP="006D22C8">
            <w:pPr>
              <w:pStyle w:val="Tabledata"/>
              <w:rPr>
                <w:rFonts w:asciiTheme="majorBidi" w:eastAsiaTheme="minorEastAsia" w:hAnsiTheme="majorBidi" w:cstheme="majorBidi"/>
                <w:bCs w:val="0"/>
                <w:noProof/>
                <w:color w:val="auto"/>
                <w:sz w:val="24"/>
                <w:szCs w:val="24"/>
              </w:rPr>
            </w:pPr>
            <w:r w:rsidRPr="001C19A0">
              <w:rPr>
                <w:rFonts w:asciiTheme="majorBidi" w:hAnsiTheme="majorBidi" w:cstheme="majorBidi"/>
                <w:noProof/>
                <w:sz w:val="24"/>
              </w:rPr>
              <w:t>Институциите оповестяват информация за емисиите от обхват 3 на контрагента за всички сектори, включени в образеца с първа референтна дата на оповестяване 30 юни 2024 г.</w:t>
            </w:r>
          </w:p>
          <w:p w14:paraId="40BEE9F4" w14:textId="37BC8169" w:rsidR="006D22C8" w:rsidRPr="001C19A0" w:rsidRDefault="006D22C8" w:rsidP="006D22C8">
            <w:pPr>
              <w:pStyle w:val="Tabledata"/>
              <w:rPr>
                <w:rFonts w:asciiTheme="majorBidi" w:eastAsiaTheme="minorEastAsia" w:hAnsiTheme="majorBidi" w:cstheme="majorBidi"/>
                <w:bCs w:val="0"/>
                <w:noProof/>
                <w:color w:val="auto"/>
                <w:sz w:val="24"/>
                <w:szCs w:val="24"/>
              </w:rPr>
            </w:pPr>
            <w:r w:rsidRPr="001C19A0">
              <w:rPr>
                <w:rFonts w:asciiTheme="majorBidi" w:hAnsiTheme="majorBidi" w:cstheme="majorBidi"/>
                <w:noProof/>
                <w:color w:val="auto"/>
                <w:sz w:val="24"/>
              </w:rPr>
              <w:t>За секторите, в които са налице предизвикателства по отношение на данните и методологията, институциите следват Протокола за парниковите газове и неговите 15 етапа, както нагоре, така и надолу по веригата.</w:t>
            </w:r>
          </w:p>
          <w:p w14:paraId="7722146C" w14:textId="5ED74BE4" w:rsidR="006D22C8" w:rsidRPr="001C19A0" w:rsidRDefault="009B7417" w:rsidP="006D22C8">
            <w:pPr>
              <w:spacing w:before="120" w:after="120"/>
              <w:jc w:val="both"/>
              <w:rPr>
                <w:rFonts w:asciiTheme="majorBidi" w:hAnsiTheme="majorBidi" w:cstheme="majorBidi"/>
                <w:noProof/>
                <w:sz w:val="24"/>
              </w:rPr>
            </w:pPr>
            <w:r w:rsidRPr="001C19A0">
              <w:rPr>
                <w:rFonts w:asciiTheme="majorBidi" w:hAnsiTheme="majorBidi" w:cstheme="majorBidi"/>
                <w:noProof/>
                <w:sz w:val="24"/>
              </w:rPr>
              <w:t>В съответствие с насоките на TCFD относно показателите и целите институциите трябва да бъдат прозрачни по отношение на предизвикателствата при събирането на този вид информация и да избягват двойното отчитане, доколкото е възможно.</w:t>
            </w:r>
          </w:p>
          <w:p w14:paraId="09A41DF6" w14:textId="67BA73B7" w:rsidR="00914A93" w:rsidRPr="001C19A0" w:rsidRDefault="004C61E0" w:rsidP="00914A93">
            <w:pPr>
              <w:spacing w:before="120" w:after="120"/>
              <w:jc w:val="both"/>
              <w:rPr>
                <w:rFonts w:asciiTheme="majorBidi" w:hAnsiTheme="majorBidi" w:cstheme="majorBidi"/>
                <w:noProof/>
                <w:sz w:val="24"/>
              </w:rPr>
            </w:pPr>
            <w:r w:rsidRPr="001C19A0">
              <w:rPr>
                <w:rFonts w:asciiTheme="majorBidi" w:hAnsiTheme="majorBidi" w:cstheme="majorBidi"/>
                <w:noProof/>
                <w:sz w:val="24"/>
              </w:rPr>
              <w:t xml:space="preserve">Институциите започват да оповестяват информацията в колона й) от образеца, като първата референтна дата на оповестяване е 30 юни 2024 г. </w:t>
            </w:r>
          </w:p>
          <w:p w14:paraId="71766AD1" w14:textId="3CD2A77F" w:rsidR="001B39BA" w:rsidRPr="001C19A0" w:rsidRDefault="00914A93" w:rsidP="002A2C5B">
            <w:pPr>
              <w:spacing w:before="120" w:after="120"/>
              <w:jc w:val="both"/>
              <w:rPr>
                <w:rFonts w:asciiTheme="majorBidi" w:eastAsia="Times New Roman" w:hAnsiTheme="majorBidi" w:cstheme="majorBidi"/>
                <w:bCs/>
                <w:noProof/>
                <w:sz w:val="24"/>
                <w:u w:val="single"/>
              </w:rPr>
            </w:pPr>
            <w:r w:rsidRPr="001C19A0">
              <w:rPr>
                <w:rFonts w:asciiTheme="majorBidi" w:hAnsiTheme="majorBidi" w:cstheme="majorBidi"/>
                <w:noProof/>
                <w:sz w:val="24"/>
              </w:rPr>
              <w:t>Институциите могат да решат да започнат да оповестяват тази информация по-рано, т.е. с първа референтна дата на оповестяване 31 декември 2022 г.</w:t>
            </w:r>
          </w:p>
        </w:tc>
      </w:tr>
      <w:tr w:rsidR="00274FF7" w:rsidRPr="001C19A0"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1C19A0" w:rsidRDefault="00274FF7"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1C19A0" w:rsidRDefault="00274FF7" w:rsidP="00DA390D">
            <w:pPr>
              <w:spacing w:before="120" w:after="120"/>
              <w:jc w:val="both"/>
              <w:rPr>
                <w:rFonts w:asciiTheme="majorBidi" w:eastAsia="Times New Roman" w:hAnsiTheme="majorBidi" w:cstheme="majorBidi"/>
                <w:b/>
                <w:bCs/>
                <w:noProof/>
                <w:sz w:val="24"/>
              </w:rPr>
            </w:pPr>
            <w:r w:rsidRPr="001C19A0">
              <w:rPr>
                <w:rFonts w:asciiTheme="majorBidi" w:hAnsiTheme="majorBidi" w:cstheme="majorBidi"/>
                <w:b/>
                <w:noProof/>
                <w:sz w:val="24"/>
              </w:rPr>
              <w:t xml:space="preserve">Емисии на парникови газове (колона и): процент на брутната балансова стойност от портфейла, произтичаща от отчитане от страна на конкретно дружество </w:t>
            </w:r>
          </w:p>
          <w:p w14:paraId="04804798" w14:textId="78708C60" w:rsidR="00274FF7" w:rsidRPr="001C19A0" w:rsidRDefault="00274FF7" w:rsidP="005720C9">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посочват процента от портфейла (брутната балансова стойност на експозициите), за който са били в състояние да оценят приблизително емисиите от обхват 1, 2 и 3 на своите контрагенти, свързани с кредитните и инвестиционните дейности на институциите, въз основа на информацията, оповестена от техните контрагенти или съобщена на институцията на двустранна основа.</w:t>
            </w:r>
          </w:p>
        </w:tc>
      </w:tr>
      <w:tr w:rsidR="009A2201" w:rsidRPr="001C19A0"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1C19A0" w:rsidRDefault="009A2201"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л — п</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1C19A0" w:rsidRDefault="009A2201" w:rsidP="009A2201">
            <w:pPr>
              <w:spacing w:before="120" w:after="120"/>
              <w:jc w:val="both"/>
              <w:rPr>
                <w:rFonts w:asciiTheme="majorBidi" w:eastAsia="Times New Roman" w:hAnsiTheme="majorBidi" w:cstheme="majorBidi"/>
                <w:b/>
                <w:bCs/>
                <w:noProof/>
                <w:sz w:val="24"/>
              </w:rPr>
            </w:pPr>
            <w:r w:rsidRPr="001C19A0">
              <w:rPr>
                <w:rFonts w:asciiTheme="majorBidi" w:hAnsiTheme="majorBidi" w:cstheme="majorBidi"/>
                <w:b/>
                <w:noProof/>
                <w:sz w:val="24"/>
              </w:rPr>
              <w:t>&lt;= 5 години; &gt; 5 години &lt; = 10 години; &gt; 10 години &lt; = 20 години; &gt; 20 години; Среднопретеглен срок до падежа</w:t>
            </w:r>
          </w:p>
          <w:p w14:paraId="26E07E97" w14:textId="10C62588" w:rsidR="009A2201" w:rsidRPr="001C19A0" w:rsidRDefault="009A2201" w:rsidP="00720CB4">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отнасят експозициите към съответната група в зависимост от остатъчния срок до падежа на финансовия инструмент, като вземат предвид следното:</w:t>
            </w:r>
          </w:p>
          <w:p w14:paraId="2A4F26DB" w14:textId="5D40BCB8" w:rsidR="009E7740" w:rsidRPr="001C19A0" w:rsidRDefault="009E7740" w:rsidP="00B76863">
            <w:pPr>
              <w:jc w:val="both"/>
              <w:rPr>
                <w:rFonts w:asciiTheme="majorBidi" w:hAnsiTheme="majorBidi" w:cstheme="majorBidi"/>
                <w:noProof/>
                <w:sz w:val="24"/>
              </w:rPr>
            </w:pPr>
            <w:r w:rsidRPr="001C19A0">
              <w:rPr>
                <w:rFonts w:asciiTheme="majorBidi" w:hAnsiTheme="majorBidi" w:cstheme="majorBidi"/>
                <w:noProof/>
                <w:sz w:val="24"/>
              </w:rPr>
              <w:t>а) когато сумата се изплаща на вноски, експозицията се отнася към падежната група, съответстваща на последната вноска.</w:t>
            </w:r>
          </w:p>
          <w:p w14:paraId="1CB2222E" w14:textId="1794D336" w:rsidR="009E7740" w:rsidRPr="001C19A0" w:rsidRDefault="009E7740" w:rsidP="00B76863">
            <w:pPr>
              <w:jc w:val="both"/>
              <w:rPr>
                <w:rFonts w:asciiTheme="majorBidi" w:hAnsiTheme="majorBidi" w:cstheme="majorBidi"/>
                <w:noProof/>
                <w:sz w:val="24"/>
              </w:rPr>
            </w:pPr>
            <w:r w:rsidRPr="001C19A0">
              <w:rPr>
                <w:rFonts w:asciiTheme="majorBidi" w:hAnsiTheme="majorBidi" w:cstheme="majorBidi"/>
                <w:noProof/>
                <w:sz w:val="24"/>
              </w:rPr>
              <w:t>б) когато експозицията е без посочен падеж по причини, които не са свързани с избора на контрагента на дата на погасяване, или при дялови участия размерът на тази експозиция се оповестява в най-голямата падежна група „&gt; 20 години“;</w:t>
            </w:r>
          </w:p>
          <w:p w14:paraId="11D334C6" w14:textId="43777577" w:rsidR="009A2201" w:rsidRPr="001C19A0" w:rsidRDefault="009E7740" w:rsidP="00B76863">
            <w:pPr>
              <w:jc w:val="both"/>
              <w:rPr>
                <w:rFonts w:asciiTheme="majorBidi" w:hAnsiTheme="majorBidi" w:cstheme="majorBidi"/>
                <w:noProof/>
                <w:sz w:val="24"/>
              </w:rPr>
            </w:pPr>
            <w:r w:rsidRPr="001C19A0">
              <w:rPr>
                <w:rFonts w:asciiTheme="majorBidi" w:hAnsiTheme="majorBidi" w:cstheme="majorBidi"/>
                <w:noProof/>
                <w:sz w:val="24"/>
              </w:rPr>
              <w:t>в) за изчисляването на средния срок до падежа на експозициите институциите претеглят срока до падежа на всяка експозиция с брутната балансова стойност на експозициите.</w:t>
            </w:r>
          </w:p>
        </w:tc>
      </w:tr>
    </w:tbl>
    <w:p w14:paraId="7F25982B" w14:textId="77777777" w:rsidR="009461DC" w:rsidRPr="001C19A0" w:rsidRDefault="009461DC" w:rsidP="00D35812">
      <w:pPr>
        <w:spacing w:before="120" w:after="120"/>
        <w:jc w:val="both"/>
        <w:rPr>
          <w:rFonts w:asciiTheme="majorBidi" w:hAnsiTheme="majorBidi" w:cstheme="majorBidi"/>
          <w:b/>
          <w:noProof/>
          <w:sz w:val="24"/>
        </w:rPr>
      </w:pPr>
    </w:p>
    <w:p w14:paraId="604BB151" w14:textId="50CE2573" w:rsidR="00B63904" w:rsidRPr="001C19A0" w:rsidRDefault="00B63904" w:rsidP="00D35812">
      <w:pPr>
        <w:spacing w:before="120" w:after="120"/>
        <w:jc w:val="both"/>
        <w:rPr>
          <w:rFonts w:asciiTheme="majorBidi" w:hAnsiTheme="majorBidi" w:cstheme="majorBidi"/>
          <w:b/>
          <w:noProof/>
          <w:sz w:val="24"/>
        </w:rPr>
      </w:pPr>
      <w:r w:rsidRPr="001C19A0">
        <w:rPr>
          <w:rFonts w:asciiTheme="majorBidi" w:hAnsiTheme="majorBidi" w:cstheme="majorBidi"/>
          <w:b/>
          <w:noProof/>
          <w:sz w:val="24"/>
        </w:rPr>
        <w:t>Образец 2: Банков портфейл — Показатели за потенциален риск от прехода във връзка с изменението на климата: Кредити, обезпечени с недвижим имот — Енергийна ефективност на обезпечението. Зададен формат.</w:t>
      </w:r>
    </w:p>
    <w:p w14:paraId="52DE4877" w14:textId="77777777" w:rsidR="00B63904" w:rsidRPr="001C19A0" w:rsidRDefault="00B63904" w:rsidP="00D35812">
      <w:pPr>
        <w:spacing w:before="120" w:after="120"/>
        <w:jc w:val="both"/>
        <w:rPr>
          <w:rFonts w:asciiTheme="majorBidi" w:hAnsiTheme="majorBidi" w:cstheme="majorBidi"/>
          <w:b/>
          <w:noProof/>
          <w:sz w:val="24"/>
          <w:lang w:val="en-GB"/>
        </w:rPr>
      </w:pPr>
    </w:p>
    <w:p w14:paraId="348EE77B" w14:textId="49FEB0A1" w:rsidR="003D6E3A" w:rsidRPr="001C19A0" w:rsidRDefault="003D6E3A" w:rsidP="00BD7C6D">
      <w:pPr>
        <w:pStyle w:val="ListParagraph"/>
        <w:numPr>
          <w:ilvl w:val="0"/>
          <w:numId w:val="29"/>
        </w:numPr>
        <w:tabs>
          <w:tab w:val="left" w:pos="567"/>
        </w:tabs>
        <w:spacing w:before="120" w:after="120"/>
        <w:ind w:left="0" w:firstLine="0"/>
        <w:jc w:val="both"/>
        <w:rPr>
          <w:rFonts w:asciiTheme="majorBidi" w:eastAsiaTheme="minorEastAsia" w:hAnsiTheme="majorBidi" w:cstheme="majorBidi"/>
          <w:noProof/>
          <w:sz w:val="24"/>
          <w:szCs w:val="24"/>
        </w:rPr>
      </w:pPr>
      <w:r w:rsidRPr="001C19A0">
        <w:rPr>
          <w:rFonts w:asciiTheme="majorBidi" w:hAnsiTheme="majorBidi" w:cstheme="majorBidi"/>
          <w:noProof/>
          <w:sz w:val="24"/>
        </w:rPr>
        <w:t xml:space="preserve">Институциите използват следните указания за оповестяването на информацията, изисквана в Образец 2: Банков портфейл — Показатели за потенциален риск от прехода във връзка с изменението на климата: Кредити, обезпечени с недвижим имот — Енергийна ефективност на обезпечението, както е посочено в приложение XXXIX към настоящия регламент. </w:t>
      </w:r>
    </w:p>
    <w:p w14:paraId="695322E3" w14:textId="5E39FB1F" w:rsidR="00C168F0" w:rsidRPr="001C19A0" w:rsidRDefault="00B13C50" w:rsidP="00BD7C6D">
      <w:pPr>
        <w:pStyle w:val="ListParagraph"/>
        <w:numPr>
          <w:ilvl w:val="0"/>
          <w:numId w:val="29"/>
        </w:numPr>
        <w:tabs>
          <w:tab w:val="left" w:pos="567"/>
        </w:tabs>
        <w:spacing w:before="120" w:after="120"/>
        <w:ind w:left="0" w:firstLine="0"/>
        <w:jc w:val="both"/>
        <w:rPr>
          <w:rFonts w:asciiTheme="majorBidi" w:eastAsiaTheme="minorEastAsia" w:hAnsiTheme="majorBidi" w:cstheme="majorBidi"/>
          <w:noProof/>
          <w:sz w:val="24"/>
          <w:szCs w:val="24"/>
        </w:rPr>
      </w:pPr>
      <w:r w:rsidRPr="001C19A0">
        <w:rPr>
          <w:rFonts w:asciiTheme="majorBidi" w:hAnsiTheme="majorBidi" w:cstheme="majorBidi"/>
          <w:noProof/>
          <w:sz w:val="24"/>
        </w:rPr>
        <w:t xml:space="preserve">Директива 2010/31/EС на Европейския парламент и на Съвета </w:t>
      </w:r>
      <w:r w:rsidRPr="001C19A0">
        <w:rPr>
          <w:rStyle w:val="FootnoteReference"/>
          <w:rFonts w:asciiTheme="majorBidi" w:hAnsiTheme="majorBidi" w:cstheme="majorBidi"/>
          <w:noProof/>
          <w:sz w:val="24"/>
        </w:rPr>
        <w:t>*</w:t>
      </w:r>
      <w:r w:rsidRPr="001C19A0">
        <w:rPr>
          <w:rFonts w:asciiTheme="majorBidi" w:hAnsiTheme="majorBidi" w:cstheme="majorBidi"/>
          <w:noProof/>
          <w:sz w:val="24"/>
          <w:vertAlign w:val="superscript"/>
        </w:rPr>
        <w:t>16</w:t>
      </w:r>
      <w:r w:rsidRPr="001C19A0">
        <w:rPr>
          <w:rFonts w:asciiTheme="majorBidi" w:hAnsiTheme="majorBidi" w:cstheme="majorBidi"/>
          <w:noProof/>
          <w:sz w:val="24"/>
        </w:rPr>
        <w:t xml:space="preserve"> и Директива 2012/27/ЕС на Европейския парламент и на Съвета</w:t>
      </w:r>
      <w:r w:rsidRPr="001C19A0">
        <w:rPr>
          <w:rStyle w:val="FootnoteReference"/>
          <w:rFonts w:asciiTheme="majorBidi" w:hAnsiTheme="majorBidi" w:cstheme="majorBidi"/>
          <w:noProof/>
          <w:sz w:val="24"/>
        </w:rPr>
        <w:t>*</w:t>
      </w:r>
      <w:r w:rsidRPr="001C19A0">
        <w:rPr>
          <w:rFonts w:asciiTheme="majorBidi" w:hAnsiTheme="majorBidi" w:cstheme="majorBidi"/>
          <w:noProof/>
          <w:sz w:val="24"/>
          <w:vertAlign w:val="superscript"/>
        </w:rPr>
        <w:t>17</w:t>
      </w:r>
      <w:r w:rsidRPr="001C19A0">
        <w:rPr>
          <w:rFonts w:asciiTheme="majorBidi" w:hAnsiTheme="majorBidi" w:cstheme="majorBidi"/>
          <w:noProof/>
          <w:sz w:val="24"/>
        </w:rPr>
        <w:t xml:space="preserve"> насърчават политиките, насочени към постигането на висока енергийна ефективност и декарбонизиран сграден фонд до 2050 г. С Директива 2010/31/ЕС бяха въведени сертификатите за енергийните характеристики (СЕХ) като инструменти за подобряване на енергийните характеристики на сградите. Става дума за сертификат, признат от държава членка или от определено от нея юридическо лице, в който са посочени енергийните характеристики на дадена сграда или част от сграда, изчислени в съответствие с посочената директива.</w:t>
      </w:r>
    </w:p>
    <w:p w14:paraId="356E4A10" w14:textId="1F698B20" w:rsidR="003B576A" w:rsidRPr="001C19A0" w:rsidRDefault="00791E28" w:rsidP="00BD7C6D">
      <w:pPr>
        <w:pStyle w:val="ListParagraph"/>
        <w:numPr>
          <w:ilvl w:val="0"/>
          <w:numId w:val="29"/>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В настоящия образец е показана брутната балансова стойност, както е посочена в част 1 от приложение V към Регламент за изпълнение (ЕС) 2021/451, на кредитите, обезпечени с търговски и жилищни недвижими имоти, и на усвоените обезпечения, предоставени във вид на недвижими имоти, включително информация за равнището на енергийна ефективност на обезпеченията, измерено чрез потребление на енергия в kWh/m² (колони б) — ж) от образеца), чрез обозначението на сертификата за енергийните характеристики (СЕХ) на обезпечението, както е посочено в член 2, точка 12 от Директива 2010/31/ЕС за държавите членки, или както е определена в съответнaта местна нормативна уредба по отношение на експозиции извън Съюза, когато има съотнасяне към знака на Съюза за EPC (колони з) — н). </w:t>
      </w:r>
    </w:p>
    <w:p w14:paraId="52CC1E3F" w14:textId="5E48854F" w:rsidR="007D3E67" w:rsidRPr="001C19A0" w:rsidRDefault="007D3E67" w:rsidP="00E50FA4">
      <w:pPr>
        <w:pStyle w:val="CommentText"/>
        <w:jc w:val="both"/>
        <w:rPr>
          <w:rFonts w:asciiTheme="majorBidi" w:hAnsiTheme="majorBidi" w:cstheme="majorBidi"/>
          <w:noProof/>
        </w:rPr>
      </w:pPr>
    </w:p>
    <w:p w14:paraId="631C1B5B" w14:textId="1460D325" w:rsidR="003B576A" w:rsidRPr="001C19A0" w:rsidRDefault="004C61E0" w:rsidP="00BD7C6D">
      <w:pPr>
        <w:pStyle w:val="ListParagraph"/>
        <w:numPr>
          <w:ilvl w:val="0"/>
          <w:numId w:val="29"/>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По-специално, в колони б) — ж) институциите оповестяват брутната балансова стойност на експозициите по групи по енергийна ефективност въз основа на конкретното потребление на енергия на обезпечението в kWh/m², както е посочено в обозначението по СЕХ на обезпечението или е приблизително оценено от институциите при липса на обозначение по СЕХ. В редове 5 и 10 на образеца институциите посочват до каква степен тези данни са получени чрез приблизителна оценка, а не въз основа на обозначения по СЕХ. В колони з) — н) институциите оповестяват брутната балансова стойност на експозициите, групирани по обозначение по СЕХ за обезпеченията, за които институцията разполага с информация за СЕХ. </w:t>
      </w:r>
    </w:p>
    <w:p w14:paraId="48526034" w14:textId="69A445E3" w:rsidR="00C168F0" w:rsidRPr="001C19A0" w:rsidRDefault="00C168F0" w:rsidP="00BD7C6D">
      <w:pPr>
        <w:pStyle w:val="ListParagraph"/>
        <w:numPr>
          <w:ilvl w:val="0"/>
          <w:numId w:val="29"/>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Когато оповестяват разпределението на обезпеченията по СЕХ, институциите оповестяват отделно в колона о) експозициите, за които не разполагат с информация за СЕХ на обезпечението. Когато институциите нямат информация за СЕХ, но използват вътрешни изчисления за приблизителна оценка на енергийната ефективност на обезпечението, те оповестяват какъв е процентът на експозициите без обозначение по СЕХ на обезпечението, за който предоставят приблизителни оценки (процентът трябва да се изчисли въз основа на брутната балансова стойност на експозициите). Институциите оповестяват общите брутни балансови стойности по равнище на потребление на енергия и по обозначение по СЕХ, разпределени по местоположение (за Съюза и извън Съюза), като правят разграничение между кредитите, обезпечени с търговски недвижими имоти, кредитите, обезпечени с жилищни недвижими имоти, и обезпеченията, получени чрез влизане във владение.</w:t>
      </w:r>
    </w:p>
    <w:p w14:paraId="1B41852F" w14:textId="6B0404C6" w:rsidR="00352AF7" w:rsidRPr="001C19A0" w:rsidRDefault="002A32C2" w:rsidP="00BD7C6D">
      <w:pPr>
        <w:pStyle w:val="ListParagraph"/>
        <w:numPr>
          <w:ilvl w:val="0"/>
          <w:numId w:val="29"/>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При експозиции към субекти, намиращи се в трети държави, за които не е налично обозначение, еквивалентно на това по СЕХ, институциите оставят колони з) — н) празни. Институциите обаче оповестяват информацията, изисквана в колони о) и п) и, когато е приложимо, колони б) — ж), като предоставят данни по приблизителна оценки.</w:t>
      </w:r>
    </w:p>
    <w:p w14:paraId="3B9F0AD4" w14:textId="291E3B57" w:rsidR="00334AEC" w:rsidRPr="001C19A0" w:rsidRDefault="0039601B" w:rsidP="00BD7C6D">
      <w:pPr>
        <w:pStyle w:val="ListParagraph"/>
        <w:numPr>
          <w:ilvl w:val="0"/>
          <w:numId w:val="29"/>
        </w:numPr>
        <w:tabs>
          <w:tab w:val="left" w:pos="567"/>
        </w:tabs>
        <w:spacing w:before="120" w:after="120"/>
        <w:ind w:left="0" w:firstLine="0"/>
        <w:jc w:val="both"/>
        <w:rPr>
          <w:rFonts w:asciiTheme="majorBidi" w:hAnsiTheme="majorBidi" w:cstheme="majorBidi"/>
          <w:noProof/>
        </w:rPr>
      </w:pPr>
      <w:bookmarkStart w:id="13" w:name="_Hlk87274643"/>
      <w:bookmarkStart w:id="14" w:name="_Hlk87260827"/>
      <w:r w:rsidRPr="001C19A0">
        <w:rPr>
          <w:rFonts w:asciiTheme="majorBidi" w:hAnsiTheme="majorBidi" w:cstheme="majorBidi"/>
          <w:noProof/>
          <w:sz w:val="24"/>
        </w:rPr>
        <w:t xml:space="preserve">За експозициите, свързани с повече от едно обезпечение, като например два недвижими имота, информацията за енергийната ефективност на свързаните с експозицията имоти се разделя и оповестява отделно за равнищата на енергийна ефективност (както за KWh/m² на обезпечението, колони б) — ж), така и за обозначението по СЕХ, колони з) — н), отнасящи се за енергийната ефективност на всяко обезпечение). По-конкретно, институциите изчисляват дела на всяко обезпечение от брутната балансова стойност на експозицията въз основа на стойността на обезпечението и го оповестяват в групата по енергийна ефективност, свързана с всяко обезпечение. Например институцията има кредит с брутна балансова стойност 100 000 EUR, обезпечен с два имота: имот А и имот Б. Стойността на обезпечението на имот А е 80 000 EUR, а обозначението по СЕХ е А, докато стойността на обезпечението на имот Б е 70 000 EUR, а обозначението по СЕХ е D. В този пример институциите следва да оповестят 53 333 EUR (т.е. 100 000 EUR * [80 000/(80 000 + 70 000)] за обозначението A по СЕХ и 46 667 EUR (т.е. 100 000 EUR * [70 000/(80 000 + 70 000)] за обозначението D по СЕХ, като и двете стойности се отнасят за въпросния кредит. </w:t>
      </w:r>
      <w:bookmarkEnd w:id="13"/>
      <w:bookmarkEnd w:id="14"/>
    </w:p>
    <w:p w14:paraId="5F6F4E0A" w14:textId="77777777" w:rsidR="00224B1E" w:rsidRPr="001C19A0" w:rsidRDefault="00224B1E" w:rsidP="00224B1E">
      <w:pPr>
        <w:pStyle w:val="ListParagraph"/>
        <w:spacing w:before="120" w:after="120"/>
        <w:ind w:left="426"/>
        <w:jc w:val="both"/>
        <w:rPr>
          <w:rFonts w:asciiTheme="majorBidi" w:hAnsiTheme="majorBidi" w:cstheme="majorBidi"/>
          <w:noProof/>
        </w:rPr>
      </w:pPr>
    </w:p>
    <w:p w14:paraId="4C11CC78" w14:textId="07D73C58" w:rsidR="00502554" w:rsidRPr="001C19A0" w:rsidRDefault="00E01673" w:rsidP="00D35812">
      <w:pPr>
        <w:spacing w:before="120" w:after="120"/>
        <w:jc w:val="both"/>
        <w:rPr>
          <w:rFonts w:asciiTheme="majorBidi" w:hAnsiTheme="majorBidi" w:cstheme="majorBidi"/>
          <w:b/>
          <w:noProof/>
          <w:sz w:val="24"/>
        </w:rPr>
      </w:pPr>
      <w:bookmarkStart w:id="15" w:name="_Hlk87359682"/>
      <w:r w:rsidRPr="001C19A0">
        <w:rPr>
          <w:rFonts w:asciiTheme="majorBidi" w:hAnsiTheme="majorBidi" w:cstheme="majorBidi"/>
          <w:b/>
          <w:noProof/>
          <w:sz w:val="24"/>
        </w:rPr>
        <w:t>Образец 3: Банков портфейл — Показатели за потенциален риск от прехода във връзка с изменението на климата: показатели за съответствие</w:t>
      </w:r>
      <w:r w:rsidRPr="001C19A0">
        <w:rPr>
          <w:rFonts w:asciiTheme="majorBidi" w:hAnsiTheme="majorBidi" w:cstheme="majorBidi"/>
          <w:noProof/>
          <w:sz w:val="24"/>
        </w:rPr>
        <w:t>. Гъвкав формат (задени колони, гъвкави редове).</w:t>
      </w:r>
    </w:p>
    <w:p w14:paraId="61DDF494" w14:textId="4DE3E725" w:rsidR="00881A19" w:rsidRPr="001C19A0" w:rsidRDefault="00881A19" w:rsidP="00BD7C6D">
      <w:pPr>
        <w:pStyle w:val="ListParagraph"/>
        <w:numPr>
          <w:ilvl w:val="0"/>
          <w:numId w:val="18"/>
        </w:numPr>
        <w:tabs>
          <w:tab w:val="left" w:pos="567"/>
        </w:tabs>
        <w:spacing w:before="120" w:after="120"/>
        <w:ind w:left="0" w:firstLine="0"/>
        <w:jc w:val="both"/>
        <w:rPr>
          <w:rFonts w:asciiTheme="majorBidi" w:eastAsiaTheme="minorEastAsia" w:hAnsiTheme="majorBidi" w:cstheme="majorBidi"/>
          <w:noProof/>
          <w:sz w:val="24"/>
          <w:szCs w:val="24"/>
        </w:rPr>
      </w:pPr>
      <w:r w:rsidRPr="001C19A0">
        <w:rPr>
          <w:rFonts w:asciiTheme="majorBidi" w:hAnsiTheme="majorBidi" w:cstheme="majorBidi"/>
          <w:noProof/>
          <w:sz w:val="24"/>
        </w:rPr>
        <w:t xml:space="preserve">Институциите използват следните указания за оповестяването на информацията, изисквана в Образец 3: „Банков портфейл — Показатели за потенциален риск от прехода във връзка с изменението на климата: показатели за съответствие“, както е определено в приложение XXXIX към настоящия регламент. </w:t>
      </w:r>
    </w:p>
    <w:p w14:paraId="1AFCBB91" w14:textId="4ED30FEF" w:rsidR="005C7162" w:rsidRPr="001C19A0" w:rsidRDefault="00881A19" w:rsidP="00BD7C6D">
      <w:pPr>
        <w:pStyle w:val="ListParagraph"/>
        <w:numPr>
          <w:ilvl w:val="0"/>
          <w:numId w:val="18"/>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 настоящия образец институциите оповестяват информация за усилията си за привеждане в съответствие с целите на Парижкото споразумение за определен брой сектори. Оповестяванията относно привеждането в съответствие отразяват степента, в която финансовите потоци са в съответствие с целта за постигане на ниски емисии на парникови газове и издръжливо спрямо изменението на климата развитие, както е посочено в Парижкото споразумение. Икономическият сценарий, който описва този път за декарбонизация, е сценарият на Международната агенция по енергетика (МАЕ) за нулеви нетни емисии до 2050 г. (NZE2050)</w:t>
      </w:r>
      <w:r w:rsidRPr="001C19A0">
        <w:rPr>
          <w:rFonts w:asciiTheme="majorBidi" w:hAnsiTheme="majorBidi" w:cstheme="majorBidi"/>
          <w:noProof/>
          <w:sz w:val="24"/>
          <w:vertAlign w:val="superscript"/>
        </w:rPr>
        <w:t>*18</w:t>
      </w:r>
      <w:r w:rsidRPr="001C19A0">
        <w:rPr>
          <w:rFonts w:asciiTheme="majorBidi" w:hAnsiTheme="majorBidi" w:cstheme="majorBidi"/>
          <w:noProof/>
          <w:sz w:val="24"/>
        </w:rPr>
        <w:t xml:space="preserve">. Институциите вземат предвид този сценарий. Като се има предвид, че МАЕ предоставя сценарии на световно равнище и някои специфични показатели на европейско равнище, институциите трябва да измерят отстоянието от референтните показатели за сценариите на МАЕ на световно равнище до специфичните показатели на европейско равнище, когато са налични. </w:t>
      </w:r>
    </w:p>
    <w:p w14:paraId="6CB46F6E" w14:textId="7326C8AE" w:rsidR="0039601B" w:rsidRPr="001C19A0" w:rsidRDefault="004C61E0" w:rsidP="00BD7C6D">
      <w:pPr>
        <w:pStyle w:val="ListParagraph"/>
        <w:numPr>
          <w:ilvl w:val="0"/>
          <w:numId w:val="18"/>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които вече оценяват информацията относно привеждането в съответствие с Парижкото споразумение по сектори, оповестяват информацията в настоящия образец. Институциите трябва да посочат в описанието, придружаващо образеца, използвания метод и източника на данни. Институциите, които все още не извършват оценка на привеждането в съответствие по сектори, оповестяват информация за плановете си за прилагане на метод за оценка и за оповестяване на тази информация. Във всеки случай институциите започват да оповестяват информацията, включена в настоящия образец с първа референтна дата на оповестяване 30 юни 2024 г.</w:t>
      </w:r>
    </w:p>
    <w:p w14:paraId="6123D348" w14:textId="77777777" w:rsidR="008B7D61" w:rsidRPr="001C19A0" w:rsidRDefault="00E01673" w:rsidP="00BD7C6D">
      <w:pPr>
        <w:pStyle w:val="ListParagraph"/>
        <w:numPr>
          <w:ilvl w:val="0"/>
          <w:numId w:val="18"/>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 настоящия образец институциите оповестяват следното:</w:t>
      </w:r>
    </w:p>
    <w:p w14:paraId="366D68F8" w14:textId="6F250CD7" w:rsidR="009B37D7" w:rsidRPr="001C19A0" w:rsidRDefault="006A2FE4" w:rsidP="00BD7C6D">
      <w:pPr>
        <w:pStyle w:val="ListParagraph"/>
        <w:numPr>
          <w:ilvl w:val="0"/>
          <w:numId w:val="32"/>
        </w:numPr>
        <w:spacing w:before="120" w:after="120"/>
        <w:jc w:val="both"/>
        <w:rPr>
          <w:rFonts w:asciiTheme="majorBidi" w:hAnsiTheme="majorBidi" w:cstheme="majorBidi"/>
          <w:noProof/>
          <w:sz w:val="24"/>
        </w:rPr>
      </w:pPr>
      <w:r w:rsidRPr="001C19A0">
        <w:rPr>
          <w:rFonts w:asciiTheme="majorBidi" w:hAnsiTheme="majorBidi" w:cstheme="majorBidi"/>
          <w:noProof/>
          <w:sz w:val="24"/>
        </w:rPr>
        <w:t>Колони а) и б): тези колони съдържат секторите (сектори според МАЕ) в колона а), в която в редове 1—8 е посочен задължителният минимален набор от сектори, както и подсекторите (сектори по NACE в колона б) съгласно минималния набор от „сектори по NACE, които трябва да бъдат взети предвид“, както е посочено в образеца).</w:t>
      </w:r>
    </w:p>
    <w:p w14:paraId="1E60B695" w14:textId="5AC40EE9" w:rsidR="007B42EC" w:rsidRPr="001C19A0" w:rsidRDefault="006A2FE4" w:rsidP="00BD7C6D">
      <w:pPr>
        <w:pStyle w:val="ListParagraph"/>
        <w:numPr>
          <w:ilvl w:val="0"/>
          <w:numId w:val="32"/>
        </w:numPr>
        <w:spacing w:before="120" w:after="120"/>
        <w:jc w:val="both"/>
        <w:rPr>
          <w:rFonts w:asciiTheme="majorBidi" w:hAnsiTheme="majorBidi" w:cstheme="majorBidi"/>
          <w:noProof/>
          <w:sz w:val="24"/>
        </w:rPr>
      </w:pPr>
      <w:r w:rsidRPr="001C19A0">
        <w:rPr>
          <w:rFonts w:asciiTheme="majorBidi" w:hAnsiTheme="majorBidi" w:cstheme="majorBidi"/>
          <w:noProof/>
          <w:sz w:val="24"/>
        </w:rPr>
        <w:t>Когато институцията е холдингово дружество, институциите вземат предвид сектора по NACE на конкретния длъжник, контролиран от холдинговото дружество (ако е различен от холдинговото дружество), който получава финансирането, а не сектора на холдинговото дружество, особено в случаите, когато длъжникът е нефинансово предприятие. Аналогично, когато прекият контрагент на институцията (длъжникът) е дружество със специална цел, институциите оповестяват съответната информация за сектора от NACE, свързан с икономическата дейност на дружеството — майка на дружеството със специална цел.</w:t>
      </w:r>
    </w:p>
    <w:p w14:paraId="7F49265A" w14:textId="5DAFD2BD" w:rsidR="003A0E90" w:rsidRPr="001C19A0" w:rsidRDefault="006A2FE4" w:rsidP="00BD7C6D">
      <w:pPr>
        <w:pStyle w:val="ListParagraph"/>
        <w:numPr>
          <w:ilvl w:val="0"/>
          <w:numId w:val="32"/>
        </w:numPr>
        <w:spacing w:before="120" w:after="120"/>
        <w:jc w:val="both"/>
        <w:rPr>
          <w:rFonts w:asciiTheme="majorBidi" w:hAnsiTheme="majorBidi" w:cstheme="majorBidi"/>
          <w:noProof/>
          <w:sz w:val="24"/>
        </w:rPr>
      </w:pPr>
      <w:r w:rsidRPr="001C19A0">
        <w:rPr>
          <w:rFonts w:asciiTheme="majorBidi" w:hAnsiTheme="majorBidi" w:cstheme="majorBidi"/>
          <w:noProof/>
          <w:sz w:val="24"/>
        </w:rPr>
        <w:t>Класифицирането на експозициите, поети съвместно от няколко длъжници, се основава на характеристиките на длъжника, който е бил по-значим или определящ за това институцията да разреши експозицията. Институциите оповестяват информацията по кодовете по NACE със степента на подробност, изисквана в колона б).</w:t>
      </w:r>
    </w:p>
    <w:p w14:paraId="34513BB0" w14:textId="66ED3711" w:rsidR="009B37D7" w:rsidRPr="001C19A0" w:rsidRDefault="006A2FE4" w:rsidP="00BD7C6D">
      <w:pPr>
        <w:pStyle w:val="ListParagraph"/>
        <w:numPr>
          <w:ilvl w:val="0"/>
          <w:numId w:val="32"/>
        </w:numPr>
        <w:spacing w:before="120" w:after="120"/>
        <w:jc w:val="both"/>
        <w:rPr>
          <w:rFonts w:asciiTheme="majorBidi" w:hAnsiTheme="majorBidi" w:cstheme="majorBidi"/>
          <w:noProof/>
          <w:sz w:val="24"/>
        </w:rPr>
      </w:pPr>
      <w:r w:rsidRPr="001C19A0">
        <w:rPr>
          <w:rFonts w:asciiTheme="majorBidi" w:hAnsiTheme="majorBidi" w:cstheme="majorBidi"/>
          <w:noProof/>
          <w:sz w:val="24"/>
        </w:rPr>
        <w:t>Колона в): брутната балансова стойност съгласно определението в част 1 от приложение V към Регламент за изпълнение (ЕС) 2021/451 на тези експозиции към нефинансови предприятия във всеки от секторите, посочени в колони а) и б), включително кредити и аванси, дългови ценни книжа и капиталови инструменти,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или активите, държани за продажба.</w:t>
      </w:r>
    </w:p>
    <w:p w14:paraId="2B6BA57B" w14:textId="3987F497" w:rsidR="00125C05" w:rsidRPr="001C19A0" w:rsidRDefault="006A2FE4" w:rsidP="00BD7C6D">
      <w:pPr>
        <w:pStyle w:val="ListParagraph"/>
        <w:numPr>
          <w:ilvl w:val="0"/>
          <w:numId w:val="32"/>
        </w:numPr>
        <w:spacing w:before="120" w:after="120"/>
        <w:jc w:val="both"/>
        <w:rPr>
          <w:rFonts w:asciiTheme="majorBidi" w:hAnsiTheme="majorBidi" w:cstheme="majorBidi"/>
          <w:noProof/>
          <w:sz w:val="24"/>
          <w:szCs w:val="24"/>
        </w:rPr>
      </w:pPr>
      <w:r w:rsidRPr="001C19A0">
        <w:rPr>
          <w:rFonts w:asciiTheme="majorBidi" w:hAnsiTheme="majorBidi" w:cstheme="majorBidi"/>
          <w:noProof/>
          <w:sz w:val="24"/>
        </w:rPr>
        <w:t>Колони г) и д): показател(и) за съответствие, прилаган(и) от институцията, и най-близка референтна година за показателя(ите) за съответствие за всеки сектор. Институциите използват показателя(ите) за съответствие, които може да бъдат измерени спрямо сценария за нулеви нетни емисии до 2050 г. (NZE2050). Институциите трябва да гарантират, че показателите дават възможност за цялостно оповестяване на финансираните от институциите производствени мощности и обхващат съответните финансирани дейности с висок въглероден интензитет. В образеца са включени някои примерни показатели. Институциите трябва да оповестят няколко показателя за всеки сектор, който е от значение за тяхната дейност по финансиране. Те трябва да обхващат показателите за интензитета на емисиите, показателите, основани на набора от използвани технологии, и показателите, основани на производството. Институциите следва да разчитат на оценката на базовите активи и дейности, свързани с финансовите инструменти.</w:t>
      </w:r>
    </w:p>
    <w:p w14:paraId="5BB831A7" w14:textId="4CB32EC6" w:rsidR="00125C05" w:rsidRPr="001C19A0" w:rsidRDefault="00125C05" w:rsidP="00B76863">
      <w:pPr>
        <w:pStyle w:val="ListParagraph"/>
        <w:spacing w:before="120" w:after="120"/>
        <w:ind w:left="567"/>
        <w:jc w:val="both"/>
        <w:rPr>
          <w:rFonts w:asciiTheme="majorBidi" w:hAnsiTheme="majorBidi" w:cstheme="majorBidi"/>
          <w:noProof/>
          <w:sz w:val="24"/>
          <w:szCs w:val="24"/>
        </w:rPr>
      </w:pPr>
      <w:r w:rsidRPr="001C19A0">
        <w:rPr>
          <w:rFonts w:asciiTheme="majorBidi" w:hAnsiTheme="majorBidi" w:cstheme="majorBidi"/>
          <w:noProof/>
          <w:sz w:val="24"/>
        </w:rPr>
        <w:t xml:space="preserve">При кредитите, при които използването на постъпленията е известно, стойността се включва за съответния сектор и показател за съответствие. При кредитите, при които използването на постъпленията не е известно, брутната балансова стойност на експозицията се отнася към съответните сектори и показатели за съответствие въз основа на разпределението на дейността на контрагентите, включително по оборот на контрагентите по дейности. </w:t>
      </w:r>
    </w:p>
    <w:p w14:paraId="4455C8EE" w14:textId="5A333F4D" w:rsidR="006577D7" w:rsidRPr="001C19A0" w:rsidRDefault="006577D7" w:rsidP="00B76863">
      <w:pPr>
        <w:pStyle w:val="ListParagraph"/>
        <w:spacing w:before="120" w:after="120"/>
        <w:ind w:left="567"/>
        <w:jc w:val="both"/>
        <w:rPr>
          <w:rFonts w:asciiTheme="majorBidi" w:hAnsiTheme="majorBidi" w:cstheme="majorBidi"/>
          <w:noProof/>
          <w:sz w:val="24"/>
        </w:rPr>
      </w:pPr>
      <w:r w:rsidRPr="001C19A0">
        <w:rPr>
          <w:rFonts w:asciiTheme="majorBidi" w:hAnsiTheme="majorBidi" w:cstheme="majorBidi"/>
          <w:noProof/>
          <w:sz w:val="24"/>
        </w:rPr>
        <w:t>Институциите добавят в образеца ред за всяка съответна комбинация от сектори, оповестени в колона б), и за показателите за съответствие, включени в колона г).</w:t>
      </w:r>
    </w:p>
    <w:p w14:paraId="2A0A3691" w14:textId="2617D7AF" w:rsidR="00125C05" w:rsidRPr="001C19A0" w:rsidRDefault="00C5464C" w:rsidP="00BD7C6D">
      <w:pPr>
        <w:pStyle w:val="ListParagraph"/>
        <w:numPr>
          <w:ilvl w:val="0"/>
          <w:numId w:val="32"/>
        </w:numPr>
        <w:spacing w:before="120" w:after="120"/>
        <w:jc w:val="both"/>
        <w:rPr>
          <w:rFonts w:asciiTheme="majorBidi" w:hAnsiTheme="majorBidi" w:cstheme="majorBidi"/>
          <w:noProof/>
          <w:sz w:val="24"/>
        </w:rPr>
      </w:pPr>
      <w:r w:rsidRPr="001C19A0">
        <w:rPr>
          <w:rFonts w:asciiTheme="majorBidi" w:hAnsiTheme="majorBidi" w:cstheme="majorBidi"/>
          <w:noProof/>
          <w:sz w:val="24"/>
        </w:rPr>
        <w:t>Колона е): времевото отстояние на показателя(ите) в колона г) до конкретните данни за 2030 г. от сценария за нулеви нетни емисии до 2050 г. (NZE2050) се изразява в процентни пунктове. Това отстояние представлява текущата степен на привеждане в съответствие с показателя от сценария за 2030 г. и се изразява като разликата между показателя в колона г) и прогнозата от сценария на МАЕ за 2030 г., разделена на референтния показател от сценария и преобразувана в проценти.</w:t>
      </w:r>
    </w:p>
    <w:p w14:paraId="64DC25ED" w14:textId="6BD691B3" w:rsidR="001A66AA" w:rsidRPr="001C19A0" w:rsidRDefault="001A66AA" w:rsidP="00B76863">
      <w:pPr>
        <w:pStyle w:val="ListParagraph"/>
        <w:spacing w:before="120" w:after="120"/>
        <w:ind w:left="567"/>
        <w:jc w:val="both"/>
        <w:rPr>
          <w:rFonts w:asciiTheme="majorBidi" w:hAnsiTheme="majorBidi" w:cstheme="majorBidi"/>
          <w:noProof/>
          <w:sz w:val="24"/>
        </w:rPr>
      </w:pPr>
      <w:r w:rsidRPr="001C19A0">
        <w:rPr>
          <w:rFonts w:asciiTheme="majorBidi" w:hAnsiTheme="majorBidi" w:cstheme="majorBidi"/>
          <w:noProof/>
          <w:sz w:val="24"/>
        </w:rPr>
        <w:t>Институциите могат да намерят съответната информация и приложимите показатели от сценариите за 2030 г. по сектори на уебсайта на МАЕ. По-конкретно, институциите включват препратка към документа „Нулеви нетни емисии до 2050 г. — Пътна карта за световния сектор на енергетиката“, който МАЕ публикува всяка година</w:t>
      </w:r>
      <w:r w:rsidRPr="001C19A0">
        <w:rPr>
          <w:rFonts w:asciiTheme="majorBidi" w:hAnsiTheme="majorBidi" w:cstheme="majorBidi"/>
          <w:noProof/>
          <w:sz w:val="24"/>
          <w:vertAlign w:val="superscript"/>
        </w:rPr>
        <w:t>*19</w:t>
      </w:r>
      <w:r w:rsidRPr="001C19A0">
        <w:rPr>
          <w:rFonts w:asciiTheme="majorBidi" w:hAnsiTheme="majorBidi" w:cstheme="majorBidi"/>
          <w:noProof/>
          <w:sz w:val="24"/>
        </w:rPr>
        <w:t>. Конкретните данни и показатели може да бъдат изтеглени от таблицата в Excel, включена в сценария за нулеви нетни емисии до 2050 г., разработен от Международната агенция по енергетика.</w:t>
      </w:r>
    </w:p>
    <w:p w14:paraId="7E4A2CE1" w14:textId="7CF23110" w:rsidR="00125C05" w:rsidRPr="001C19A0" w:rsidRDefault="00125C05" w:rsidP="00B76863">
      <w:pPr>
        <w:spacing w:before="120" w:after="120"/>
        <w:ind w:left="567"/>
        <w:jc w:val="both"/>
        <w:rPr>
          <w:rFonts w:asciiTheme="majorBidi" w:hAnsiTheme="majorBidi" w:cstheme="majorBidi"/>
          <w:noProof/>
          <w:sz w:val="24"/>
        </w:rPr>
      </w:pPr>
      <w:r w:rsidRPr="001C19A0">
        <w:rPr>
          <w:rFonts w:asciiTheme="majorBidi" w:hAnsiTheme="majorBidi" w:cstheme="majorBidi"/>
          <w:noProof/>
          <w:sz w:val="24"/>
        </w:rPr>
        <w:t>Счита се, че базовите дейности на експозициите са в съответствие, когато равнището на показателя е под това на референтния показател за референтните показатели с намаляваща стойност (дейности с висок въглероден интензитет) или е над него за референтните показатели с нарастваща стойност (дейности с нисък въглероден интензитет);</w:t>
      </w:r>
    </w:p>
    <w:p w14:paraId="7EA8B62F" w14:textId="77777777" w:rsidR="008C29E1" w:rsidRPr="001C19A0" w:rsidRDefault="008C29E1" w:rsidP="00B76863">
      <w:pPr>
        <w:ind w:left="567"/>
        <w:rPr>
          <w:rFonts w:asciiTheme="majorBidi" w:hAnsiTheme="majorBidi" w:cstheme="majorBidi"/>
          <w:noProof/>
        </w:rPr>
      </w:pPr>
    </w:p>
    <w:p w14:paraId="790A0095" w14:textId="77777777" w:rsidR="00A04A43" w:rsidRPr="00E50FA4" w:rsidRDefault="00A04A43" w:rsidP="00A04A43">
      <w:pPr>
        <w:ind w:left="567"/>
        <w:rPr>
          <w:noProof/>
        </w:rPr>
      </w:pPr>
      <m:oMathPara>
        <m:oMath>
          <m:r>
            <w:rPr>
              <w:rFonts w:ascii="Cambria Math" w:hAnsi="Cambria Math"/>
              <w:noProof/>
              <w:sz w:val="16"/>
              <w:szCs w:val="16"/>
            </w:rPr>
            <m:t>Отстояние</m:t>
          </m:r>
          <m:r>
            <w:rPr>
              <w:rFonts w:ascii="Cambria Math" w:hAnsi="Cambria Math"/>
              <w:noProof/>
              <w:sz w:val="16"/>
              <w:szCs w:val="16"/>
              <w:lang w:val="en-GB"/>
            </w:rPr>
            <m:t>=</m:t>
          </m:r>
          <m:f>
            <m:fPr>
              <m:ctrlPr>
                <w:rPr>
                  <w:rFonts w:ascii="Cambria Math" w:hAnsi="Cambria Math"/>
                  <w:i/>
                  <w:noProof/>
                  <w:sz w:val="16"/>
                  <w:szCs w:val="16"/>
                  <w:lang w:val="en-GB"/>
                </w:rPr>
              </m:ctrlPr>
            </m:fPr>
            <m:num>
              <m:r>
                <w:rPr>
                  <w:rFonts w:ascii="Cambria Math" w:hAnsi="Cambria Math"/>
                  <w:noProof/>
                  <w:sz w:val="16"/>
                  <w:szCs w:val="16"/>
                  <w:lang w:val="en-GB"/>
                </w:rPr>
                <m:t>Показател през референтната година-(Показател от сценарий по МАЕ през 2030 г.)</m:t>
              </m:r>
            </m:num>
            <m:den>
              <m:r>
                <w:rPr>
                  <w:rFonts w:ascii="Cambria Math" w:hAnsi="Cambria Math"/>
                  <w:noProof/>
                  <w:sz w:val="16"/>
                  <w:szCs w:val="16"/>
                  <w:lang w:val="en-GB"/>
                </w:rPr>
                <m:t>(показател от сценарий по МАЕ през 2030 г.)</m:t>
              </m:r>
            </m:den>
          </m:f>
          <m:r>
            <w:rPr>
              <w:rFonts w:ascii="Cambria Math" w:hAnsi="Cambria Math"/>
              <w:noProof/>
              <w:sz w:val="16"/>
              <w:szCs w:val="16"/>
              <w:lang w:val="en-GB"/>
            </w:rPr>
            <m:t>*100</m:t>
          </m:r>
        </m:oMath>
      </m:oMathPara>
    </w:p>
    <w:p w14:paraId="2F81249E" w14:textId="35CE61A0" w:rsidR="00125C05" w:rsidRPr="001C19A0" w:rsidRDefault="0069726A" w:rsidP="00B76863">
      <w:pPr>
        <w:spacing w:before="120" w:after="120"/>
        <w:ind w:left="567" w:hanging="567"/>
        <w:jc w:val="both"/>
        <w:rPr>
          <w:rFonts w:asciiTheme="majorBidi" w:hAnsiTheme="majorBidi" w:cstheme="majorBidi"/>
          <w:noProof/>
          <w:sz w:val="24"/>
        </w:rPr>
      </w:pPr>
      <w:r w:rsidRPr="001C19A0">
        <w:rPr>
          <w:rFonts w:asciiTheme="majorBidi" w:hAnsiTheme="majorBidi" w:cstheme="majorBidi"/>
          <w:noProof/>
          <w:sz w:val="24"/>
        </w:rPr>
        <w:t>ж)</w:t>
      </w:r>
      <w:r w:rsidRPr="001C19A0">
        <w:rPr>
          <w:rFonts w:asciiTheme="majorBidi" w:hAnsiTheme="majorBidi" w:cstheme="majorBidi"/>
          <w:noProof/>
        </w:rPr>
        <w:tab/>
      </w:r>
      <w:r w:rsidRPr="001C19A0">
        <w:rPr>
          <w:rFonts w:asciiTheme="majorBidi" w:hAnsiTheme="majorBidi" w:cstheme="majorBidi"/>
          <w:noProof/>
          <w:sz w:val="24"/>
        </w:rPr>
        <w:t>Колона ж): цел на институциите за 3 години след референтната година, посочена в колона д), и показателя за съответствие, посочен в колона г). В колона ж) се посочват планът за привеждане в съответствие на портфейла и целите, които институциите планират да постигнат, за да продължат да следват сценария на МАЕ в дългосрочен план.</w:t>
      </w:r>
    </w:p>
    <w:p w14:paraId="086685E3" w14:textId="77777777" w:rsidR="00E5231F" w:rsidRPr="001C19A0" w:rsidRDefault="00E5231F" w:rsidP="0051392F">
      <w:pPr>
        <w:spacing w:before="120" w:after="120"/>
        <w:ind w:left="1080"/>
        <w:jc w:val="both"/>
        <w:rPr>
          <w:rFonts w:asciiTheme="majorBidi" w:hAnsiTheme="majorBidi" w:cstheme="majorBidi"/>
          <w:noProof/>
          <w:sz w:val="24"/>
        </w:rPr>
      </w:pPr>
    </w:p>
    <w:bookmarkEnd w:id="15"/>
    <w:p w14:paraId="602B09B0" w14:textId="301C6A21" w:rsidR="00E01673" w:rsidRPr="001C19A0" w:rsidRDefault="00E01673" w:rsidP="00DA390D">
      <w:pPr>
        <w:spacing w:before="120" w:after="120"/>
        <w:jc w:val="both"/>
        <w:rPr>
          <w:rFonts w:asciiTheme="majorBidi" w:hAnsiTheme="majorBidi" w:cstheme="majorBidi"/>
          <w:b/>
          <w:bCs/>
          <w:noProof/>
          <w:sz w:val="24"/>
        </w:rPr>
      </w:pPr>
      <w:r w:rsidRPr="001C19A0">
        <w:rPr>
          <w:rFonts w:asciiTheme="majorBidi" w:hAnsiTheme="majorBidi" w:cstheme="majorBidi"/>
          <w:b/>
          <w:noProof/>
          <w:sz w:val="24"/>
        </w:rPr>
        <w:t>Образец 4 — Банков портфейл — Показатели за потенциален риск от прехода във връзка с изменението на климата: експозиции към 20-те дружества с най-висок въглероден интензитет.</w:t>
      </w:r>
      <w:r w:rsidRPr="001C19A0">
        <w:rPr>
          <w:rFonts w:asciiTheme="majorBidi" w:hAnsiTheme="majorBidi" w:cstheme="majorBidi"/>
          <w:noProof/>
          <w:sz w:val="24"/>
        </w:rPr>
        <w:t xml:space="preserve"> </w:t>
      </w:r>
      <w:r w:rsidRPr="001C19A0">
        <w:rPr>
          <w:rFonts w:asciiTheme="majorBidi" w:hAnsiTheme="majorBidi" w:cstheme="majorBidi"/>
          <w:b/>
          <w:noProof/>
          <w:sz w:val="24"/>
        </w:rPr>
        <w:t>Зададен формат</w:t>
      </w:r>
    </w:p>
    <w:p w14:paraId="6E1F95ED" w14:textId="42679A30" w:rsidR="00881A19" w:rsidRPr="001C19A0" w:rsidRDefault="00881A19" w:rsidP="00BD7C6D">
      <w:pPr>
        <w:pStyle w:val="ListParagraph"/>
        <w:numPr>
          <w:ilvl w:val="0"/>
          <w:numId w:val="19"/>
        </w:numPr>
        <w:tabs>
          <w:tab w:val="left" w:pos="567"/>
        </w:tabs>
        <w:spacing w:before="120" w:after="120"/>
        <w:ind w:left="0" w:firstLine="0"/>
        <w:jc w:val="both"/>
        <w:rPr>
          <w:rFonts w:asciiTheme="majorBidi" w:eastAsiaTheme="minorEastAsia" w:hAnsiTheme="majorBidi" w:cstheme="majorBidi"/>
          <w:noProof/>
          <w:sz w:val="24"/>
          <w:szCs w:val="24"/>
        </w:rPr>
      </w:pPr>
      <w:r w:rsidRPr="001C19A0">
        <w:rPr>
          <w:rFonts w:asciiTheme="majorBidi" w:hAnsiTheme="majorBidi" w:cstheme="majorBidi"/>
          <w:noProof/>
          <w:sz w:val="24"/>
        </w:rPr>
        <w:t xml:space="preserve">Институциите използват следните указания за оповестяването на информацията, изисквана в Образец 4: Банков портфейл — Показатели за потенциален риск от прехода във връзка с изменението на климата: Експозиции към 20-те дружества с най-висок въглероден интензитет“, както е посочено в приложение XXXIX към настоящия регламент. </w:t>
      </w:r>
    </w:p>
    <w:p w14:paraId="4CC7A201" w14:textId="73CFD923" w:rsidR="005C5C4D" w:rsidRPr="001C19A0" w:rsidRDefault="00060FFB" w:rsidP="00BD7C6D">
      <w:pPr>
        <w:pStyle w:val="ListParagraph"/>
        <w:numPr>
          <w:ilvl w:val="0"/>
          <w:numId w:val="19"/>
        </w:numPr>
        <w:tabs>
          <w:tab w:val="left" w:pos="567"/>
        </w:tabs>
        <w:spacing w:before="120" w:after="120"/>
        <w:ind w:left="0" w:firstLine="0"/>
        <w:jc w:val="both"/>
        <w:rPr>
          <w:rFonts w:asciiTheme="majorBidi" w:hAnsiTheme="majorBidi" w:cstheme="majorBidi"/>
          <w:bCs/>
          <w:noProof/>
          <w:sz w:val="24"/>
        </w:rPr>
      </w:pPr>
      <w:r w:rsidRPr="001C19A0">
        <w:rPr>
          <w:rFonts w:asciiTheme="majorBidi" w:hAnsiTheme="majorBidi" w:cstheme="majorBidi"/>
          <w:noProof/>
          <w:sz w:val="24"/>
        </w:rPr>
        <w:t>В настоящия образец институциите оповестяват агрегирана информация за експозициите към контрагентите с най-висок въглероден интензитет в световен мащаб. Те включват агрегирана и анонимизирана информация за брутната балансова стойност на експозициите към максимум 20 контрагенти, които са сред 20-те дружества с най-висок въглероден интензитет в света. Информацията се основава на публично достъпна и точна информация от надежден източник. Сред примерите за източници на данни за определяне на дружествата с най-висок въглероден интензитет са базата данни за дружествата с най-високи въглеродни емисии (</w:t>
      </w:r>
      <w:r w:rsidRPr="001C19A0">
        <w:rPr>
          <w:rFonts w:asciiTheme="majorBidi" w:hAnsiTheme="majorBidi" w:cstheme="majorBidi"/>
          <w:i/>
          <w:noProof/>
          <w:sz w:val="24"/>
        </w:rPr>
        <w:t>Carbon Majors Database</w:t>
      </w:r>
      <w:r w:rsidRPr="001C19A0">
        <w:rPr>
          <w:rFonts w:asciiTheme="majorBidi" w:hAnsiTheme="majorBidi" w:cstheme="majorBidi"/>
          <w:noProof/>
          <w:sz w:val="24"/>
        </w:rPr>
        <w:t xml:space="preserve">) и докладите по Проекта за оповестяване на информация за въглеродните емисии и Института за отчетност в областта на климата, както и </w:t>
      </w:r>
      <w:r w:rsidRPr="001C19A0">
        <w:rPr>
          <w:rFonts w:asciiTheme="majorBidi" w:hAnsiTheme="majorBidi" w:cstheme="majorBidi"/>
          <w:i/>
          <w:noProof/>
          <w:sz w:val="24"/>
        </w:rPr>
        <w:t>Thomson Reuters</w:t>
      </w:r>
      <w:r w:rsidRPr="001C19A0">
        <w:rPr>
          <w:rFonts w:asciiTheme="majorBidi" w:hAnsiTheme="majorBidi" w:cstheme="majorBidi"/>
          <w:noProof/>
          <w:sz w:val="24"/>
        </w:rPr>
        <w:t>.</w:t>
      </w:r>
    </w:p>
    <w:p w14:paraId="219ED269" w14:textId="41A2D2A5" w:rsidR="0076092D" w:rsidRPr="001C19A0" w:rsidRDefault="00C5464C" w:rsidP="00BD7C6D">
      <w:pPr>
        <w:pStyle w:val="ListParagraph"/>
        <w:numPr>
          <w:ilvl w:val="0"/>
          <w:numId w:val="19"/>
        </w:numPr>
        <w:tabs>
          <w:tab w:val="left" w:pos="567"/>
        </w:tabs>
        <w:spacing w:before="120" w:after="120"/>
        <w:ind w:left="0" w:firstLine="0"/>
        <w:jc w:val="both"/>
        <w:rPr>
          <w:rFonts w:asciiTheme="majorBidi" w:hAnsiTheme="majorBidi" w:cstheme="majorBidi"/>
          <w:bCs/>
          <w:noProof/>
          <w:sz w:val="24"/>
        </w:rPr>
      </w:pPr>
      <w:r w:rsidRPr="001C19A0">
        <w:rPr>
          <w:rFonts w:asciiTheme="majorBidi" w:hAnsiTheme="majorBidi" w:cstheme="majorBidi"/>
          <w:noProof/>
          <w:sz w:val="24"/>
        </w:rPr>
        <w:t xml:space="preserve">В описанието, придружаващо оповестяваните данни, институциите оповестяват използвания източник на данните. Когато институциите не са в състояние да установят експозиции към 20-те дружества с най-висок въглероден интензитет в световен мащаб, те обясняват защо не са посочили такива експозиции, включително в случай че нямат експозиции към 20-те дружества с най-висок въглероден интензитет в световен мащаб. </w:t>
      </w:r>
    </w:p>
    <w:p w14:paraId="64FADC03" w14:textId="77777777" w:rsidR="0076092D" w:rsidRPr="001C19A0" w:rsidRDefault="0076092D" w:rsidP="001A08A2">
      <w:pPr>
        <w:jc w:val="both"/>
        <w:rPr>
          <w:rFonts w:asciiTheme="majorBidi" w:hAnsiTheme="majorBidi" w:cstheme="majorBidi"/>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1C19A0" w14:paraId="3F76F8E0" w14:textId="77777777" w:rsidTr="0076092D">
        <w:trPr>
          <w:trHeight w:val="238"/>
        </w:trPr>
        <w:tc>
          <w:tcPr>
            <w:tcW w:w="323" w:type="pct"/>
            <w:shd w:val="clear" w:color="auto" w:fill="D9D9D9" w:themeFill="background1" w:themeFillShade="D9"/>
          </w:tcPr>
          <w:p w14:paraId="06D73F14" w14:textId="77777777" w:rsidR="0076092D" w:rsidRPr="001C19A0" w:rsidRDefault="0076092D" w:rsidP="001A08A2">
            <w:pPr>
              <w:autoSpaceDE w:val="0"/>
              <w:autoSpaceDN w:val="0"/>
              <w:adjustRightInd w:val="0"/>
              <w:jc w:val="both"/>
              <w:rPr>
                <w:rFonts w:asciiTheme="majorBidi" w:hAnsiTheme="majorBidi" w:cstheme="majorBidi"/>
                <w:noProof/>
                <w:sz w:val="24"/>
              </w:rPr>
            </w:pPr>
          </w:p>
        </w:tc>
        <w:tc>
          <w:tcPr>
            <w:tcW w:w="1020" w:type="pct"/>
            <w:shd w:val="clear" w:color="auto" w:fill="D9D9D9" w:themeFill="background1" w:themeFillShade="D9"/>
          </w:tcPr>
          <w:p w14:paraId="0A9B8988" w14:textId="77777777" w:rsidR="0076092D" w:rsidRPr="001C19A0" w:rsidRDefault="0076092D"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 xml:space="preserve">Колона </w:t>
            </w:r>
          </w:p>
        </w:tc>
        <w:tc>
          <w:tcPr>
            <w:tcW w:w="3657" w:type="pct"/>
            <w:shd w:val="clear" w:color="auto" w:fill="D9D9D9" w:themeFill="background1" w:themeFillShade="D9"/>
          </w:tcPr>
          <w:p w14:paraId="0BF7E0C7" w14:textId="77777777" w:rsidR="0076092D" w:rsidRPr="001C19A0" w:rsidRDefault="0076092D" w:rsidP="001A08A2">
            <w:pPr>
              <w:autoSpaceDE w:val="0"/>
              <w:autoSpaceDN w:val="0"/>
              <w:adjustRightInd w:val="0"/>
              <w:jc w:val="both"/>
              <w:rPr>
                <w:rFonts w:asciiTheme="majorBidi" w:hAnsiTheme="majorBidi" w:cstheme="majorBidi"/>
                <w:noProof/>
                <w:color w:val="000000"/>
                <w:sz w:val="24"/>
              </w:rPr>
            </w:pPr>
            <w:r w:rsidRPr="001C19A0">
              <w:rPr>
                <w:rFonts w:asciiTheme="majorBidi" w:hAnsiTheme="majorBidi" w:cstheme="majorBidi"/>
                <w:noProof/>
                <w:sz w:val="24"/>
              </w:rPr>
              <w:t>Указания</w:t>
            </w:r>
          </w:p>
        </w:tc>
      </w:tr>
      <w:tr w:rsidR="0076092D" w:rsidRPr="001C19A0" w14:paraId="3DEDFD87" w14:textId="77777777" w:rsidTr="0076092D">
        <w:trPr>
          <w:trHeight w:val="316"/>
        </w:trPr>
        <w:tc>
          <w:tcPr>
            <w:tcW w:w="323" w:type="pct"/>
          </w:tcPr>
          <w:p w14:paraId="52368742" w14:textId="77777777" w:rsidR="0076092D" w:rsidRPr="001C19A0" w:rsidRDefault="00802DD9" w:rsidP="001A08A2">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а</w:t>
            </w:r>
          </w:p>
        </w:tc>
        <w:tc>
          <w:tcPr>
            <w:tcW w:w="1020" w:type="pct"/>
          </w:tcPr>
          <w:p w14:paraId="10EFDFAC" w14:textId="77777777" w:rsidR="0076092D" w:rsidRPr="001C19A0" w:rsidRDefault="0076092D" w:rsidP="001A08A2">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Брутна балансова стойност (агрегирана)</w:t>
            </w:r>
          </w:p>
        </w:tc>
        <w:tc>
          <w:tcPr>
            <w:tcW w:w="3657" w:type="pct"/>
          </w:tcPr>
          <w:p w14:paraId="5D648427" w14:textId="6FFD2A98" w:rsidR="00E87225" w:rsidRPr="001C19A0" w:rsidRDefault="00E87225"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Брутната балансова стойност има значението, посочено в част 1 от приложение V към Регламент за изпълнение (ЕС) 2021/451. Тя включва кредити и аванси, дългови ценни книжа и капиталови инструменти, класифицирани в счетоводните портфейли в банковия портфейл съгласно посочения регламент за изпълнение, с изключение на финансовите активи, държани за търгуване, и активите, държани за продажба. </w:t>
            </w:r>
          </w:p>
          <w:p w14:paraId="742EAE9F" w14:textId="77777777" w:rsidR="0076092D" w:rsidRPr="001C19A0" w:rsidRDefault="00E87225" w:rsidP="00D35812">
            <w:pPr>
              <w:spacing w:before="120" w:after="120"/>
              <w:jc w:val="both"/>
              <w:rPr>
                <w:rFonts w:asciiTheme="majorBidi" w:hAnsiTheme="majorBidi" w:cstheme="majorBidi"/>
                <w:bCs/>
                <w:noProof/>
                <w:sz w:val="24"/>
              </w:rPr>
            </w:pPr>
            <w:r w:rsidRPr="001C19A0">
              <w:rPr>
                <w:rFonts w:asciiTheme="majorBidi" w:hAnsiTheme="majorBidi" w:cstheme="majorBidi"/>
                <w:noProof/>
                <w:sz w:val="24"/>
              </w:rPr>
              <w:t>Институциите включват агрегираните експозиции към максимум 20 контрагента на институцията, които са сред 20-те дружества с най-висок въглероден интензитет в световен мащаб.</w:t>
            </w:r>
          </w:p>
        </w:tc>
      </w:tr>
      <w:tr w:rsidR="0076092D" w:rsidRPr="001C19A0" w14:paraId="0F0D7B61" w14:textId="77777777" w:rsidTr="0076092D">
        <w:trPr>
          <w:trHeight w:val="316"/>
        </w:trPr>
        <w:tc>
          <w:tcPr>
            <w:tcW w:w="323" w:type="pct"/>
          </w:tcPr>
          <w:p w14:paraId="6E23EFF1" w14:textId="77777777" w:rsidR="0076092D" w:rsidRPr="001C19A0" w:rsidRDefault="00802DD9"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б</w:t>
            </w:r>
          </w:p>
        </w:tc>
        <w:tc>
          <w:tcPr>
            <w:tcW w:w="1020" w:type="pct"/>
          </w:tcPr>
          <w:p w14:paraId="73B8F0D3" w14:textId="77777777" w:rsidR="0076092D" w:rsidRPr="001C19A0" w:rsidRDefault="0076092D"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Брутна балансова стойност към дружеството в сравнение с общата брутна балансова стойност (агрегирана)</w:t>
            </w:r>
          </w:p>
        </w:tc>
        <w:tc>
          <w:tcPr>
            <w:tcW w:w="3657" w:type="pct"/>
          </w:tcPr>
          <w:p w14:paraId="18FBCDA9" w14:textId="6CC8AD48" w:rsidR="0076092D" w:rsidRPr="001C19A0" w:rsidRDefault="002404A4" w:rsidP="00292EF5">
            <w:pPr>
              <w:autoSpaceDE w:val="0"/>
              <w:autoSpaceDN w:val="0"/>
              <w:adjustRightInd w:val="0"/>
              <w:spacing w:before="120" w:after="120"/>
              <w:jc w:val="both"/>
              <w:rPr>
                <w:rFonts w:asciiTheme="majorBidi" w:hAnsiTheme="majorBidi" w:cstheme="majorBidi"/>
                <w:bCs/>
                <w:noProof/>
                <w:sz w:val="24"/>
              </w:rPr>
            </w:pPr>
            <w:r w:rsidRPr="001C19A0">
              <w:rPr>
                <w:rFonts w:asciiTheme="majorBidi" w:hAnsiTheme="majorBidi" w:cstheme="majorBidi"/>
                <w:noProof/>
                <w:sz w:val="24"/>
              </w:rPr>
              <w:t>Институциите оповестяват процента, получен от агрегираната брутна балансова стойност, посочена в колона а), разделена на общата брутна балансова стойност на експозициите на институциите в банковия портфейл, както е посочено в част 1 от приложение V към Регламент за изпълнение (ЕС) 2021/451, включително кредитите и авансите, дълговите ценни книжа и капиталовите инструменти в банковия портфейл,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 активите, държани за продажба.</w:t>
            </w:r>
          </w:p>
        </w:tc>
      </w:tr>
      <w:tr w:rsidR="00C37612" w:rsidRPr="001C19A0" w14:paraId="6607ABC1" w14:textId="77777777" w:rsidTr="00FA28C2">
        <w:trPr>
          <w:trHeight w:val="316"/>
        </w:trPr>
        <w:tc>
          <w:tcPr>
            <w:tcW w:w="323" w:type="pct"/>
          </w:tcPr>
          <w:p w14:paraId="1342E772" w14:textId="77777777" w:rsidR="00C37612" w:rsidRPr="001C19A0" w:rsidRDefault="00802DD9"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в</w:t>
            </w:r>
          </w:p>
          <w:p w14:paraId="08B5C487" w14:textId="77777777" w:rsidR="00C37612" w:rsidRPr="001C19A0" w:rsidRDefault="00C37612" w:rsidP="001A08A2">
            <w:pPr>
              <w:jc w:val="both"/>
              <w:rPr>
                <w:rFonts w:asciiTheme="majorBidi" w:hAnsiTheme="majorBidi" w:cstheme="majorBidi"/>
                <w:noProof/>
                <w:sz w:val="24"/>
                <w:lang w:val="en-GB"/>
              </w:rPr>
            </w:pPr>
          </w:p>
        </w:tc>
        <w:tc>
          <w:tcPr>
            <w:tcW w:w="1020" w:type="pct"/>
          </w:tcPr>
          <w:p w14:paraId="404126CA" w14:textId="77777777" w:rsidR="00C37612" w:rsidRPr="001C19A0" w:rsidRDefault="00C37612" w:rsidP="00A04A43">
            <w:pPr>
              <w:autoSpaceDE w:val="0"/>
              <w:autoSpaceDN w:val="0"/>
              <w:adjustRightInd w:val="0"/>
              <w:rPr>
                <w:rFonts w:asciiTheme="majorBidi" w:hAnsiTheme="majorBidi" w:cstheme="majorBidi"/>
                <w:noProof/>
                <w:sz w:val="24"/>
              </w:rPr>
            </w:pPr>
            <w:r w:rsidRPr="001C19A0">
              <w:rPr>
                <w:rFonts w:asciiTheme="majorBidi" w:hAnsiTheme="majorBidi" w:cstheme="majorBidi"/>
                <w:noProof/>
                <w:sz w:val="24"/>
              </w:rPr>
              <w:t>В т.ч. екологично устойчиви</w:t>
            </w:r>
          </w:p>
        </w:tc>
        <w:tc>
          <w:tcPr>
            <w:tcW w:w="3657" w:type="pct"/>
          </w:tcPr>
          <w:p w14:paraId="1E79F29E" w14:textId="1F48E35D" w:rsidR="00C37612" w:rsidRPr="001C19A0" w:rsidRDefault="002404A4" w:rsidP="001A08A2">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агрегираната обща брутна балансова стойност на екологично устойчивите експозиции, допринасящи за постигането на целта за смекчаване на изменението на климата. По отношение на кредитирането със специална цел тази сума се основава на целта на финансираната дейност, а по отношение на целта за смекчаване на изменението на климата (% от оборота, допринасящ съществено за смекчаването на изменението на климата) — на информацията от контрагента относно степента на съобразяване на неговите икономически дейности с Регламент (ЕС) 2020/852. </w:t>
            </w:r>
          </w:p>
          <w:p w14:paraId="475D6C11" w14:textId="24A4CF91" w:rsidR="009762F5" w:rsidRPr="001C19A0" w:rsidRDefault="009762F5" w:rsidP="002A2C5B">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започват да оповестяват тази информация с първа референтна дата на оповестяване 31 декември 2023 г.</w:t>
            </w:r>
          </w:p>
        </w:tc>
      </w:tr>
      <w:tr w:rsidR="00802DD9" w:rsidRPr="001C19A0" w14:paraId="7EEC8DEE" w14:textId="77777777" w:rsidTr="00FA28C2">
        <w:trPr>
          <w:trHeight w:val="316"/>
        </w:trPr>
        <w:tc>
          <w:tcPr>
            <w:tcW w:w="323" w:type="pct"/>
          </w:tcPr>
          <w:p w14:paraId="4F54F450" w14:textId="77777777" w:rsidR="00802DD9" w:rsidRPr="001C19A0" w:rsidRDefault="00802DD9"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г</w:t>
            </w:r>
          </w:p>
        </w:tc>
        <w:tc>
          <w:tcPr>
            <w:tcW w:w="1020" w:type="pct"/>
          </w:tcPr>
          <w:p w14:paraId="092D7BCE" w14:textId="77777777" w:rsidR="00802DD9" w:rsidRPr="001C19A0" w:rsidRDefault="00802DD9"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Среден срок до падежа</w:t>
            </w:r>
          </w:p>
        </w:tc>
        <w:tc>
          <w:tcPr>
            <w:tcW w:w="3657" w:type="pct"/>
          </w:tcPr>
          <w:p w14:paraId="30F3400A" w14:textId="61BBABCA" w:rsidR="00802DD9" w:rsidRPr="001C19A0" w:rsidRDefault="002404A4" w:rsidP="00274BFD">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средния срок до падежа на експозициите, взети предвид при изчисляването, претеглен с брутната балансова стойност на експозицията.</w:t>
            </w:r>
          </w:p>
        </w:tc>
      </w:tr>
      <w:tr w:rsidR="0076092D" w:rsidRPr="001C19A0" w14:paraId="1AD4A66F" w14:textId="77777777" w:rsidTr="0076092D">
        <w:trPr>
          <w:trHeight w:val="316"/>
        </w:trPr>
        <w:tc>
          <w:tcPr>
            <w:tcW w:w="323" w:type="pct"/>
          </w:tcPr>
          <w:p w14:paraId="540DDC8B" w14:textId="77777777" w:rsidR="0076092D" w:rsidRPr="001C19A0" w:rsidRDefault="00802DD9" w:rsidP="001A08A2">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д</w:t>
            </w:r>
          </w:p>
          <w:p w14:paraId="32D2AEB7" w14:textId="77777777" w:rsidR="0076092D" w:rsidRPr="001C19A0" w:rsidRDefault="0076092D" w:rsidP="001A08A2">
            <w:pPr>
              <w:jc w:val="both"/>
              <w:rPr>
                <w:rFonts w:asciiTheme="majorBidi" w:hAnsiTheme="majorBidi" w:cstheme="majorBidi"/>
                <w:noProof/>
                <w:sz w:val="24"/>
                <w:lang w:val="en-GB"/>
              </w:rPr>
            </w:pPr>
          </w:p>
        </w:tc>
        <w:tc>
          <w:tcPr>
            <w:tcW w:w="1020" w:type="pct"/>
          </w:tcPr>
          <w:p w14:paraId="578583BC" w14:textId="77777777" w:rsidR="0076092D" w:rsidRPr="001C19A0" w:rsidRDefault="00802DD9" w:rsidP="00A04A43">
            <w:pPr>
              <w:autoSpaceDE w:val="0"/>
              <w:autoSpaceDN w:val="0"/>
              <w:adjustRightInd w:val="0"/>
              <w:rPr>
                <w:rFonts w:asciiTheme="majorBidi" w:hAnsiTheme="majorBidi" w:cstheme="majorBidi"/>
                <w:noProof/>
                <w:sz w:val="24"/>
              </w:rPr>
            </w:pPr>
            <w:r w:rsidRPr="001C19A0">
              <w:rPr>
                <w:rFonts w:asciiTheme="majorBidi" w:hAnsiTheme="majorBidi" w:cstheme="majorBidi"/>
                <w:noProof/>
                <w:sz w:val="24"/>
              </w:rPr>
              <w:t>Брой на включените 20 предприятия, причиняващи най-голямо замърсяване</w:t>
            </w:r>
          </w:p>
        </w:tc>
        <w:tc>
          <w:tcPr>
            <w:tcW w:w="3657" w:type="pct"/>
          </w:tcPr>
          <w:p w14:paraId="381BBAA9" w14:textId="77BA5479" w:rsidR="0076092D" w:rsidRPr="001C19A0" w:rsidRDefault="00A84165" w:rsidP="00274BFD">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посочват броя на дружествата, причиняващи най-голямо замърсяване, включени в изчислението на агрегираната брутна балансова стойност.</w:t>
            </w:r>
          </w:p>
        </w:tc>
      </w:tr>
    </w:tbl>
    <w:p w14:paraId="6B01BD46" w14:textId="77777777" w:rsidR="00E42249" w:rsidRPr="001C19A0" w:rsidRDefault="00E42249" w:rsidP="00D35812">
      <w:pPr>
        <w:spacing w:before="120" w:after="120"/>
        <w:jc w:val="both"/>
        <w:rPr>
          <w:rFonts w:asciiTheme="majorBidi" w:hAnsiTheme="majorBidi" w:cstheme="majorBidi"/>
          <w:b/>
          <w:noProof/>
          <w:sz w:val="24"/>
        </w:rPr>
      </w:pPr>
    </w:p>
    <w:p w14:paraId="3CC7152D" w14:textId="42479BF8" w:rsidR="00E01673" w:rsidRPr="001C19A0" w:rsidRDefault="00E01673" w:rsidP="00D35812">
      <w:pPr>
        <w:spacing w:before="120" w:after="120"/>
        <w:jc w:val="both"/>
        <w:rPr>
          <w:rFonts w:asciiTheme="majorBidi" w:hAnsiTheme="majorBidi" w:cstheme="majorBidi"/>
          <w:b/>
          <w:noProof/>
          <w:sz w:val="24"/>
        </w:rPr>
      </w:pPr>
      <w:r w:rsidRPr="001C19A0">
        <w:rPr>
          <w:rFonts w:asciiTheme="majorBidi" w:hAnsiTheme="majorBidi" w:cstheme="majorBidi"/>
          <w:b/>
          <w:noProof/>
          <w:sz w:val="24"/>
        </w:rPr>
        <w:t>Образец 5 — Банков портфейл — Показатели за потенциален физически риск, свързан с изменението на климата: експозиции, изложени на физически риск.</w:t>
      </w:r>
      <w:r w:rsidRPr="001C19A0">
        <w:rPr>
          <w:rFonts w:asciiTheme="majorBidi" w:hAnsiTheme="majorBidi" w:cstheme="majorBidi"/>
          <w:noProof/>
          <w:sz w:val="24"/>
        </w:rPr>
        <w:t xml:space="preserve"> Зададен формат.</w:t>
      </w:r>
    </w:p>
    <w:p w14:paraId="3C8424CF" w14:textId="40E510ED" w:rsidR="00074B2C" w:rsidRPr="001C19A0" w:rsidRDefault="00074B2C" w:rsidP="00BD7C6D">
      <w:pPr>
        <w:pStyle w:val="ListParagraph"/>
        <w:numPr>
          <w:ilvl w:val="0"/>
          <w:numId w:val="20"/>
        </w:numPr>
        <w:tabs>
          <w:tab w:val="left" w:pos="567"/>
        </w:tabs>
        <w:spacing w:before="120" w:after="120"/>
        <w:ind w:left="0" w:firstLine="0"/>
        <w:jc w:val="both"/>
        <w:rPr>
          <w:rFonts w:asciiTheme="majorBidi" w:eastAsiaTheme="minorEastAsia" w:hAnsiTheme="majorBidi" w:cstheme="majorBidi"/>
          <w:noProof/>
          <w:sz w:val="24"/>
          <w:szCs w:val="24"/>
        </w:rPr>
      </w:pPr>
      <w:r w:rsidRPr="001C19A0">
        <w:rPr>
          <w:rFonts w:asciiTheme="majorBidi" w:hAnsiTheme="majorBidi" w:cstheme="majorBidi"/>
          <w:noProof/>
          <w:sz w:val="24"/>
        </w:rPr>
        <w:t xml:space="preserve">Институциите използват следните указания за оповестяването на информацията, изисквана в Образец 5: „Банков портфейл — Показатели за потенциален физически риск, свързан с изменението на климата: експозиции, изложени на физически риск“, както е посочено в приложение XXXIX към настоящия регламент. </w:t>
      </w:r>
    </w:p>
    <w:p w14:paraId="3484DB49" w14:textId="29A4A896" w:rsidR="001F0DD9" w:rsidRPr="001C19A0" w:rsidRDefault="001F0DD9" w:rsidP="00BD7C6D">
      <w:pPr>
        <w:pStyle w:val="ListParagraph"/>
        <w:numPr>
          <w:ilvl w:val="0"/>
          <w:numId w:val="20"/>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 настоящия образец институциите включват информация за експозициите в банковия портфейл, включително кредити и аванси, дългови ценни книжа и капиталови инструменти, които не са държани за търгуване и за продажба, към нефинансови предприятия, за кредитите, обезпечени с недвижими имоти, и за усвоените обезпечения, предоставени във вид на недвижими имоти, изложени на хронични и остри рискове, свързани с климата, разпределени по сектори на икономическа дейност (класификация NACE) и по географско местоположение на дейността на контрагента или на обезпечението, за секторите и географските райони, изложени на остри и хронични явления, свързани с изменението на климата.</w:t>
      </w:r>
    </w:p>
    <w:p w14:paraId="67DD614D" w14:textId="30127CA7" w:rsidR="001F0DD9" w:rsidRPr="001C19A0" w:rsidRDefault="001F0DD9" w:rsidP="00BD7C6D">
      <w:pPr>
        <w:pStyle w:val="ListParagraph"/>
        <w:numPr>
          <w:ilvl w:val="0"/>
          <w:numId w:val="20"/>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използват специални портали и бази данни за определяне на географските райони, които са податливи на специфични рискове, свързани с климата. За да получат информация относно характеристиките на местата, чувствителни към явления, свързани с изменението на климата, институциите могат да използват данните, предоставени от органите на Съюза и от националните правителствени органи, включително метеорологични, екологични, статистически агенции или геонаучни организации. Примери за източници на данни с оглед установяването на географските райони, изложени на рискове, свързани с изменението на климата</w:t>
      </w:r>
      <w:r w:rsidRPr="001C19A0">
        <w:rPr>
          <w:rFonts w:asciiTheme="majorBidi" w:hAnsiTheme="majorBidi" w:cstheme="majorBidi"/>
          <w:noProof/>
          <w:sz w:val="24"/>
          <w:vertAlign w:val="superscript"/>
        </w:rPr>
        <w:t>*20</w:t>
      </w:r>
      <w:r w:rsidRPr="001C19A0">
        <w:rPr>
          <w:rFonts w:asciiTheme="majorBidi" w:hAnsiTheme="majorBidi" w:cstheme="majorBidi"/>
          <w:noProof/>
          <w:sz w:val="24"/>
        </w:rPr>
        <w:t>: Глобален инструмент за ограничаване на бедствията и възстановяване (</w:t>
      </w:r>
      <w:r w:rsidRPr="001C19A0">
        <w:rPr>
          <w:rFonts w:asciiTheme="majorBidi" w:hAnsiTheme="majorBidi" w:cstheme="majorBidi"/>
          <w:i/>
          <w:noProof/>
          <w:sz w:val="24"/>
        </w:rPr>
        <w:t>GFDRR</w:t>
      </w:r>
      <w:r w:rsidRPr="001C19A0">
        <w:rPr>
          <w:rFonts w:asciiTheme="majorBidi" w:hAnsiTheme="majorBidi" w:cstheme="majorBidi"/>
          <w:noProof/>
          <w:sz w:val="24"/>
        </w:rPr>
        <w:t xml:space="preserve">) — </w:t>
      </w:r>
      <w:r w:rsidRPr="001C19A0">
        <w:rPr>
          <w:rFonts w:asciiTheme="majorBidi" w:hAnsiTheme="majorBidi" w:cstheme="majorBidi"/>
          <w:i/>
          <w:noProof/>
          <w:sz w:val="24"/>
        </w:rPr>
        <w:t>ThinkHazard</w:t>
      </w:r>
      <w:r w:rsidRPr="001C19A0">
        <w:rPr>
          <w:rFonts w:asciiTheme="majorBidi" w:hAnsiTheme="majorBidi" w:cstheme="majorBidi"/>
          <w:noProof/>
          <w:sz w:val="24"/>
        </w:rPr>
        <w:t>! (обхваща горещини, недостиг на вода и воден стрес, наводнения, горски пожари, урагани, свлачища); Партньорство за устойчивост и подготвеност (</w:t>
      </w:r>
      <w:r w:rsidRPr="001C19A0">
        <w:rPr>
          <w:rFonts w:asciiTheme="majorBidi" w:hAnsiTheme="majorBidi" w:cstheme="majorBidi"/>
          <w:i/>
          <w:noProof/>
          <w:sz w:val="24"/>
        </w:rPr>
        <w:t>PREP)</w:t>
      </w:r>
      <w:r w:rsidRPr="001C19A0">
        <w:rPr>
          <w:rFonts w:asciiTheme="majorBidi" w:hAnsiTheme="majorBidi" w:cstheme="majorBidi"/>
          <w:noProof/>
          <w:sz w:val="24"/>
        </w:rPr>
        <w:t xml:space="preserve"> — </w:t>
      </w:r>
      <w:r w:rsidRPr="001C19A0">
        <w:rPr>
          <w:rFonts w:asciiTheme="majorBidi" w:hAnsiTheme="majorBidi" w:cstheme="majorBidi"/>
          <w:i/>
          <w:noProof/>
          <w:sz w:val="24"/>
        </w:rPr>
        <w:t>PREPdata</w:t>
      </w:r>
      <w:r w:rsidRPr="001C19A0">
        <w:rPr>
          <w:rFonts w:asciiTheme="majorBidi" w:hAnsiTheme="majorBidi" w:cstheme="majorBidi"/>
          <w:noProof/>
          <w:sz w:val="24"/>
        </w:rPr>
        <w:t xml:space="preserve"> (крайбрежни наводнения, екстремни горещини, свлачища, недостиг на вода и воден  стрес, горски пожари); Институт по световните ресурси (</w:t>
      </w:r>
      <w:r w:rsidRPr="001C19A0">
        <w:rPr>
          <w:rFonts w:asciiTheme="majorBidi" w:hAnsiTheme="majorBidi" w:cstheme="majorBidi"/>
          <w:i/>
          <w:iCs/>
          <w:noProof/>
          <w:sz w:val="24"/>
        </w:rPr>
        <w:t>WRI</w:t>
      </w:r>
      <w:r w:rsidRPr="001C19A0">
        <w:rPr>
          <w:rFonts w:asciiTheme="majorBidi" w:hAnsiTheme="majorBidi" w:cstheme="majorBidi"/>
          <w:noProof/>
          <w:sz w:val="24"/>
        </w:rPr>
        <w:t xml:space="preserve">) — Атлас на водния риск </w:t>
      </w:r>
      <w:r w:rsidRPr="001C19A0">
        <w:rPr>
          <w:rFonts w:asciiTheme="majorBidi" w:hAnsiTheme="majorBidi" w:cstheme="majorBidi"/>
          <w:i/>
          <w:iCs/>
          <w:noProof/>
          <w:sz w:val="24"/>
        </w:rPr>
        <w:t>Aqueduct</w:t>
      </w:r>
      <w:r w:rsidRPr="001C19A0">
        <w:rPr>
          <w:rFonts w:asciiTheme="majorBidi" w:hAnsiTheme="majorBidi" w:cstheme="majorBidi"/>
          <w:noProof/>
          <w:sz w:val="24"/>
        </w:rPr>
        <w:t xml:space="preserve"> (наводнения, крайбрежни наводнения, недостиг на вода и воден стрес); Презастрахователно дружество </w:t>
      </w:r>
      <w:r w:rsidRPr="001C19A0">
        <w:rPr>
          <w:rFonts w:asciiTheme="majorBidi" w:hAnsiTheme="majorBidi" w:cstheme="majorBidi"/>
          <w:i/>
          <w:iCs/>
          <w:noProof/>
          <w:sz w:val="24"/>
        </w:rPr>
        <w:t>Swiss Re</w:t>
      </w:r>
      <w:r w:rsidRPr="001C19A0">
        <w:rPr>
          <w:rFonts w:asciiTheme="majorBidi" w:hAnsiTheme="majorBidi" w:cstheme="majorBidi"/>
          <w:noProof/>
          <w:sz w:val="24"/>
        </w:rPr>
        <w:t xml:space="preserve"> — </w:t>
      </w:r>
      <w:r w:rsidRPr="001C19A0">
        <w:rPr>
          <w:rFonts w:asciiTheme="majorBidi" w:hAnsiTheme="majorBidi" w:cstheme="majorBidi"/>
          <w:i/>
          <w:iCs/>
          <w:noProof/>
          <w:sz w:val="24"/>
        </w:rPr>
        <w:t>CatNet</w:t>
      </w:r>
      <w:r w:rsidRPr="001C19A0">
        <w:rPr>
          <w:rFonts w:asciiTheme="majorBidi" w:hAnsiTheme="majorBidi" w:cstheme="majorBidi"/>
          <w:noProof/>
          <w:sz w:val="24"/>
        </w:rPr>
        <w:t xml:space="preserve">® (наводнения, тропически циклони (урагани и тайфуни), горски пожари); Световна банка — Портал за знания в областта на изменението на климата (екстремни горещини, екстремни валежи, суши); </w:t>
      </w:r>
      <w:r w:rsidRPr="001C19A0">
        <w:rPr>
          <w:rFonts w:asciiTheme="majorBidi" w:hAnsiTheme="majorBidi" w:cstheme="majorBidi"/>
          <w:i/>
          <w:noProof/>
          <w:sz w:val="24"/>
        </w:rPr>
        <w:t>Princeton Climate Analytics</w:t>
      </w:r>
      <w:r w:rsidRPr="001C19A0">
        <w:rPr>
          <w:rFonts w:asciiTheme="majorBidi" w:hAnsiTheme="majorBidi" w:cstheme="majorBidi"/>
          <w:noProof/>
          <w:sz w:val="24"/>
        </w:rPr>
        <w:t xml:space="preserve"> — Глобална платформа за риска от суша (суши); Национална администрация за океаните и атмосферата (</w:t>
      </w:r>
      <w:r w:rsidRPr="001C19A0">
        <w:rPr>
          <w:rFonts w:asciiTheme="majorBidi" w:hAnsiTheme="majorBidi" w:cstheme="majorBidi"/>
          <w:i/>
          <w:noProof/>
          <w:sz w:val="24"/>
        </w:rPr>
        <w:t>NOAA</w:t>
      </w:r>
      <w:r w:rsidRPr="001C19A0">
        <w:rPr>
          <w:rFonts w:asciiTheme="majorBidi" w:hAnsiTheme="majorBidi" w:cstheme="majorBidi"/>
          <w:noProof/>
          <w:sz w:val="24"/>
        </w:rPr>
        <w:t xml:space="preserve">) — Исторически криви на ураганите (тропически циклони (урагани и тайфуни). </w:t>
      </w:r>
    </w:p>
    <w:p w14:paraId="32EAA263" w14:textId="0842E8C6" w:rsidR="00C30D42" w:rsidRPr="001C19A0" w:rsidRDefault="00D63D89" w:rsidP="00BD7C6D">
      <w:pPr>
        <w:pStyle w:val="ListParagraph"/>
        <w:numPr>
          <w:ilvl w:val="0"/>
          <w:numId w:val="20"/>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Когато контрагентът е холдингово дружество, институциите вземат предвид сектора по NACE на конкретния длъжник, контролиран от холдинговото дружество (ако е различен от холдинговото дружество), който получава финансирането, особено в случаите, когато длъжникът е нефинансово предприятие. Аналогично, когато прекият контрагент на институцията (длъжникът) е дружество със специална цел, институциите оповестяват съответната информация за сектора по NACE, свързан с икономическата дейност на дружеството — майка на дружеството със специална цел. Класифицирането на съвместните експозиции към няколко длъжници се извършва въз основа на характеристиките на длъжника, който е бил от най-голямо значение за решението на институцията да разреши експозицията. Разпределението на съвместно поетите експозиции по кодове по NACE се определя от характеристиките на длъжника, който има по-голямо значение или е определящ. </w:t>
      </w:r>
    </w:p>
    <w:p w14:paraId="6E647A84" w14:textId="72E4B788" w:rsidR="0056144E" w:rsidRPr="001C19A0" w:rsidRDefault="001F0DD9" w:rsidP="00BD7C6D">
      <w:pPr>
        <w:pStyle w:val="ListParagraph"/>
        <w:numPr>
          <w:ilvl w:val="0"/>
          <w:numId w:val="20"/>
        </w:numPr>
        <w:tabs>
          <w:tab w:val="left" w:pos="567"/>
        </w:tabs>
        <w:spacing w:before="120" w:after="120"/>
        <w:ind w:left="0" w:firstLine="0"/>
        <w:jc w:val="both"/>
        <w:rPr>
          <w:rFonts w:asciiTheme="majorBidi" w:hAnsiTheme="majorBidi" w:cstheme="majorBidi"/>
          <w:i/>
          <w:noProof/>
          <w:sz w:val="24"/>
        </w:rPr>
      </w:pPr>
      <w:r w:rsidRPr="001C19A0">
        <w:rPr>
          <w:rFonts w:asciiTheme="majorBidi" w:hAnsiTheme="majorBidi" w:cstheme="majorBidi"/>
          <w:noProof/>
          <w:sz w:val="24"/>
        </w:rPr>
        <w:t>Институциите оповестяват информацията в настоящия образец въз основа на принципа на полагане на максимални усилия, като в описанието, придружаващо образеца, посочват източниците на информация и методите, които са използвали за установяването на експозициите, изложени на физически риск, свързан с изменението на климата.</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1C19A0" w14:paraId="25CCB301" w14:textId="77777777" w:rsidTr="00E75E5D">
        <w:trPr>
          <w:trHeight w:val="238"/>
        </w:trPr>
        <w:tc>
          <w:tcPr>
            <w:tcW w:w="1129" w:type="dxa"/>
            <w:shd w:val="clear" w:color="auto" w:fill="D9D9D9" w:themeFill="background1" w:themeFillShade="D9"/>
          </w:tcPr>
          <w:p w14:paraId="1FBD0FE4" w14:textId="77777777" w:rsidR="00E75E5D" w:rsidRPr="001C19A0" w:rsidRDefault="00E75E5D"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Колони</w:t>
            </w:r>
          </w:p>
        </w:tc>
        <w:tc>
          <w:tcPr>
            <w:tcW w:w="7655" w:type="dxa"/>
            <w:shd w:val="clear" w:color="auto" w:fill="D9D9D9" w:themeFill="background1" w:themeFillShade="D9"/>
          </w:tcPr>
          <w:p w14:paraId="33177412" w14:textId="77777777" w:rsidR="00E75E5D" w:rsidRPr="001C19A0" w:rsidRDefault="00E75E5D" w:rsidP="00E75E5D">
            <w:pPr>
              <w:autoSpaceDE w:val="0"/>
              <w:autoSpaceDN w:val="0"/>
              <w:adjustRightInd w:val="0"/>
              <w:jc w:val="both"/>
              <w:rPr>
                <w:rFonts w:asciiTheme="majorBidi" w:hAnsiTheme="majorBidi" w:cstheme="majorBidi"/>
                <w:noProof/>
                <w:color w:val="000000"/>
                <w:sz w:val="24"/>
              </w:rPr>
            </w:pPr>
            <w:r w:rsidRPr="001C19A0">
              <w:rPr>
                <w:rFonts w:asciiTheme="majorBidi" w:hAnsiTheme="majorBidi" w:cstheme="majorBidi"/>
                <w:noProof/>
                <w:sz w:val="24"/>
              </w:rPr>
              <w:t>Указания</w:t>
            </w:r>
          </w:p>
        </w:tc>
      </w:tr>
      <w:tr w:rsidR="00E75E5D" w:rsidRPr="001C19A0" w14:paraId="164BA089" w14:textId="77777777" w:rsidTr="00E75E5D">
        <w:trPr>
          <w:trHeight w:val="547"/>
        </w:trPr>
        <w:tc>
          <w:tcPr>
            <w:tcW w:w="1129" w:type="dxa"/>
            <w:shd w:val="clear" w:color="auto" w:fill="FFFFFF" w:themeFill="background1"/>
          </w:tcPr>
          <w:p w14:paraId="38FBE662" w14:textId="77777777" w:rsidR="00E75E5D" w:rsidRPr="001C19A0" w:rsidRDefault="00E75E5D"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а</w:t>
            </w:r>
          </w:p>
        </w:tc>
        <w:tc>
          <w:tcPr>
            <w:tcW w:w="7655" w:type="dxa"/>
            <w:shd w:val="clear" w:color="auto" w:fill="FFFFFF" w:themeFill="background1"/>
          </w:tcPr>
          <w:p w14:paraId="32C22035" w14:textId="77777777" w:rsidR="00E75E5D"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Географски райони, изложени на остри и хронични явления, свързани с изменението на климата</w:t>
            </w:r>
          </w:p>
          <w:p w14:paraId="5C5A6C97" w14:textId="77777777" w:rsidR="002F0C41" w:rsidRPr="001C19A0" w:rsidRDefault="002F0C41" w:rsidP="00E75E5D">
            <w:pPr>
              <w:autoSpaceDE w:val="0"/>
              <w:autoSpaceDN w:val="0"/>
              <w:adjustRightInd w:val="0"/>
              <w:jc w:val="both"/>
              <w:rPr>
                <w:rFonts w:asciiTheme="majorBidi" w:eastAsia="Times New Roman" w:hAnsiTheme="majorBidi" w:cstheme="majorBidi"/>
                <w:noProof/>
                <w:sz w:val="24"/>
              </w:rPr>
            </w:pPr>
          </w:p>
          <w:p w14:paraId="1404C6CF" w14:textId="634DA0C0" w:rsidR="00E75E5D" w:rsidRPr="001C19A0" w:rsidRDefault="00074B2C" w:rsidP="00760FE9">
            <w:pPr>
              <w:autoSpaceDE w:val="0"/>
              <w:autoSpaceDN w:val="0"/>
              <w:adjustRightInd w:val="0"/>
              <w:jc w:val="both"/>
              <w:rPr>
                <w:rFonts w:asciiTheme="majorBidi" w:hAnsiTheme="majorBidi" w:cstheme="majorBidi"/>
                <w:bCs/>
                <w:noProof/>
                <w:sz w:val="24"/>
              </w:rPr>
            </w:pPr>
            <w:r w:rsidRPr="001C19A0">
              <w:rPr>
                <w:rFonts w:asciiTheme="majorBidi" w:hAnsiTheme="majorBidi" w:cstheme="majorBidi"/>
                <w:noProof/>
                <w:sz w:val="24"/>
              </w:rPr>
              <w:t>Институциите включват географските райони, изложени на неблагоприятно въздействие от физически явления, свързани с изменението на климата. Тези географски райони включват държавите или други географски или административни региони, в които се осъществяват дейностите на контрагента или се намира обезпечението и които са изложени на хронични или остри явления, свързани с изменението на климата. За географския обхват на експозициите институциите използват нивото на подразделенията, посочени в Номенклатурата на териториалните единици за статистически цели (NUTS), според случая.</w:t>
            </w:r>
          </w:p>
        </w:tc>
      </w:tr>
      <w:tr w:rsidR="00E75E5D" w:rsidRPr="001C19A0" w14:paraId="08C4E08E" w14:textId="77777777" w:rsidTr="00E75E5D">
        <w:trPr>
          <w:trHeight w:val="547"/>
        </w:trPr>
        <w:tc>
          <w:tcPr>
            <w:tcW w:w="1129" w:type="dxa"/>
            <w:shd w:val="clear" w:color="auto" w:fill="FFFFFF" w:themeFill="background1"/>
          </w:tcPr>
          <w:p w14:paraId="6E5A571F" w14:textId="77777777" w:rsidR="00E75E5D" w:rsidRPr="001C19A0" w:rsidRDefault="00E75E5D"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б</w:t>
            </w:r>
          </w:p>
        </w:tc>
        <w:tc>
          <w:tcPr>
            <w:tcW w:w="7655" w:type="dxa"/>
            <w:shd w:val="clear" w:color="auto" w:fill="FFFFFF" w:themeFill="background1"/>
          </w:tcPr>
          <w:p w14:paraId="1ACD38AD" w14:textId="77777777" w:rsidR="00E75E5D"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Брутна балансова стойност</w:t>
            </w:r>
          </w:p>
          <w:p w14:paraId="4E03F46D" w14:textId="03A82717" w:rsidR="00E75E5D" w:rsidRPr="001C19A0" w:rsidRDefault="002404A4" w:rsidP="00BC6B56">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съгласно определението в част 1 от приложение V към Регламент за изпълнение (ЕС) 2021/451 на тези експозиции към нефинансови предприятия (включително кредити и аванси, дългови ценни книжа и капиталови инструменти),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 активите, държани за продажба.</w:t>
            </w:r>
          </w:p>
        </w:tc>
      </w:tr>
      <w:tr w:rsidR="00E75E5D" w:rsidRPr="001C19A0" w14:paraId="280A36B6" w14:textId="77777777" w:rsidTr="00E75E5D">
        <w:trPr>
          <w:trHeight w:val="316"/>
        </w:trPr>
        <w:tc>
          <w:tcPr>
            <w:tcW w:w="1129" w:type="dxa"/>
          </w:tcPr>
          <w:p w14:paraId="03E74ABB" w14:textId="77777777" w:rsidR="00E75E5D" w:rsidRPr="001C19A0" w:rsidRDefault="00492211" w:rsidP="00E75E5D">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в — о</w:t>
            </w:r>
          </w:p>
        </w:tc>
        <w:tc>
          <w:tcPr>
            <w:tcW w:w="7655" w:type="dxa"/>
          </w:tcPr>
          <w:p w14:paraId="5B2AA2AD" w14:textId="77777777" w:rsidR="00E75E5D"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експозиции, чувствителни към въздействия, породени от физически явления, свързани с изменението на климата</w:t>
            </w:r>
          </w:p>
          <w:p w14:paraId="0DAFB046" w14:textId="3F8292CA" w:rsidR="00E75E5D" w:rsidRPr="001C19A0" w:rsidRDefault="002404A4" w:rsidP="00BC6B56">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на експозициите, податливи на въздействие, породено от физически явления, свързани с изменението на климата. Брутната балансова стойност на експозициите, податливи на въздействие, породено от физически явления, свързани с изменението на климата, може да бъде равна на пълната стойност на експозицията, оповестена в колона б) от настоящия образец, или може да бъде част от тази стойност на експозицията. </w:t>
            </w:r>
          </w:p>
        </w:tc>
      </w:tr>
      <w:tr w:rsidR="00E75E5D" w:rsidRPr="001C19A0" w14:paraId="31BE0910" w14:textId="77777777" w:rsidTr="00E75E5D">
        <w:trPr>
          <w:trHeight w:val="316"/>
        </w:trPr>
        <w:tc>
          <w:tcPr>
            <w:tcW w:w="1129" w:type="dxa"/>
          </w:tcPr>
          <w:p w14:paraId="2AE1B052" w14:textId="77777777" w:rsidR="00E75E5D" w:rsidRPr="001C19A0" w:rsidRDefault="00E75E5D" w:rsidP="00E75E5D">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в — ж</w:t>
            </w:r>
          </w:p>
        </w:tc>
        <w:tc>
          <w:tcPr>
            <w:tcW w:w="7655" w:type="dxa"/>
          </w:tcPr>
          <w:p w14:paraId="2F360937" w14:textId="77777777" w:rsidR="00E75E5D"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Разпределение по падежни групи</w:t>
            </w:r>
          </w:p>
          <w:p w14:paraId="470C4B23" w14:textId="0F46210F" w:rsidR="00E75E5D" w:rsidRPr="001C19A0" w:rsidRDefault="00E75E5D" w:rsidP="00E75E5D">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отнасят експозициите към съответната падежна група в зависимост от остатъчния срок до падежа на финансовия инструмент, като вземат предвид следното:</w:t>
            </w:r>
          </w:p>
          <w:p w14:paraId="3DAB547B" w14:textId="40B9653B" w:rsidR="00E75E5D" w:rsidRPr="001C19A0" w:rsidRDefault="00E75E5D" w:rsidP="00BD7C6D">
            <w:pPr>
              <w:pStyle w:val="ListParagraph"/>
              <w:numPr>
                <w:ilvl w:val="0"/>
                <w:numId w:val="21"/>
              </w:numPr>
              <w:ind w:left="602" w:hanging="602"/>
              <w:jc w:val="both"/>
              <w:rPr>
                <w:rFonts w:asciiTheme="majorBidi" w:hAnsiTheme="majorBidi" w:cstheme="majorBidi"/>
                <w:noProof/>
                <w:sz w:val="24"/>
              </w:rPr>
            </w:pPr>
            <w:r w:rsidRPr="001C19A0">
              <w:rPr>
                <w:rFonts w:asciiTheme="majorBidi" w:hAnsiTheme="majorBidi" w:cstheme="majorBidi"/>
                <w:noProof/>
                <w:sz w:val="24"/>
              </w:rPr>
              <w:t>когато сумата ще се изплаща на вноски, експозицията се отнася към падежната група, съответстваща на последната вноска.</w:t>
            </w:r>
          </w:p>
          <w:p w14:paraId="70D4D98F" w14:textId="1589ED5E" w:rsidR="00296919" w:rsidRPr="001C19A0" w:rsidRDefault="00E75E5D" w:rsidP="00BD7C6D">
            <w:pPr>
              <w:pStyle w:val="ListParagraph"/>
              <w:numPr>
                <w:ilvl w:val="0"/>
                <w:numId w:val="21"/>
              </w:numPr>
              <w:spacing w:before="120" w:after="120"/>
              <w:ind w:left="602" w:hanging="602"/>
              <w:jc w:val="both"/>
              <w:rPr>
                <w:rFonts w:asciiTheme="majorBidi" w:hAnsiTheme="majorBidi" w:cstheme="majorBidi"/>
                <w:noProof/>
                <w:sz w:val="24"/>
              </w:rPr>
            </w:pPr>
            <w:r w:rsidRPr="001C19A0">
              <w:rPr>
                <w:rFonts w:asciiTheme="majorBidi" w:hAnsiTheme="majorBidi" w:cstheme="majorBidi"/>
                <w:noProof/>
                <w:sz w:val="24"/>
              </w:rPr>
              <w:t>когато експозицията е без посочен падеж по причини, които не са свързани с избора на контрагента на дата на погасяване, стойността се оповестява в колона „&gt; 20 години“;</w:t>
            </w:r>
          </w:p>
          <w:p w14:paraId="30AB2BDA" w14:textId="313D6B9D" w:rsidR="00E75E5D" w:rsidRPr="001C19A0" w:rsidRDefault="00BF0177" w:rsidP="00BD7C6D">
            <w:pPr>
              <w:pStyle w:val="ListParagraph"/>
              <w:numPr>
                <w:ilvl w:val="0"/>
                <w:numId w:val="21"/>
              </w:numPr>
              <w:spacing w:before="120" w:after="120"/>
              <w:ind w:left="602" w:hanging="602"/>
              <w:jc w:val="both"/>
              <w:rPr>
                <w:rFonts w:asciiTheme="majorBidi" w:hAnsiTheme="majorBidi" w:cstheme="majorBidi"/>
                <w:noProof/>
                <w:sz w:val="24"/>
              </w:rPr>
            </w:pPr>
            <w:r w:rsidRPr="001C19A0">
              <w:rPr>
                <w:rFonts w:asciiTheme="majorBidi" w:hAnsiTheme="majorBidi" w:cstheme="majorBidi"/>
                <w:noProof/>
                <w:sz w:val="24"/>
              </w:rPr>
              <w:t>за да изчислят средния срок до падежа на експозицията, институциите претеглят срока до падежа на всяка експозиция с брутната балансова стойност на експозициите.</w:t>
            </w:r>
          </w:p>
        </w:tc>
      </w:tr>
      <w:tr w:rsidR="00E75E5D" w:rsidRPr="001C19A0" w14:paraId="48807C35" w14:textId="77777777" w:rsidTr="00E75E5D">
        <w:trPr>
          <w:trHeight w:val="316"/>
        </w:trPr>
        <w:tc>
          <w:tcPr>
            <w:tcW w:w="1129" w:type="dxa"/>
          </w:tcPr>
          <w:p w14:paraId="626E6D7F" w14:textId="77777777" w:rsidR="00E75E5D" w:rsidRPr="001C19A0" w:rsidRDefault="00296919" w:rsidP="00E75E5D">
            <w:pPr>
              <w:autoSpaceDE w:val="0"/>
              <w:autoSpaceDN w:val="0"/>
              <w:adjustRightInd w:val="0"/>
              <w:jc w:val="both"/>
              <w:rPr>
                <w:rFonts w:asciiTheme="majorBidi" w:eastAsia="Times New Roman" w:hAnsiTheme="majorBidi" w:cstheme="majorBidi"/>
                <w:noProof/>
                <w:sz w:val="24"/>
              </w:rPr>
            </w:pPr>
            <w:r w:rsidRPr="001C19A0">
              <w:rPr>
                <w:rFonts w:asciiTheme="majorBidi" w:hAnsiTheme="majorBidi" w:cstheme="majorBidi"/>
                <w:noProof/>
                <w:sz w:val="24"/>
              </w:rPr>
              <w:t>з</w:t>
            </w:r>
          </w:p>
        </w:tc>
        <w:tc>
          <w:tcPr>
            <w:tcW w:w="7655" w:type="dxa"/>
          </w:tcPr>
          <w:p w14:paraId="416B944D" w14:textId="77777777" w:rsidR="00E75E5D"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експозиции, чувствителни към въздействия, породени от хронични явления, свързани с изменението на климата</w:t>
            </w:r>
          </w:p>
          <w:p w14:paraId="57252EC7" w14:textId="31C97DF9" w:rsidR="00E75E5D" w:rsidRPr="001C19A0" w:rsidRDefault="00B72173" w:rsidP="00BC6B56">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на експозициите, чувствителни към въздействия, породени само от хронични явления, свързани с изменението на климата, включително опасности, свързани с постепенни промени в метеорологичните и климатичните условия и с възможно въздействие върху икономическата продукция и производителност.</w:t>
            </w:r>
          </w:p>
        </w:tc>
      </w:tr>
      <w:tr w:rsidR="00E75E5D" w:rsidRPr="001C19A0" w14:paraId="0466B9EE" w14:textId="77777777" w:rsidTr="00E75E5D">
        <w:trPr>
          <w:trHeight w:val="316"/>
        </w:trPr>
        <w:tc>
          <w:tcPr>
            <w:tcW w:w="1129" w:type="dxa"/>
          </w:tcPr>
          <w:p w14:paraId="0429D706" w14:textId="77777777" w:rsidR="00E75E5D" w:rsidRPr="001C19A0" w:rsidRDefault="00296919"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и</w:t>
            </w:r>
          </w:p>
        </w:tc>
        <w:tc>
          <w:tcPr>
            <w:tcW w:w="7655" w:type="dxa"/>
          </w:tcPr>
          <w:p w14:paraId="542AA585" w14:textId="77777777" w:rsidR="00E75E5D"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експозиции, чувствителни към въздействия, породени от остри явления, свързани с изменението на климата</w:t>
            </w:r>
          </w:p>
          <w:p w14:paraId="031CBCD5" w14:textId="093D8578" w:rsidR="00E75E5D" w:rsidRPr="001C19A0" w:rsidRDefault="00B72173" w:rsidP="00720CB4">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на експозициите, чувствителни към въздействия, породени само от остри явления, свързани с изменението на климата, включително заплахи, които могат да причинят внезапни имуществени вреди, смущения във веригите на доставки и амортизация на активите.</w:t>
            </w:r>
          </w:p>
          <w:p w14:paraId="0084DEDF" w14:textId="77777777" w:rsidR="00E75E5D" w:rsidRPr="001C19A0" w:rsidRDefault="00E75E5D" w:rsidP="00E75E5D">
            <w:pPr>
              <w:jc w:val="both"/>
              <w:rPr>
                <w:rFonts w:asciiTheme="majorBidi" w:eastAsia="Times New Roman" w:hAnsiTheme="majorBidi" w:cstheme="majorBidi"/>
                <w:noProof/>
                <w:sz w:val="24"/>
                <w:lang w:eastAsia="sv-SE"/>
              </w:rPr>
            </w:pPr>
          </w:p>
        </w:tc>
      </w:tr>
      <w:tr w:rsidR="00E75E5D" w:rsidRPr="001C19A0" w14:paraId="64D14E45" w14:textId="77777777" w:rsidTr="00E75E5D">
        <w:trPr>
          <w:trHeight w:val="316"/>
        </w:trPr>
        <w:tc>
          <w:tcPr>
            <w:tcW w:w="1129" w:type="dxa"/>
          </w:tcPr>
          <w:p w14:paraId="73F78A50" w14:textId="77777777" w:rsidR="00E75E5D" w:rsidRPr="001C19A0" w:rsidRDefault="00296919"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й</w:t>
            </w:r>
          </w:p>
        </w:tc>
        <w:tc>
          <w:tcPr>
            <w:tcW w:w="7655" w:type="dxa"/>
          </w:tcPr>
          <w:p w14:paraId="7A82083D" w14:textId="77777777" w:rsidR="00240607"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експозиции, чувствителни към въздействия, породени както от хронични, така и от остри явления, свързани с изменението на климата</w:t>
            </w:r>
          </w:p>
          <w:p w14:paraId="69831534" w14:textId="4186688C" w:rsidR="00E75E5D" w:rsidRPr="001C19A0" w:rsidRDefault="008F08CA" w:rsidP="00292EF5">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изложена на въздействия, породени както от хронични, така и от остри явления, свързани с изменението на климата, посочени в колони з) и и).</w:t>
            </w:r>
          </w:p>
        </w:tc>
      </w:tr>
      <w:tr w:rsidR="00E75E5D" w:rsidRPr="001C19A0" w14:paraId="7FF2A275" w14:textId="77777777" w:rsidTr="00E75E5D">
        <w:trPr>
          <w:trHeight w:val="316"/>
        </w:trPr>
        <w:tc>
          <w:tcPr>
            <w:tcW w:w="1129" w:type="dxa"/>
          </w:tcPr>
          <w:p w14:paraId="4CB499DD" w14:textId="77777777" w:rsidR="00E75E5D" w:rsidRPr="001C19A0" w:rsidRDefault="00296919"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к</w:t>
            </w:r>
          </w:p>
        </w:tc>
        <w:tc>
          <w:tcPr>
            <w:tcW w:w="7655" w:type="dxa"/>
          </w:tcPr>
          <w:p w14:paraId="477F833C" w14:textId="77777777" w:rsidR="00E75E5D"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фаза 2</w:t>
            </w:r>
          </w:p>
          <w:p w14:paraId="01DA675F" w14:textId="3FEBDFB4" w:rsidR="00E75E5D" w:rsidRPr="001C19A0" w:rsidRDefault="008F08CA" w:rsidP="00E75E5D">
            <w:pPr>
              <w:autoSpaceDE w:val="0"/>
              <w:autoSpaceDN w:val="0"/>
              <w:adjustRightInd w:val="0"/>
              <w:spacing w:before="120" w:after="120"/>
              <w:jc w:val="both"/>
              <w:rPr>
                <w:rFonts w:asciiTheme="majorBidi" w:hAnsiTheme="majorBidi" w:cstheme="majorBidi"/>
                <w:noProof/>
                <w:sz w:val="24"/>
              </w:rPr>
            </w:pPr>
            <w:r w:rsidRPr="001C19A0">
              <w:rPr>
                <w:rFonts w:asciiTheme="majorBidi" w:hAnsiTheme="majorBidi" w:cstheme="majorBidi"/>
                <w:noProof/>
                <w:sz w:val="24"/>
              </w:rPr>
              <w:t xml:space="preserve">Институциите, които прилагат МСФО, оповестяват брутната балансова стойност на инструментите от фаза 2 съгласно определението в МСФО 9. </w:t>
            </w:r>
          </w:p>
          <w:p w14:paraId="32BC616F" w14:textId="1389CB94" w:rsidR="0057151F" w:rsidRPr="001C19A0" w:rsidRDefault="007B3637" w:rsidP="00507E2B">
            <w:pPr>
              <w:autoSpaceDE w:val="0"/>
              <w:autoSpaceDN w:val="0"/>
              <w:adjustRightInd w:val="0"/>
              <w:spacing w:before="120" w:after="120"/>
              <w:jc w:val="both"/>
              <w:rPr>
                <w:rFonts w:asciiTheme="majorBidi" w:hAnsiTheme="majorBidi" w:cstheme="majorBidi"/>
                <w:noProof/>
              </w:rPr>
            </w:pPr>
            <w:r w:rsidRPr="001C19A0">
              <w:rPr>
                <w:rFonts w:asciiTheme="majorBidi" w:hAnsiTheme="majorBidi" w:cstheme="majorBidi"/>
                <w:noProof/>
                <w:sz w:val="24"/>
              </w:rPr>
              <w:t>Данните от колоните „В т.ч. от фаза 2“ не се оповестяват от институциите, които прилагат национални общоприети счетоводни принципи, основани на Директива 86/635/ЕИО</w:t>
            </w:r>
            <w:r w:rsidRPr="001C19A0">
              <w:rPr>
                <w:rFonts w:asciiTheme="majorBidi" w:hAnsiTheme="majorBidi" w:cstheme="majorBidi"/>
                <w:noProof/>
              </w:rPr>
              <w:t>.</w:t>
            </w:r>
          </w:p>
        </w:tc>
      </w:tr>
      <w:tr w:rsidR="00E75E5D" w:rsidRPr="001C19A0" w14:paraId="60EF795C" w14:textId="77777777" w:rsidTr="00E75E5D">
        <w:trPr>
          <w:trHeight w:val="316"/>
        </w:trPr>
        <w:tc>
          <w:tcPr>
            <w:tcW w:w="1129" w:type="dxa"/>
          </w:tcPr>
          <w:p w14:paraId="1A4F701F" w14:textId="77777777" w:rsidR="00E75E5D" w:rsidRPr="001C19A0" w:rsidRDefault="00296919"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л</w:t>
            </w:r>
          </w:p>
        </w:tc>
        <w:tc>
          <w:tcPr>
            <w:tcW w:w="7655" w:type="dxa"/>
          </w:tcPr>
          <w:p w14:paraId="748D146C" w14:textId="77777777" w:rsidR="00393C46" w:rsidRPr="001C19A0" w:rsidRDefault="00E75E5D" w:rsidP="00720CB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необслужвани експозиции</w:t>
            </w:r>
          </w:p>
          <w:p w14:paraId="63557828" w14:textId="08A8B3D0" w:rsidR="00E75E5D" w:rsidRPr="001C19A0" w:rsidRDefault="008F08CA" w:rsidP="005C6269">
            <w:pPr>
              <w:pStyle w:val="Fait"/>
              <w:spacing w:before="0" w:after="120"/>
              <w:rPr>
                <w:rFonts w:asciiTheme="majorBidi" w:hAnsiTheme="majorBidi" w:cstheme="majorBidi"/>
                <w:noProof/>
              </w:rPr>
            </w:pPr>
            <w:r w:rsidRPr="001C19A0">
              <w:rPr>
                <w:rFonts w:asciiTheme="majorBidi" w:hAnsiTheme="majorBidi" w:cstheme="majorBidi"/>
                <w:noProof/>
              </w:rPr>
              <w:t>Институциите оповестяват брутната балансова стойност на необслужваните експозиции, както е посочено в член 47а, параграф 3 от Регламент (ЕС) № 575/2013, които са податливи на въздействия, породени от събития, свързани с изменението на климата.</w:t>
            </w:r>
          </w:p>
        </w:tc>
      </w:tr>
      <w:tr w:rsidR="00E75E5D" w:rsidRPr="001C19A0" w14:paraId="58CA3989" w14:textId="77777777" w:rsidTr="00E75E5D">
        <w:trPr>
          <w:trHeight w:val="316"/>
        </w:trPr>
        <w:tc>
          <w:tcPr>
            <w:tcW w:w="1129" w:type="dxa"/>
          </w:tcPr>
          <w:p w14:paraId="5E0FAEAA" w14:textId="77777777" w:rsidR="00E75E5D" w:rsidRPr="001C19A0" w:rsidRDefault="00E75E5D"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м, н, о</w:t>
            </w:r>
          </w:p>
        </w:tc>
        <w:tc>
          <w:tcPr>
            <w:tcW w:w="7655" w:type="dxa"/>
          </w:tcPr>
          <w:p w14:paraId="1AAC8D59" w14:textId="77777777" w:rsidR="00393C46" w:rsidRPr="001C19A0" w:rsidRDefault="00E75E5D" w:rsidP="0057151F">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Натрупана обезценка, натрупани отрицателни промени в справедливата стойност поради кредитен риск и провизии</w:t>
            </w:r>
          </w:p>
          <w:p w14:paraId="68B73DC9" w14:textId="45A8FE40" w:rsidR="00E75E5D" w:rsidRPr="001C19A0" w:rsidRDefault="008F08CA" w:rsidP="00292EF5">
            <w:pPr>
              <w:autoSpaceDE w:val="0"/>
              <w:autoSpaceDN w:val="0"/>
              <w:adjustRightInd w:val="0"/>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сумите, посочени в част 2, точки 11, 69, 70, 71, 106 и 110 от приложение V към Регламент за изпълнение (ЕС) 2021/451.</w:t>
            </w:r>
          </w:p>
        </w:tc>
      </w:tr>
      <w:tr w:rsidR="00E75E5D" w:rsidRPr="001C19A0" w14:paraId="67FC4789" w14:textId="77777777" w:rsidTr="00E75E5D">
        <w:trPr>
          <w:trHeight w:val="316"/>
        </w:trPr>
        <w:tc>
          <w:tcPr>
            <w:tcW w:w="1129" w:type="dxa"/>
          </w:tcPr>
          <w:p w14:paraId="610E1DBA" w14:textId="5F919C5D" w:rsidR="00E75E5D" w:rsidRPr="001C19A0" w:rsidRDefault="00475232"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н</w:t>
            </w:r>
          </w:p>
        </w:tc>
        <w:tc>
          <w:tcPr>
            <w:tcW w:w="7655" w:type="dxa"/>
          </w:tcPr>
          <w:p w14:paraId="7597440E" w14:textId="77777777" w:rsidR="00393C46" w:rsidRPr="001C19A0" w:rsidRDefault="00E75E5D" w:rsidP="0057151F">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експозиции от фаза 2</w:t>
            </w:r>
          </w:p>
          <w:p w14:paraId="471AC4F9" w14:textId="7F2EB12B" w:rsidR="00AF715C" w:rsidRPr="001C19A0" w:rsidRDefault="00AF715C" w:rsidP="00AF715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Колона м) съдържа размера на натрупаната обезценка на експозициите от фаза 2.</w:t>
            </w:r>
          </w:p>
          <w:p w14:paraId="69034FE8" w14:textId="6F9A6A61" w:rsidR="00AF715C" w:rsidRPr="001C19A0" w:rsidRDefault="00AF715C" w:rsidP="00AF715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които прилагат МСФО, оповестяват брутната балансова стойност на инструментите от фаза 2 съгласно определението в МСФО 9.</w:t>
            </w:r>
          </w:p>
          <w:p w14:paraId="3F1D741D" w14:textId="341C9BA5" w:rsidR="00E75E5D" w:rsidRPr="001C19A0" w:rsidRDefault="00AF715C" w:rsidP="00507E2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Колоните „В т.ч. фаза 2“ не се оповестяват от институциите, които прилагат национални общоприети счетоводни принципи, основани на Директива 86/635/ЕИО.</w:t>
            </w:r>
          </w:p>
        </w:tc>
      </w:tr>
      <w:tr w:rsidR="00E75E5D" w:rsidRPr="001C19A0" w14:paraId="67B0E002" w14:textId="77777777" w:rsidTr="00E75E5D">
        <w:trPr>
          <w:trHeight w:val="316"/>
        </w:trPr>
        <w:tc>
          <w:tcPr>
            <w:tcW w:w="1129" w:type="dxa"/>
          </w:tcPr>
          <w:p w14:paraId="54514C27" w14:textId="59B159A7" w:rsidR="00E75E5D" w:rsidRPr="001C19A0" w:rsidRDefault="00475232" w:rsidP="00E75E5D">
            <w:pPr>
              <w:autoSpaceDE w:val="0"/>
              <w:autoSpaceDN w:val="0"/>
              <w:adjustRightInd w:val="0"/>
              <w:jc w:val="both"/>
              <w:rPr>
                <w:rFonts w:asciiTheme="majorBidi" w:hAnsiTheme="majorBidi" w:cstheme="majorBidi"/>
                <w:noProof/>
                <w:sz w:val="24"/>
              </w:rPr>
            </w:pPr>
            <w:r w:rsidRPr="001C19A0">
              <w:rPr>
                <w:rFonts w:asciiTheme="majorBidi" w:hAnsiTheme="majorBidi" w:cstheme="majorBidi"/>
                <w:noProof/>
                <w:sz w:val="24"/>
              </w:rPr>
              <w:t>о</w:t>
            </w:r>
          </w:p>
        </w:tc>
        <w:tc>
          <w:tcPr>
            <w:tcW w:w="7655" w:type="dxa"/>
          </w:tcPr>
          <w:p w14:paraId="4DE357E6" w14:textId="77777777" w:rsidR="00393C46" w:rsidRPr="001C19A0" w:rsidRDefault="00E75E5D" w:rsidP="0057151F">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необслужвани експозиции</w:t>
            </w:r>
          </w:p>
          <w:p w14:paraId="25AFE354" w14:textId="0A5224AA" w:rsidR="00E75E5D" w:rsidRPr="001C19A0" w:rsidRDefault="008F08CA" w:rsidP="001C4B8F">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размера на натрупаната обезценка, натрупаните отрицателни промени в справедливата стойност поради кредитен риск и провизиите, които може да бъдат отнесени към необслужвани експозиции, както е посочено в член 47а, параграф 3 от Регламент (ЕС) № 575/2013.</w:t>
            </w:r>
          </w:p>
        </w:tc>
      </w:tr>
    </w:tbl>
    <w:p w14:paraId="078EAC68" w14:textId="77777777" w:rsidR="00E75E5D" w:rsidRPr="001C19A0" w:rsidRDefault="00E75E5D" w:rsidP="00D35812">
      <w:pPr>
        <w:spacing w:before="120" w:after="120"/>
        <w:jc w:val="both"/>
        <w:rPr>
          <w:rFonts w:asciiTheme="majorBidi" w:hAnsiTheme="majorBidi" w:cstheme="majorBidi"/>
          <w:b/>
          <w:noProof/>
          <w:sz w:val="24"/>
        </w:rPr>
      </w:pPr>
    </w:p>
    <w:p w14:paraId="0778D90B" w14:textId="77777777" w:rsidR="00E75E5D" w:rsidRPr="001C19A0" w:rsidRDefault="00E75E5D">
      <w:pPr>
        <w:rPr>
          <w:rFonts w:asciiTheme="majorBidi" w:hAnsiTheme="majorBidi" w:cstheme="majorBidi"/>
          <w:b/>
          <w:noProof/>
          <w:sz w:val="24"/>
        </w:rPr>
      </w:pPr>
      <w:r w:rsidRPr="001C19A0">
        <w:rPr>
          <w:rFonts w:asciiTheme="majorBidi" w:hAnsiTheme="majorBidi" w:cstheme="majorBidi"/>
          <w:noProof/>
        </w:rPr>
        <w:br w:type="page"/>
      </w:r>
    </w:p>
    <w:p w14:paraId="422B2482" w14:textId="77777777" w:rsidR="00414E05" w:rsidRPr="001C19A0" w:rsidRDefault="00414E05" w:rsidP="001B102C">
      <w:pPr>
        <w:jc w:val="both"/>
        <w:rPr>
          <w:rFonts w:asciiTheme="majorBidi" w:hAnsiTheme="majorBidi" w:cstheme="majorBidi"/>
          <w:b/>
          <w:noProof/>
          <w:sz w:val="24"/>
        </w:rPr>
      </w:pPr>
      <w:r w:rsidRPr="001C19A0">
        <w:rPr>
          <w:rFonts w:asciiTheme="majorBidi" w:hAnsiTheme="majorBidi" w:cstheme="majorBidi"/>
          <w:b/>
          <w:noProof/>
          <w:sz w:val="24"/>
        </w:rPr>
        <w:t xml:space="preserve">Образец 6 — Обобщение на ключовите показатели за резултатите (КПР) относно съобразените с таксономията експозиции. </w:t>
      </w:r>
      <w:r w:rsidRPr="001C19A0">
        <w:rPr>
          <w:rFonts w:asciiTheme="majorBidi" w:hAnsiTheme="majorBidi" w:cstheme="majorBidi"/>
          <w:noProof/>
          <w:sz w:val="24"/>
        </w:rPr>
        <w:t>Зададен формат.</w:t>
      </w:r>
    </w:p>
    <w:p w14:paraId="0C245AD5" w14:textId="77777777" w:rsidR="00414E05" w:rsidRPr="001C19A0" w:rsidRDefault="00414E05" w:rsidP="001B102C">
      <w:pPr>
        <w:jc w:val="both"/>
        <w:rPr>
          <w:rFonts w:asciiTheme="majorBidi" w:hAnsiTheme="majorBidi" w:cstheme="majorBidi"/>
          <w:b/>
          <w:noProof/>
          <w:sz w:val="24"/>
          <w:lang w:val="en-GB"/>
        </w:rPr>
      </w:pPr>
    </w:p>
    <w:p w14:paraId="69BD5B6B" w14:textId="0D1BF646" w:rsidR="00E37C15" w:rsidRPr="001C19A0" w:rsidRDefault="009545C6" w:rsidP="00BD7C6D">
      <w:pPr>
        <w:pStyle w:val="ListParagraph"/>
        <w:numPr>
          <w:ilvl w:val="0"/>
          <w:numId w:val="22"/>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 образец 6 институциите представят преглед на КПР, изчислени въз основа на образци 7 и 8 от приложение XXXIX, включително отношението на екосъобразните активи (ОЕА), както е посочено в Делегиран регламент (ЕС) 2021/2178 на Комисията</w:t>
      </w:r>
      <w:r w:rsidRPr="001C19A0">
        <w:rPr>
          <w:rFonts w:asciiTheme="majorBidi" w:hAnsiTheme="majorBidi" w:cstheme="majorBidi"/>
          <w:noProof/>
          <w:sz w:val="24"/>
          <w:vertAlign w:val="superscript"/>
        </w:rPr>
        <w:t>*21</w:t>
      </w:r>
      <w:r w:rsidRPr="001C19A0">
        <w:rPr>
          <w:rFonts w:asciiTheme="majorBidi" w:hAnsiTheme="majorBidi" w:cstheme="majorBidi"/>
          <w:noProof/>
          <w:sz w:val="24"/>
        </w:rPr>
        <w:t xml:space="preserve">. </w:t>
      </w:r>
    </w:p>
    <w:p w14:paraId="206900FF" w14:textId="48B73BE6" w:rsidR="00682A8C" w:rsidRPr="001C19A0" w:rsidRDefault="00E37C15" w:rsidP="00BD7C6D">
      <w:pPr>
        <w:pStyle w:val="ListParagraph"/>
        <w:numPr>
          <w:ilvl w:val="0"/>
          <w:numId w:val="22"/>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Въпреки че в Делегиран регламент (ЕС) 2021/2178 от субектите се изисква да оценяват приблизително и да оповестяват ОЕА два пъти — веднъж въз основа на съобразяването на оборота на контрагента с таксономията (за нефинансовите предприятия) за експозициите, които не са предназначени за финансиране на посочени определени дейности (кредитиране с общо предназначение), и втори път въз основа на съобразяването на капиталовите разходи (КР) на контрагента с таксономията за същите кредитни експозиции с общо предназначение, в настоящия образец институциите оповестяват ОЕА само веднъж въз основа единствено на съобразяването на оборота на контрагента с таксономията за частта от кредитирането с общо предназначение.</w:t>
      </w:r>
    </w:p>
    <w:p w14:paraId="77580A67" w14:textId="734B6C7B" w:rsidR="00501650" w:rsidRPr="001C19A0" w:rsidRDefault="00682A8C" w:rsidP="00BD7C6D">
      <w:pPr>
        <w:pStyle w:val="ListParagraph"/>
        <w:numPr>
          <w:ilvl w:val="0"/>
          <w:numId w:val="22"/>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Що се отнася до наличността, ОЕА (смекчаване на изменението на климата), ОЕА (адаптиране към изменението на климата), ОЕА (смекчаване на изменението на климата и адаптиране към изменението на климата) следва да съответстват на КПР, включени съответно в колони б), ж) и л) от образец 8. Аналогично, що се отнася до потока, ОЕА (смекчаване на изменението на климата), ОЕА (адаптиране към изменението на климата), ОЕА (смекчаване на изменението на климата и адаптиране към изменението на климата) следва да съответстват на КПР, включени в ред 1, колони с), ц) и aб) от същия образец 8.</w:t>
      </w:r>
    </w:p>
    <w:p w14:paraId="07941479" w14:textId="77777777" w:rsidR="00756501" w:rsidRPr="001C19A0" w:rsidRDefault="00756501" w:rsidP="00BD7C6D">
      <w:pPr>
        <w:pStyle w:val="ListParagraph"/>
        <w:numPr>
          <w:ilvl w:val="0"/>
          <w:numId w:val="22"/>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Информация за обхвата се включва в образец 8, ред 1, колона п) за наличността от ОЕА и в колона ае) за потока от ОЕА.</w:t>
      </w:r>
    </w:p>
    <w:p w14:paraId="56E20D98" w14:textId="5F9497B4" w:rsidR="00723764" w:rsidRPr="001C19A0" w:rsidRDefault="001D0251" w:rsidP="00BD7C6D">
      <w:pPr>
        <w:pStyle w:val="ListParagraph"/>
        <w:numPr>
          <w:ilvl w:val="0"/>
          <w:numId w:val="22"/>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тази информация с първа референтна дата 31 декември 2023 г., която съответства на първата референтна дата за оповестяване за информацията относно ОЕА, посочена в Делегиран регламент (ЕС) 2021/2178.</w:t>
      </w:r>
    </w:p>
    <w:p w14:paraId="39305D6E" w14:textId="77777777" w:rsidR="00414E05" w:rsidRPr="001C19A0" w:rsidRDefault="00414E05" w:rsidP="00D35812">
      <w:pPr>
        <w:spacing w:before="120" w:after="120"/>
        <w:jc w:val="both"/>
        <w:rPr>
          <w:rFonts w:asciiTheme="majorBidi" w:hAnsiTheme="majorBidi" w:cstheme="majorBidi"/>
          <w:noProof/>
          <w:sz w:val="24"/>
        </w:rPr>
      </w:pPr>
    </w:p>
    <w:p w14:paraId="0F7D1D4E" w14:textId="77777777" w:rsidR="00E77292" w:rsidRPr="001C19A0" w:rsidRDefault="00AE5EC1" w:rsidP="001B102C">
      <w:pPr>
        <w:jc w:val="both"/>
        <w:rPr>
          <w:rFonts w:asciiTheme="majorBidi" w:hAnsiTheme="majorBidi" w:cstheme="majorBidi"/>
          <w:b/>
          <w:noProof/>
          <w:sz w:val="24"/>
        </w:rPr>
      </w:pPr>
      <w:r w:rsidRPr="001C19A0">
        <w:rPr>
          <w:rFonts w:asciiTheme="majorBidi" w:hAnsiTheme="majorBidi" w:cstheme="majorBidi"/>
          <w:b/>
          <w:noProof/>
          <w:sz w:val="24"/>
        </w:rPr>
        <w:t xml:space="preserve">Образец 7 — Смекчаващи действия: активи, включени в изчисляването на ОЕА. </w:t>
      </w:r>
      <w:r w:rsidRPr="001C19A0">
        <w:rPr>
          <w:rFonts w:asciiTheme="majorBidi" w:hAnsiTheme="majorBidi" w:cstheme="majorBidi"/>
          <w:noProof/>
          <w:sz w:val="24"/>
        </w:rPr>
        <w:t>Зададен формат</w:t>
      </w:r>
    </w:p>
    <w:p w14:paraId="4DD9F2BB" w14:textId="5D1C4390" w:rsidR="00C30D42" w:rsidRPr="001C19A0" w:rsidRDefault="00AE5EC1" w:rsidP="00BD7C6D">
      <w:pPr>
        <w:pStyle w:val="ListParagraph"/>
        <w:numPr>
          <w:ilvl w:val="0"/>
          <w:numId w:val="23"/>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Институциите използват следните указания за оповестяването на информацията, изисквана в образец 7 — „Смекчаващи действия: активи, включени в изчисляването на ОЕА“, както е посочено в приложение XXXIX към настоящия регламент. </w:t>
      </w:r>
    </w:p>
    <w:p w14:paraId="20AFB98D" w14:textId="3C342B19" w:rsidR="00E77292" w:rsidRPr="001C19A0" w:rsidRDefault="00401B4F" w:rsidP="00BD7C6D">
      <w:pPr>
        <w:pStyle w:val="ListParagraph"/>
        <w:numPr>
          <w:ilvl w:val="0"/>
          <w:numId w:val="23"/>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 настоящия образец институциите оповестяват информация за брутната балансова стойност на кредитите и авансите, дълговите ценни книжа и капиталовите инструменти на институциите в банковия портфейл, с разпределение на информацията по видове контрагенти, включително финансови предприятия, нефинансови предприятия, домакинства, органи на местното самоуправление, а също и кредитиране на недвижими имоти на домакинства, както и информация за допустимостта и съобразяването на експозициите с таксономията по отношение на екологичните цели за смекчаване на изменението на климата и адаптиране към изменението на климата, както е посочено в член 9, букви а) и б) от Регламент (ЕС) 2020/852.</w:t>
      </w:r>
    </w:p>
    <w:p w14:paraId="106E1BAF" w14:textId="3837042F" w:rsidR="00401B4F" w:rsidRPr="001C19A0" w:rsidRDefault="00401B4F" w:rsidP="00BD7C6D">
      <w:pPr>
        <w:pStyle w:val="ListParagraph"/>
        <w:numPr>
          <w:ilvl w:val="0"/>
          <w:numId w:val="23"/>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По-специално в този образец институциите включват информацията, необходима за изчисляването на ОЕА в съответствие с Делегиран регламент (ЕС) 2021/2178. Въпреки че в Делегиран регламент (ЕС) 2021/2178 от институциите се изисква да оценяват приблизително и да оповестяват ОЕА два пъти — веднъж въз основа на съобразяването на оборота на контрагента с таксономията (за нефинансови предприятия) за експозициите, които не са предназначени за финансиране на посочени определени дейности (кредитиране с общо предназначение), и втори път въз основа на съобразяването на КР на контрагента с таксономията за същите кредитни експозиции с общо предназначение, в настоящия образец институциите оповестяват ОЕА само веднъж въз основа само на съобразяването на оборота на контрагента с таксономията за частта от кредитирането с общо предназначение.</w:t>
      </w:r>
    </w:p>
    <w:p w14:paraId="6B28CAA9" w14:textId="3543F55D" w:rsidR="00E77292" w:rsidRPr="001C19A0" w:rsidRDefault="00401B4F" w:rsidP="00BD7C6D">
      <w:pPr>
        <w:pStyle w:val="ListParagraph"/>
        <w:numPr>
          <w:ilvl w:val="0"/>
          <w:numId w:val="23"/>
        </w:numPr>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Въз основа на тази информация институциите изчисляват и оповестяват техните ОЕА, както е посочено в Делегиран регламент (ЕС) 2021/2178. Включената информация се отнася до смекчаването на изменението на климата и адаптирането към него, както е посочено в член 9, букви а) и б) от Регламент (ЕС) 2020/852.</w:t>
      </w:r>
    </w:p>
    <w:p w14:paraId="16F3972E" w14:textId="23917C4C" w:rsidR="00A419E8" w:rsidRPr="001C19A0" w:rsidRDefault="00C14674" w:rsidP="00BD7C6D">
      <w:pPr>
        <w:pStyle w:val="ListParagraph"/>
        <w:numPr>
          <w:ilvl w:val="0"/>
          <w:numId w:val="23"/>
        </w:numPr>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Институциите оповестяват тази информация, като първата референтна дата е 31 декември 2023 г., която е първата референтна дата на оповестяване за информацията относно ОЕА, както е посочено в Делегиран регламент (ЕС)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1C19A0"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1C19A0" w:rsidRDefault="00E77292"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1C19A0" w:rsidRDefault="00E77292"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Указания</w:t>
            </w:r>
          </w:p>
        </w:tc>
      </w:tr>
      <w:tr w:rsidR="00E77292" w:rsidRPr="001C19A0"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Брутна балансова стойност</w:t>
            </w:r>
          </w:p>
          <w:p w14:paraId="47269862" w14:textId="6222FC17" w:rsidR="00E77292" w:rsidRPr="001C19A0" w:rsidRDefault="008F08CA" w:rsidP="009B6F0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съгласно определението в част 1 от приложение V към Регламент за изпълнение (ЕС) 2021/451.</w:t>
            </w:r>
          </w:p>
        </w:tc>
      </w:tr>
      <w:tr w:rsidR="00E77292" w:rsidRPr="001C19A0"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б</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към сектори от значение за таксономията </w:t>
            </w:r>
          </w:p>
          <w:p w14:paraId="463DA593" w14:textId="6628A5EA" w:rsidR="00E77292" w:rsidRPr="001C19A0" w:rsidRDefault="008F08CA"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съгласно определението в част 1 от приложение V към Регламент за изпълнение (ЕС) 2021/451.</w:t>
            </w:r>
          </w:p>
          <w:p w14:paraId="4605BFA9" w14:textId="6856CE8F" w:rsidR="00E77292" w:rsidRPr="001C19A0" w:rsidRDefault="00E77292"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на допустимите експозиции към сектори (кодове на четвърто ниво от NACE), които са от значение за съответната екологична цел съгласно таксономията, както е посочено в приложение I към Делегиран регламент (ЕС) 2021/2139 на Комисията</w:t>
            </w:r>
            <w:r w:rsidRPr="001C19A0">
              <w:rPr>
                <w:rFonts w:asciiTheme="majorBidi" w:hAnsiTheme="majorBidi" w:cstheme="majorBidi"/>
                <w:noProof/>
                <w:sz w:val="24"/>
                <w:vertAlign w:val="superscript"/>
              </w:rPr>
              <w:t>*22</w:t>
            </w:r>
            <w:r w:rsidRPr="001C19A0">
              <w:rPr>
                <w:rFonts w:asciiTheme="majorBidi" w:hAnsiTheme="majorBidi" w:cstheme="majorBidi"/>
                <w:noProof/>
                <w:sz w:val="24"/>
              </w:rPr>
              <w:t xml:space="preserve">. </w:t>
            </w:r>
          </w:p>
          <w:p w14:paraId="65968644" w14:textId="653F2055" w:rsidR="00E77292" w:rsidRPr="001C19A0" w:rsidRDefault="00E77292" w:rsidP="009B6F0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към съответните сектори по целта за смекчаване на изменението на климата в съответствие с член 9, буква а) и член 10 от Регламент (ЕС) 2020/852.</w:t>
            </w:r>
          </w:p>
        </w:tc>
      </w:tr>
      <w:tr w:rsidR="00E77292" w:rsidRPr="001C19A0"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78384F9A" w14:textId="3E7122C2" w:rsidR="00E77292" w:rsidRPr="001C19A0" w:rsidRDefault="008F08CA"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2352CA26" w14:textId="198BC3D6" w:rsidR="00E77292" w:rsidRPr="001C19A0" w:rsidRDefault="00E77292"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на допустимите експозиции, които са екологично устойчиви, както е посочено в приложение I към Делегиран регламент (ЕС) 2021/2139.</w:t>
            </w:r>
          </w:p>
          <w:p w14:paraId="3A21C961" w14:textId="178F12E6" w:rsidR="00E77292" w:rsidRPr="001C19A0" w:rsidRDefault="00E77292"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екологично устойчивите експозиции по целта за смекчаване на изменението на климата в съответствие с член 9, буква а) и член 10 от Регламент (ЕС) 2020/852.</w:t>
            </w:r>
          </w:p>
          <w:p w14:paraId="3D376335" w14:textId="628CC8D4" w:rsidR="00E77292" w:rsidRPr="001C19A0" w:rsidRDefault="00E77292"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Когато използването на постъпленията е известно (специализирано кредитиране, включително кредити за финансиране на проекти, както е посочено в приложение V към Регламент за изпълнение (ЕС) 2021/451), институциите оповестяват степента, в която експозицията е устойчива от екологична гледна точка. Това оповестяване се основава на степента, до която финансираният проект допринася съществено за смекчаване на изменението на климата в съответствие с член 10 от Регламент (ЕС) 2020/852 или е спомагаща дейност в съответствие с член 16 от посочения регламент, и отговаря на критериите, посочени в член 3 от същия регламент. Когато използването на постъпленията не е известно, институциите оповестяват степента, в която експозицията е екологично устойчива, като използват информацията, получена от контрагента, в съответствие с член 8 от Регламент (ЕС) 2020/852, относно дела от оборота, произтичащ от продукти или услуги, свързани с икономически дейности, които се определят като екологично устойчиви съгласно член 3 от посочения регламент.</w:t>
            </w:r>
          </w:p>
          <w:p w14:paraId="10E5C159" w14:textId="3EABB629" w:rsidR="00E77292" w:rsidRPr="001C19A0" w:rsidRDefault="00E77292" w:rsidP="003D5084">
            <w:pPr>
              <w:spacing w:before="120" w:after="120"/>
              <w:jc w:val="both"/>
              <w:rPr>
                <w:rFonts w:asciiTheme="majorBidi" w:hAnsiTheme="majorBidi" w:cstheme="majorBidi"/>
                <w:noProof/>
                <w:sz w:val="24"/>
              </w:rPr>
            </w:pPr>
            <w:r w:rsidRPr="001C19A0">
              <w:rPr>
                <w:rFonts w:asciiTheme="majorBidi" w:hAnsiTheme="majorBidi" w:cstheme="majorBidi"/>
                <w:noProof/>
                <w:sz w:val="24"/>
              </w:rPr>
              <w:t>Всяка експозиция се разглежда само веднъж и се отнася само за една екологична цел. Когато експозициите са от значение за повече от една екологична цел, разпределението се прави за целта с най-голямо значение.</w:t>
            </w:r>
          </w:p>
        </w:tc>
      </w:tr>
      <w:tr w:rsidR="00E77292" w:rsidRPr="001C19A0"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г</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29B7029A" w14:textId="08344F0B" w:rsidR="005B5055" w:rsidRPr="001C19A0" w:rsidRDefault="008F08CA" w:rsidP="005B5055">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съгласно определението в част 1 от приложение V към Регламент за изпълнение (ЕС) 2021/451.</w:t>
            </w:r>
          </w:p>
          <w:p w14:paraId="279EFB0C" w14:textId="60FCA169" w:rsidR="00E77292" w:rsidRPr="001C19A0" w:rsidRDefault="00184269" w:rsidP="008F08CA">
            <w:pPr>
              <w:spacing w:before="120" w:after="120"/>
              <w:jc w:val="both"/>
              <w:rPr>
                <w:rFonts w:asciiTheme="majorBidi" w:hAnsiTheme="majorBidi" w:cstheme="majorBidi"/>
                <w:noProof/>
                <w:sz w:val="24"/>
              </w:rPr>
            </w:pPr>
            <w:r w:rsidRPr="001C19A0">
              <w:rPr>
                <w:rFonts w:asciiTheme="majorBidi" w:hAnsiTheme="majorBidi" w:cstheme="majorBidi"/>
                <w:noProof/>
                <w:sz w:val="24"/>
              </w:rPr>
              <w:t>Експозициите по специализирано кредитиране се разбират по смисъла на член 147, параграф 8 от Регламент (ЕС) № 575/2013. Тя включва експозиции, които са екологично устойчиви в рамките на целта за смекчаване на изменението на климата в съответствие с член 9, буква а) и член 10 от Регламент (ЕС) 2020/852.</w:t>
            </w:r>
          </w:p>
          <w:p w14:paraId="1911C039" w14:textId="1DBCFAA3" w:rsidR="00E77292" w:rsidRPr="001C19A0" w:rsidRDefault="00034BAB" w:rsidP="00293C40">
            <w:pPr>
              <w:spacing w:before="120" w:after="120"/>
              <w:jc w:val="both"/>
              <w:rPr>
                <w:rFonts w:asciiTheme="majorBidi" w:hAnsiTheme="majorBidi" w:cstheme="majorBidi"/>
                <w:noProof/>
                <w:sz w:val="24"/>
              </w:rPr>
            </w:pPr>
            <w:r w:rsidRPr="001C19A0">
              <w:rPr>
                <w:rFonts w:asciiTheme="majorBidi" w:hAnsiTheme="majorBidi" w:cstheme="majorBidi"/>
                <w:noProof/>
                <w:sz w:val="24"/>
              </w:rPr>
              <w:t>Когато използването на постъпленията е известно, по отношение на специализираното кредитиране институциите оповестяват доколко експозицията е екологично устойчива въз основа на това каква част от конкретния финансиран проект се счита, че допринася съществено за смекчаването на изменението на климата и до каква степен (специфична информация за проекта) в съответствие с член 10 от Регламент (ЕС) 2020/852 или като спомагаща дейност в съответствие с член 16, и отговаря на критериите, посочени в член 3 от същия регламент. Институциите предоставят прозрачна информация за видовете икономически дейности, които се финансират чрез специализирано кредитиране. В случай че една и съща експозиция по специализирано кредитиране е от значение за две екологични цели, институциите отнасят тази експозиция към целта, която е от най-голямо значение.</w:t>
            </w:r>
          </w:p>
        </w:tc>
      </w:tr>
      <w:tr w:rsidR="00C80D87" w:rsidRPr="001C19A0"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д</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1C19A0" w:rsidRDefault="00C80D87"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преходни</w:t>
            </w:r>
          </w:p>
          <w:p w14:paraId="0C9F5305" w14:textId="77777777" w:rsidR="00C80D87" w:rsidRPr="001C19A0" w:rsidRDefault="00C23C8F"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Член 10 от Регламент (ЕС) 2020/852.</w:t>
            </w:r>
          </w:p>
        </w:tc>
      </w:tr>
      <w:tr w:rsidR="00C80D87" w:rsidRPr="001C19A0"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1C19A0" w:rsidRDefault="00C80D87"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64448A1B" w14:textId="77777777" w:rsidR="00C80D87" w:rsidRPr="001C19A0" w:rsidRDefault="00540776"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Член 16 от Регламент (ЕС) 2020/852.</w:t>
            </w:r>
          </w:p>
        </w:tc>
      </w:tr>
      <w:tr w:rsidR="00E77292" w:rsidRPr="001C19A0"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ж</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към сектори от значение за таксономията</w:t>
            </w:r>
          </w:p>
          <w:p w14:paraId="00451C69" w14:textId="601F4D68" w:rsidR="005B5055" w:rsidRPr="001C19A0" w:rsidRDefault="008F08CA" w:rsidP="005B5055">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765F8C8F" w14:textId="19C0705B"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на допустимите експозиции към сектори (кодове от четвърто ниво от NACE), които са от значение за съответната екологична цел съгласно таксономията, както е посочено в приложение II към Делегиран регламент (ЕС) 2021/2139. </w:t>
            </w:r>
          </w:p>
          <w:p w14:paraId="4AA02E6E" w14:textId="3F22BB75" w:rsidR="00E77292" w:rsidRPr="001C19A0" w:rsidRDefault="00E77292" w:rsidP="00293C40">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към съответните сектори по целта за адаптиране към изменението на климата в съответствие с член 9, буква б) и член 11 от Регламент (ЕС) 2020/852.</w:t>
            </w:r>
          </w:p>
        </w:tc>
      </w:tr>
      <w:tr w:rsidR="00E77292" w:rsidRPr="001C19A0"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7377BA37" w14:textId="350037C0" w:rsidR="005B5055" w:rsidRPr="001C19A0" w:rsidRDefault="008F08CA" w:rsidP="005B5055">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532FC9D0" w14:textId="70992BF0"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на допустимите експозиции, които са екологично устойчиви, както е посочено в приложение II към Делегиран регламент (ЕС) 2021/2139.</w:t>
            </w:r>
          </w:p>
          <w:p w14:paraId="6B5E17E3" w14:textId="39D8ACCB" w:rsidR="00E77292" w:rsidRPr="001C19A0" w:rsidRDefault="00E77292" w:rsidP="008D522D">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екологично устойчивите експозиции по целта за адаптиране към изменението на климата в съответствие с член 9, буква б) и член 11 от Регламент (ЕС) 2020/852.</w:t>
            </w:r>
          </w:p>
          <w:p w14:paraId="13C74BD0" w14:textId="1B12163B" w:rsidR="00034BAB" w:rsidRPr="001C19A0" w:rsidRDefault="00034BAB" w:rsidP="001B102C">
            <w:pPr>
              <w:spacing w:before="120" w:after="120"/>
              <w:jc w:val="both"/>
              <w:rPr>
                <w:rFonts w:asciiTheme="majorBidi" w:hAnsiTheme="majorBidi" w:cstheme="majorBidi"/>
                <w:noProof/>
                <w:sz w:val="24"/>
              </w:rPr>
            </w:pPr>
            <w:r w:rsidRPr="001C19A0">
              <w:rPr>
                <w:rFonts w:asciiTheme="majorBidi" w:hAnsiTheme="majorBidi" w:cstheme="majorBidi"/>
                <w:noProof/>
                <w:sz w:val="24"/>
              </w:rPr>
              <w:t>Когато използването на постъпленията е известно, по отношение на специализираното кредитиране институциите оповестяват доколко експозицията е екологично устойчива въз основа на степента и дела, до които финансираният проект се определя като допринасящ съществено за адаптирането към изменението на климата в съответствие с член 11 от Регламент (ЕС) 2020/852 или като спомагаща дейност в съответствие с член 16 от същия регламент, и отговаря на критериите, посочени в член 3 от същия регламент.</w:t>
            </w:r>
          </w:p>
          <w:p w14:paraId="5FB43736" w14:textId="4E015132" w:rsidR="00E77292" w:rsidRPr="001C19A0" w:rsidRDefault="00E77292" w:rsidP="001B102C">
            <w:pPr>
              <w:spacing w:before="120" w:after="120"/>
              <w:jc w:val="both"/>
              <w:rPr>
                <w:rFonts w:asciiTheme="majorBidi" w:hAnsiTheme="majorBidi" w:cstheme="majorBidi"/>
                <w:noProof/>
                <w:sz w:val="24"/>
              </w:rPr>
            </w:pPr>
            <w:r w:rsidRPr="001C19A0">
              <w:rPr>
                <w:rFonts w:asciiTheme="majorBidi" w:hAnsiTheme="majorBidi" w:cstheme="majorBidi"/>
                <w:noProof/>
                <w:sz w:val="24"/>
              </w:rPr>
              <w:t>Когато използването на постъпленията не е известно, институциите оповестяват степента, в която експозицията е екологично устойчива, като използват информацията от контрагента в съответствие с член 8 от Регламент (ЕС) 2020/852 относно дела от оборота, произтичащ от продукти или услуги, свързани с икономически дейности, които се определят като екологично устойчиви съгласно член 3 от посочения регламент.</w:t>
            </w:r>
          </w:p>
          <w:p w14:paraId="1FB70BDA" w14:textId="1FEB82B1" w:rsidR="00E77292" w:rsidRPr="001C19A0" w:rsidRDefault="00E77292" w:rsidP="00080540">
            <w:pPr>
              <w:spacing w:before="120" w:after="120"/>
              <w:jc w:val="both"/>
              <w:rPr>
                <w:rFonts w:asciiTheme="majorBidi" w:hAnsiTheme="majorBidi" w:cstheme="majorBidi"/>
                <w:noProof/>
                <w:sz w:val="24"/>
              </w:rPr>
            </w:pPr>
            <w:r w:rsidRPr="001C19A0">
              <w:rPr>
                <w:rFonts w:asciiTheme="majorBidi" w:hAnsiTheme="majorBidi" w:cstheme="majorBidi"/>
                <w:noProof/>
                <w:sz w:val="24"/>
              </w:rPr>
              <w:t>Всяка експозиция се разглежда само веднъж и се отнася само за една екологична цел. Когато експозициите са от значение за повече от една екологична цел, те се отнасят към целта с най-голямо значение.</w:t>
            </w:r>
          </w:p>
        </w:tc>
      </w:tr>
      <w:tr w:rsidR="00E77292" w:rsidRPr="001C19A0"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528B71C4" w14:textId="3BD9BBE4" w:rsidR="00D66824" w:rsidRPr="001C19A0" w:rsidRDefault="00D66824" w:rsidP="00D66824">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4A984F1C" w14:textId="6EEA3AFC" w:rsidR="00D66824" w:rsidRPr="001C19A0" w:rsidRDefault="00230676" w:rsidP="00D66824">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Експозициите по специализирано кредитиране се разбират по смисъла на член 147, параграф 8 от Регламент (ЕС) № 575/2013.</w:t>
            </w:r>
          </w:p>
          <w:p w14:paraId="5AD51A47" w14:textId="467A4357" w:rsidR="00E77292" w:rsidRPr="001C19A0" w:rsidRDefault="00E77292" w:rsidP="008D522D">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експозициите по специализирано кредитиране, които са екологично устойчиви по целта за адаптиране към изменението на климата в съответствие с член 9, буква б) и член 11 от Регламент (ЕС) 2020/852.</w:t>
            </w:r>
          </w:p>
          <w:p w14:paraId="3C5E0510" w14:textId="75260028" w:rsidR="00E77292" w:rsidRPr="001C19A0" w:rsidRDefault="005E5062" w:rsidP="001B102C">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степента, в която експозицията е екологично устойчива, като използват информацията от контрагента.</w:t>
            </w:r>
          </w:p>
          <w:p w14:paraId="7DF50688" w14:textId="4F0284E0" w:rsidR="00E77292" w:rsidRPr="001C19A0" w:rsidRDefault="00034BAB" w:rsidP="00AA68A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Когато използването на постъпленията е известно, по отношение на специализираното кредитиране институциите оповестяват доколко експозицията е екологично устойчива въз основа на степента и дела, до които конкретният финансиран проект се определя като допринасящ съществено за адаптирането към изменението на климата (специфична информация за проекта) в съответствие с член 11 от Регламент (ЕС) 2020/852 или като спомагаща дейност в съответствие с член 16 от същия регламент, и отговаря на критериите, посочени в член 3 от същия регламент.  Институциите предоставят прозрачна информация за видовете икономически дейности, които се финансират чрез специализирано кредитиране. В случай че една и съща експозиция по специализирано кредитиране е от значение за две екологични цели, тази експозиция се отнася към целта, която е от най-голямо значение.</w:t>
            </w:r>
          </w:p>
        </w:tc>
      </w:tr>
      <w:tr w:rsidR="007829F5" w:rsidRPr="001C19A0"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й</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1C19A0" w:rsidRDefault="007829F5"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адаптиране</w:t>
            </w:r>
          </w:p>
          <w:p w14:paraId="0EEEEF1E" w14:textId="77777777" w:rsidR="007829F5" w:rsidRPr="001C19A0" w:rsidRDefault="007829F5"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Член 11 от Регламент (ЕС) 2020/852. Тези дейности следва да обхващат дейностите, които не са спомагащи дейности.</w:t>
            </w:r>
          </w:p>
        </w:tc>
      </w:tr>
      <w:tr w:rsidR="007829F5" w:rsidRPr="001C19A0"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1C19A0" w:rsidRDefault="007829F5"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106096D9" w14:textId="77777777" w:rsidR="007829F5" w:rsidRPr="001C19A0" w:rsidRDefault="007829F5"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Член 16 от Регламент (ЕС) 2020/852.</w:t>
            </w:r>
          </w:p>
        </w:tc>
      </w:tr>
      <w:tr w:rsidR="00E77292" w:rsidRPr="001C19A0"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л</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към сектори, свързани с таксономията </w:t>
            </w:r>
          </w:p>
          <w:p w14:paraId="14CE0F55" w14:textId="42A5B70F" w:rsidR="00C6176D" w:rsidRPr="001C19A0" w:rsidRDefault="00000C40" w:rsidP="00C6176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402EDE7C" w14:textId="6472F62E" w:rsidR="00E77292" w:rsidRPr="001C19A0" w:rsidRDefault="00000C40" w:rsidP="00AA68A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включват сбора от колони б) и ж) от настоящия образец.</w:t>
            </w:r>
          </w:p>
        </w:tc>
      </w:tr>
      <w:tr w:rsidR="00E77292" w:rsidRPr="001C19A0"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м</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561EDA01" w14:textId="5785CB14" w:rsidR="00C6176D" w:rsidRPr="001C19A0" w:rsidRDefault="00000C40" w:rsidP="00C6176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789E4754" w14:textId="222ECC54" w:rsidR="00E77292" w:rsidRPr="001C19A0" w:rsidRDefault="00000C40" w:rsidP="00AA68A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включват сбора от колони в) и з) от настоящия образец.</w:t>
            </w:r>
          </w:p>
        </w:tc>
      </w:tr>
      <w:tr w:rsidR="00E77292" w:rsidRPr="001C19A0"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н</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4D5E5514" w14:textId="4F33092C" w:rsidR="00C6176D" w:rsidRPr="001C19A0" w:rsidRDefault="00000C40" w:rsidP="00C6176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5A100C7A" w14:textId="46F9A775" w:rsidR="00AD24BC" w:rsidRPr="001C19A0" w:rsidRDefault="00AD24BC" w:rsidP="00AD24B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Експозициите по специализирано кредитиране се разбират по смисъла на член 147, параграф 8 от Регламент (ЕС) № 575/2013.</w:t>
            </w:r>
          </w:p>
          <w:p w14:paraId="193C2B16" w14:textId="1D7FBDCE" w:rsidR="00E77292" w:rsidRPr="001C19A0" w:rsidRDefault="00000C40" w:rsidP="00AA68A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включват сбора от колони г) и и) от настоящия образец.</w:t>
            </w:r>
          </w:p>
        </w:tc>
      </w:tr>
      <w:tr w:rsidR="007829F5" w:rsidRPr="001C19A0"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о</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1C19A0" w:rsidRDefault="007829F5"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преходни/адаптиране</w:t>
            </w:r>
          </w:p>
          <w:p w14:paraId="73ACF6D1" w14:textId="77777777" w:rsidR="007829F5" w:rsidRPr="001C19A0" w:rsidRDefault="0077330E"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10 и член 11 от Регламент (ЕС) 2020/852.</w:t>
            </w:r>
          </w:p>
          <w:p w14:paraId="4D85AA22" w14:textId="6CA0FB67" w:rsidR="008A197E" w:rsidRPr="001C19A0" w:rsidRDefault="00000C40" w:rsidP="00AA68AB">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включват сбора от колони д) и й) от настоящия образец.</w:t>
            </w:r>
          </w:p>
        </w:tc>
      </w:tr>
      <w:tr w:rsidR="007829F5" w:rsidRPr="001C19A0"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1C19A0" w:rsidRDefault="00392D8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п</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1C19A0" w:rsidRDefault="007829F5"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51FF6366" w14:textId="77777777" w:rsidR="007829F5" w:rsidRPr="001C19A0" w:rsidRDefault="007829F5"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16 от Регламент (ЕС) 2020/852.</w:t>
            </w:r>
          </w:p>
          <w:p w14:paraId="4D950E48" w14:textId="15F787E4" w:rsidR="008A197E" w:rsidRPr="001C19A0" w:rsidRDefault="00000C40" w:rsidP="00AA68AB">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включват сбора от колони е) и к) от настоящия образец.</w:t>
            </w:r>
          </w:p>
        </w:tc>
      </w:tr>
    </w:tbl>
    <w:p w14:paraId="5A3CD59F" w14:textId="77777777" w:rsidR="00E77292" w:rsidRPr="001C19A0" w:rsidRDefault="00E77292" w:rsidP="001A08A2">
      <w:pPr>
        <w:spacing w:before="120" w:after="120"/>
        <w:jc w:val="both"/>
        <w:rPr>
          <w:rFonts w:asciiTheme="majorBidi" w:hAnsiTheme="majorBidi" w:cstheme="majorBidi"/>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1C19A0"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Редове</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1C19A0" w:rsidRDefault="00E77292"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 Указания</w:t>
            </w:r>
          </w:p>
        </w:tc>
      </w:tr>
      <w:tr w:rsidR="00E77292" w:rsidRPr="001C19A0"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1C19A0" w:rsidRDefault="00E77292" w:rsidP="00D35812">
            <w:pPr>
              <w:spacing w:before="120" w:after="120"/>
              <w:jc w:val="both"/>
              <w:rPr>
                <w:rFonts w:asciiTheme="majorBidi" w:eastAsia="Times New Roman" w:hAnsiTheme="majorBidi" w:cstheme="majorBidi"/>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1C19A0" w:rsidRDefault="00006CBB"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b/>
                <w:noProof/>
                <w:sz w:val="24"/>
                <w:u w:val="single"/>
              </w:rPr>
              <w:t>ОЕА — Активи, включени и в числителя, и в знаменателя</w:t>
            </w:r>
          </w:p>
          <w:p w14:paraId="020722C9" w14:textId="77777777"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Допустими са експозициите, които са свързани с контрагентите и класовете активи, включени в изискванията за оповестяване в съответствие с член 8 от Регламент (ЕС) 2020/852.</w:t>
            </w:r>
          </w:p>
        </w:tc>
      </w:tr>
      <w:tr w:rsidR="00E77292" w:rsidRPr="001C19A0"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Кредити и аванси, дългови ценни книжа и капиталови инструменти, които не са държани за търгуване, допустими за ОЕА</w:t>
            </w:r>
          </w:p>
          <w:p w14:paraId="108272DC" w14:textId="79DBD45F" w:rsidR="00E77292" w:rsidRPr="001C19A0" w:rsidRDefault="00BA4944" w:rsidP="00E03C13">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кредитите и авансите, дълговите ценни книжа и капиталовите инструменти, класифицирани в банковия портфейл, които не са държани за търгуване и за продажба съгласно определението в приложение V към регламент за изпълнение (ЕС) 2021/451.</w:t>
            </w:r>
          </w:p>
        </w:tc>
      </w:tr>
      <w:tr w:rsidR="00E77292" w:rsidRPr="001C19A0"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1C19A0" w:rsidRDefault="00E77292" w:rsidP="001A08A2">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Финансови предприятия</w:t>
            </w:r>
          </w:p>
          <w:p w14:paraId="51EEF5F7" w14:textId="59F5845D" w:rsidR="00E77292" w:rsidRPr="001C19A0" w:rsidRDefault="00BA4944" w:rsidP="0025458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посочени в част 1, точка 42, букви в) и г) от приложение V към Регламент за изпълнение (ЕС) 2021/451.</w:t>
            </w:r>
          </w:p>
        </w:tc>
      </w:tr>
      <w:tr w:rsidR="00E77292" w:rsidRPr="001C19A0"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Кредитни институции</w:t>
            </w:r>
          </w:p>
          <w:p w14:paraId="18274EAB" w14:textId="4735E17E" w:rsidR="00E77292" w:rsidRPr="001C19A0" w:rsidRDefault="00BA4944" w:rsidP="0025458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оповестяват експозициите, посочени в част 1, точка 42, буква в) от приложение V към Регламент за изпълнение (ЕС) 2021/451. </w:t>
            </w:r>
          </w:p>
        </w:tc>
      </w:tr>
      <w:tr w:rsidR="00E77292" w:rsidRPr="001C19A0"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Кредити и аванси</w:t>
            </w:r>
          </w:p>
          <w:p w14:paraId="29646B1C" w14:textId="76166E70" w:rsidR="00E77292" w:rsidRPr="001C19A0" w:rsidRDefault="00BA4944" w:rsidP="0025458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кредитите и авансите, посочени в част 1, точка 32 от приложение V към Регламент за изпълнение (ЕС) 2021/451.</w:t>
            </w:r>
          </w:p>
        </w:tc>
      </w:tr>
      <w:tr w:rsidR="00E77292" w:rsidRPr="001C19A0"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Дългови ценни книжа</w:t>
            </w:r>
          </w:p>
          <w:p w14:paraId="3103A91D" w14:textId="4E2875E0" w:rsidR="00E77292" w:rsidRPr="001C19A0" w:rsidRDefault="00BA4944" w:rsidP="0025458E">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дълговите ценни книжа, посочени в част 1, точка 31 от приложение V към Регламент за изпълнение (ЕС) 2021/451.</w:t>
            </w:r>
          </w:p>
        </w:tc>
      </w:tr>
      <w:tr w:rsidR="00E77292" w:rsidRPr="001C19A0"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Капиталови инструменти</w:t>
            </w:r>
          </w:p>
          <w:p w14:paraId="7520B181" w14:textId="72F0D5B9" w:rsidR="00E77292" w:rsidRPr="001C19A0" w:rsidRDefault="00BA4944" w:rsidP="006632B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капиталовите инструменти, посочени в приложение V към Регламент за изпълнение (ЕС) 2021/451. Капиталовите инструменти в банковия портфейл включват инвестиции в асоциирани предприятия, съвместни предприятия и дъщерни предприятия, които не са напълно или пропорционално консолидирани.</w:t>
            </w:r>
          </w:p>
        </w:tc>
      </w:tr>
      <w:tr w:rsidR="00E77292" w:rsidRPr="001C19A0"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Други финансови предприятия</w:t>
            </w:r>
          </w:p>
          <w:p w14:paraId="1751F2D9" w14:textId="6C24CDDA" w:rsidR="00E77292" w:rsidRPr="001C19A0" w:rsidRDefault="00BA4944" w:rsidP="0025458E">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експозициите към други финансови предприятия, посочени в част 1, точка 42, буква г) от приложение V към Регламент за изпълнение (ЕС) 2021/451.</w:t>
            </w:r>
          </w:p>
        </w:tc>
      </w:tr>
      <w:tr w:rsidR="00E77292" w:rsidRPr="001C19A0"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1C19A0" w:rsidRDefault="00006CB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инвестиционни посредници</w:t>
            </w:r>
          </w:p>
          <w:p w14:paraId="0EC286DA" w14:textId="4A9C4A33" w:rsidR="00E77292" w:rsidRPr="001C19A0" w:rsidRDefault="00BA4944" w:rsidP="00AA68A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към инвестиционни посредници съгласно определението в член 4, параграф 1, точка 2 от Регламент (ЕС) № 575/2013.</w:t>
            </w:r>
          </w:p>
        </w:tc>
      </w:tr>
      <w:tr w:rsidR="00E77292" w:rsidRPr="001C19A0"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управляващи дружества</w:t>
            </w:r>
          </w:p>
          <w:p w14:paraId="732BAA5E" w14:textId="3DADCAF7" w:rsidR="00E77292" w:rsidRPr="001C19A0" w:rsidRDefault="00BA4944" w:rsidP="00E03C13">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експозициите към управляващи дружества съгласно определението в член 4, параграф 1, точка 19 от Регламент (ЕС) № 575/2013.</w:t>
            </w:r>
          </w:p>
        </w:tc>
      </w:tr>
      <w:tr w:rsidR="00E77292" w:rsidRPr="001C19A0"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застрахователни дружества</w:t>
            </w:r>
          </w:p>
          <w:p w14:paraId="2D36EB82" w14:textId="742B981A" w:rsidR="00E77292" w:rsidRPr="001C19A0" w:rsidRDefault="00BA4944" w:rsidP="00AA68AB">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към застрахователни дружества съгласно определението в член 4, параграф 1, точка 5 от Регламент (ЕС) № 575/2013.</w:t>
            </w:r>
          </w:p>
        </w:tc>
      </w:tr>
      <w:tr w:rsidR="00E77292" w:rsidRPr="001C19A0"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Нефинансови предприятия, за които се прилагат задължения за оповестяване съгласно Директивата относно оповестяването на нефинансова информация (ДОНФИ) </w:t>
            </w:r>
          </w:p>
          <w:p w14:paraId="1549AAC1" w14:textId="17946909" w:rsidR="00E77292" w:rsidRPr="001C19A0" w:rsidRDefault="00BA4944" w:rsidP="0025458E">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експозициите към нефинансови предприятия, както е посочено в част 1, точка 42, буква д) от приложение V към Регламент за изпълнение (ЕС) 2021/451, за които се прилагат задължения за оповестяване съгласно Директива 2014/95/ЕС.</w:t>
            </w:r>
          </w:p>
        </w:tc>
      </w:tr>
      <w:tr w:rsidR="00E77292" w:rsidRPr="001C19A0"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92686B1" w:rsidR="00E77292" w:rsidRPr="001C19A0" w:rsidRDefault="00E77292" w:rsidP="001C19A0">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w:t>
            </w:r>
            <w:r w:rsidR="001C19A0">
              <w:rPr>
                <w:rFonts w:asciiTheme="majorBidi" w:hAnsiTheme="majorBidi" w:cstheme="majorBidi"/>
                <w:b/>
                <w:noProof/>
                <w:sz w:val="24"/>
                <w:u w:val="single"/>
              </w:rPr>
              <w:t>к</w:t>
            </w:r>
            <w:r w:rsidRPr="001C19A0">
              <w:rPr>
                <w:rFonts w:asciiTheme="majorBidi" w:hAnsiTheme="majorBidi" w:cstheme="majorBidi"/>
                <w:b/>
                <w:noProof/>
                <w:sz w:val="24"/>
                <w:u w:val="single"/>
              </w:rPr>
              <w:t>редити за търговски недвижими имоти</w:t>
            </w:r>
          </w:p>
          <w:p w14:paraId="392E49CD" w14:textId="334AC537" w:rsidR="00E77292" w:rsidRPr="001C19A0" w:rsidRDefault="00BA4944" w:rsidP="0025458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посочени в част 2, точка 173, буква а) и точка 239ix от приложение V към Регламент за изпълнение (ЕС) 2021/451.</w:t>
            </w:r>
          </w:p>
        </w:tc>
      </w:tr>
      <w:tr w:rsidR="00E77292" w:rsidRPr="001C19A0"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1C19A0" w:rsidRDefault="008A7C0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Домакинства</w:t>
            </w:r>
          </w:p>
          <w:p w14:paraId="0FAA2730" w14:textId="64391FE0" w:rsidR="00E77292" w:rsidRPr="001C19A0" w:rsidRDefault="00BA494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кредитите и авансите, посочени в част 1, точка 42, буква е) от приложение V към Регламент за изпълнение (ЕС) 2021/451.</w:t>
            </w:r>
          </w:p>
          <w:p w14:paraId="0DAE2067" w14:textId="7E88B481" w:rsidR="00A13CAF" w:rsidRPr="001C19A0" w:rsidRDefault="00BA4944" w:rsidP="00BA4944">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Институциите трябва да събират информация от своите контрагенти двустранно при процесите на отпускане на кредити и на редовен преглед и наблюдение на кредитите. </w:t>
            </w:r>
          </w:p>
        </w:tc>
      </w:tr>
      <w:tr w:rsidR="00E77292" w:rsidRPr="001C19A0"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1C19A0" w:rsidRDefault="008A7C0A"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обезпечени с жилищен недвижим имот</w:t>
            </w:r>
          </w:p>
          <w:p w14:paraId="685267C9" w14:textId="5B5C7754" w:rsidR="00E77292" w:rsidRPr="001C19A0" w:rsidRDefault="00BA494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кредитите и авансите, обезпечени с жилищен недвижим имот, както е посочено в част 2, точка 173, буква а) от приложение V към Регламент за изпълнение (ЕС) 2021/451.</w:t>
            </w:r>
          </w:p>
          <w:p w14:paraId="3C6471F3" w14:textId="2FEFEDE7" w:rsidR="004C2F9A" w:rsidRPr="001C19A0" w:rsidRDefault="004C2F9A" w:rsidP="00DD5EA1">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Съобразяването на тези експозиции с Регламент (ЕС) 2020/852 се оценява само чрез опростен подход за целта за смекчаване на изменението на климата в съответствие с техническите критерии за проверка на сградите, а именно ремонт, придобиване и собственост съгласно съответно точки 7.2., 7.3., 7.4., 7.5., 7.6. и 7.7. от приложение I към Делегиран регламент (ЕС) 2021/2139 въз основа на енергийната ефективност на базовото обезпечение.</w:t>
            </w:r>
          </w:p>
        </w:tc>
      </w:tr>
      <w:tr w:rsidR="008A7C0A" w:rsidRPr="001C19A0"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1C19A0" w:rsidRDefault="008A7C0A" w:rsidP="008A7C0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1C19A0" w:rsidRDefault="008A7C0A" w:rsidP="008A7C0A">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за ремонт на сгради</w:t>
            </w:r>
          </w:p>
          <w:p w14:paraId="2E99B0EE" w14:textId="2286861F" w:rsidR="004C2F9A" w:rsidRPr="001C19A0" w:rsidRDefault="00BA4944" w:rsidP="008A7C0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кредитите, отпуснати на домакинства с цел ремонт на жилището.</w:t>
            </w:r>
          </w:p>
          <w:p w14:paraId="5925605E" w14:textId="236153E5" w:rsidR="008A7C0A" w:rsidRPr="001C19A0" w:rsidRDefault="004C2F9A" w:rsidP="00DF1EFB">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 xml:space="preserve">Съобразяването на тези експозиции с Регламент (ЕС) 2020/852 се оценява само чрез опростен подход за целта за смекчаване на изменението на климата в съответствие с техническите критерии за проверка на сградите, а именно ремонт, придобиване и собственост съгласно съответно точки 7.2., 7.3., 7.4., 7.5., 7.6. и 7.7. от приложение I към Делегиран регламент (ЕС) 2021/2139 въз основа на енергийната ефективност на базовото обезпечение. </w:t>
            </w:r>
          </w:p>
        </w:tc>
      </w:tr>
      <w:tr w:rsidR="00E77292" w:rsidRPr="001C19A0"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1C19A0" w:rsidRDefault="00A23F56"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1C19A0" w:rsidRDefault="00FA43A9"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за моторни превозни средства</w:t>
            </w:r>
          </w:p>
          <w:p w14:paraId="7EB37468" w14:textId="10CFFD98" w:rsidR="004C2F9A" w:rsidRPr="001C19A0" w:rsidRDefault="00BA4944" w:rsidP="0025458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кредитите за моторни превозни средства, посочени в част 2, точка 173, буква б), подточка ii) от приложение V към Регламент за изпълнение (ЕС) 2021/451, и другите кредити, отпуснати за придобиване на моторно превозно средство, оценени съгласно опростен подход по целта за смекчаване на изменението на климата в съответствие с техническите критерии за проверка за финансиране, вземане под наем на лизинг на превозни средства в съответствие с раздел 6.5 от приложение I към Делегиран регламент (ЕС) 2021/2139 въз основа на енергийната ефективност на базовото превозно средство.</w:t>
            </w:r>
          </w:p>
        </w:tc>
      </w:tr>
      <w:tr w:rsidR="00A23F56" w:rsidRPr="001C19A0"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1C19A0" w:rsidRDefault="00A23F56"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1C19A0" w:rsidRDefault="00A23F56"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Финансиране на органи на местното самоуправление</w:t>
            </w:r>
          </w:p>
          <w:p w14:paraId="09F81AA2" w14:textId="77777777" w:rsidR="00303A1A" w:rsidRPr="001C19A0" w:rsidRDefault="00303A1A"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Сборът на редове 29 и 30.</w:t>
            </w:r>
          </w:p>
          <w:p w14:paraId="0E225FD1" w14:textId="77777777" w:rsidR="00A23F56" w:rsidRPr="001C19A0" w:rsidRDefault="00A23F56" w:rsidP="00DA390D">
            <w:pPr>
              <w:spacing w:before="120" w:after="120"/>
              <w:jc w:val="both"/>
              <w:rPr>
                <w:rFonts w:asciiTheme="majorBidi" w:eastAsia="Times New Roman" w:hAnsiTheme="majorBidi" w:cstheme="majorBidi"/>
                <w:b/>
                <w:noProof/>
                <w:sz w:val="24"/>
                <w:u w:val="single"/>
                <w:lang w:val="en-GB"/>
              </w:rPr>
            </w:pPr>
          </w:p>
        </w:tc>
      </w:tr>
      <w:tr w:rsidR="00E77292" w:rsidRPr="001C19A0"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1C19A0" w:rsidRDefault="009148AF"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Финансиране за жилищно настаняване</w:t>
            </w:r>
          </w:p>
          <w:p w14:paraId="45980CA7" w14:textId="3EC0E3D7" w:rsidR="00E77292" w:rsidRPr="001C19A0" w:rsidRDefault="00BA4944">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кредитите, отпуснати на органи на местното самоуправление с цел финансиране на придобиването на обществени жилища.</w:t>
            </w:r>
          </w:p>
        </w:tc>
      </w:tr>
      <w:tr w:rsidR="009148AF" w:rsidRPr="001C19A0"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1C19A0" w:rsidRDefault="009148AF"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1C19A0" w:rsidRDefault="009148AF"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Друго финансиране на органи на местното самоуправление</w:t>
            </w:r>
          </w:p>
          <w:p w14:paraId="4DB79CD5" w14:textId="489B86DA" w:rsidR="009148AF" w:rsidRPr="001C19A0" w:rsidDel="009148AF" w:rsidRDefault="00BA4944" w:rsidP="00AC69F0">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кредитите, отпуснати на органи на местното управление с цел финансиране на експозиции по специализирано кредитиране, различни от произтичащите от придобиването на обществени жилища.</w:t>
            </w:r>
          </w:p>
        </w:tc>
      </w:tr>
      <w:tr w:rsidR="00E77292" w:rsidRPr="001C19A0"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Обезпечения, придобити чрез влизане във владение: жилищни и търговски недвижими имоти</w:t>
            </w:r>
          </w:p>
          <w:p w14:paraId="1808CE07" w14:textId="41C4FED7" w:rsidR="00E77292" w:rsidRPr="001C19A0" w:rsidRDefault="00BA4944" w:rsidP="0025458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обезпеченията, придобити чрез влизане във владение, както е посочено в част 2, точка 341 от приложение V към Регламент за изпълнение (ЕС) 2021/451.</w:t>
            </w:r>
          </w:p>
        </w:tc>
      </w:tr>
      <w:tr w:rsidR="00E77292" w:rsidRPr="001C19A0"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Общо ОЕА</w:t>
            </w:r>
          </w:p>
          <w:p w14:paraId="10A13976" w14:textId="77777777" w:rsidR="00E77292" w:rsidRPr="001C19A0" w:rsidRDefault="00E77292"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Този ред е равен на ред 1 от настоящия образец.</w:t>
            </w:r>
          </w:p>
        </w:tc>
      </w:tr>
      <w:tr w:rsidR="00CD133B" w:rsidRPr="001C19A0"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1C19A0" w:rsidRDefault="00CD133B" w:rsidP="00D35812">
            <w:pPr>
              <w:spacing w:before="120" w:after="120"/>
              <w:jc w:val="both"/>
              <w:rPr>
                <w:rFonts w:asciiTheme="majorBidi" w:eastAsia="Times New Roman" w:hAnsiTheme="majorBidi" w:cstheme="majorBidi"/>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1C19A0" w:rsidRDefault="00CD133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Активи, изключени от числителя за изчисляването на ОЕА (включени в знаменателя) </w:t>
            </w:r>
          </w:p>
        </w:tc>
      </w:tr>
      <w:tr w:rsidR="00CD133B" w:rsidRPr="001C19A0"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1C19A0" w:rsidRDefault="00CD133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1C19A0" w:rsidRDefault="00CD133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Нефинансови предприятия от ЕС (за които не се прилагат задължения за оповестяване съгласно ДОНФИ)</w:t>
            </w:r>
          </w:p>
          <w:p w14:paraId="0461EE52" w14:textId="05CDE705" w:rsidR="00CD133B" w:rsidRPr="001C19A0" w:rsidRDefault="00A947C1"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към нефинансови предприятия съгласно определението в част 1, точка 42, буква д) от приложение V към Регламент за изпълнение (ЕС) 2021/451, които се намират в Съюза и за които не се прилагат задълженията за оповестяване съгласно Директива 2014/95/ЕС.</w:t>
            </w:r>
          </w:p>
          <w:p w14:paraId="3C007F41" w14:textId="77777777" w:rsidR="001B151C" w:rsidRPr="001C19A0" w:rsidRDefault="001B151C" w:rsidP="002812BA">
            <w:pPr>
              <w:spacing w:before="120" w:after="120"/>
              <w:jc w:val="both"/>
              <w:rPr>
                <w:rFonts w:asciiTheme="majorBidi" w:eastAsia="Times New Roman" w:hAnsiTheme="majorBidi" w:cstheme="majorBidi"/>
                <w:b/>
                <w:noProof/>
                <w:sz w:val="24"/>
              </w:rPr>
            </w:pPr>
          </w:p>
        </w:tc>
      </w:tr>
      <w:tr w:rsidR="00E132E7" w:rsidRPr="001C19A0"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1C19A0" w:rsidRDefault="00E132E7"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1C19A0" w:rsidRDefault="00E132E7" w:rsidP="00E132E7">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Нефинансови предприятия извън ЕС (за които не се прилагат задълженията за оповестяване съгласно ДОНФИ)</w:t>
            </w:r>
          </w:p>
          <w:p w14:paraId="5A1C401F" w14:textId="7BD3A9B5" w:rsidR="00E132E7" w:rsidRPr="001C19A0" w:rsidRDefault="00A947C1" w:rsidP="00E132E7">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към нефинансови предприятия съгласно определението в част 1, точка 42, буква д) от приложение V към Регламент за изпълнение (ЕС) 2021/451, които се намират извън Съюза и за които не се прилагат задълженията за оповестяване съгласно Директива 2014/95/ЕС.</w:t>
            </w:r>
          </w:p>
          <w:p w14:paraId="08D4D5E2" w14:textId="77777777" w:rsidR="001B151C" w:rsidRPr="001C19A0" w:rsidRDefault="001B151C" w:rsidP="003F07A6">
            <w:pPr>
              <w:spacing w:before="120" w:after="120"/>
              <w:jc w:val="both"/>
              <w:rPr>
                <w:rFonts w:asciiTheme="majorBidi" w:eastAsia="Times New Roman" w:hAnsiTheme="majorBidi" w:cstheme="majorBidi"/>
                <w:b/>
                <w:noProof/>
                <w:sz w:val="24"/>
                <w:u w:val="single"/>
              </w:rPr>
            </w:pPr>
          </w:p>
        </w:tc>
      </w:tr>
      <w:tr w:rsidR="00E132E7" w:rsidRPr="001C19A0"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1C19A0" w:rsidRDefault="00E132E7" w:rsidP="00D35812">
            <w:pPr>
              <w:spacing w:before="120" w:after="120"/>
              <w:jc w:val="both"/>
              <w:rPr>
                <w:rFonts w:asciiTheme="majorBidi" w:eastAsia="Times New Roman" w:hAnsiTheme="majorBidi" w:cstheme="majorBidi"/>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1C19A0" w:rsidRDefault="00E132E7" w:rsidP="00007009">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Активи, изключени от числителя за ОЕА (включени в знаменателя)</w:t>
            </w:r>
          </w:p>
        </w:tc>
      </w:tr>
      <w:tr w:rsidR="003F07A6" w:rsidRPr="001C19A0"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Деривати</w:t>
            </w:r>
          </w:p>
          <w:p w14:paraId="13FA392A" w14:textId="395D1B05" w:rsidR="003F07A6" w:rsidRPr="001C19A0" w:rsidRDefault="00A947C1" w:rsidP="00BF0EC4">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Институциите оповестяват дериватите, които не се държат за търгуване, както е посочено в част 1, точка 10 от приложение V към Регламент за изпълнение (ЕС) 2021/451.</w:t>
            </w:r>
          </w:p>
        </w:tc>
      </w:tr>
      <w:tr w:rsidR="003F07A6" w:rsidRPr="001C19A0"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Междубанкови заеми при поискване</w:t>
            </w:r>
          </w:p>
          <w:p w14:paraId="47A85C06" w14:textId="04D51BF9" w:rsidR="003F07A6" w:rsidRPr="001C19A0" w:rsidRDefault="00A947C1" w:rsidP="00BF0EC4">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Институциите оповестяват информация за „Други депозити на виждане“, както е посочено в част 2, точка 3 от приложение V към Регламент за изпълнение (ЕС) 2021/451.</w:t>
            </w:r>
          </w:p>
        </w:tc>
      </w:tr>
      <w:tr w:rsidR="003F07A6" w:rsidRPr="001C19A0"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Парични средства и активи, свързани с парични средства</w:t>
            </w:r>
          </w:p>
          <w:p w14:paraId="17E12C37" w14:textId="04329AEF" w:rsidR="003F07A6" w:rsidRPr="001C19A0" w:rsidRDefault="00A947C1" w:rsidP="00BF0EC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Институциите оповестяват информация за „Парични наличности“, както е посочено в част 2, точка 1 от приложение V към Регламент за изпълнение (ЕС) 2021/451.</w:t>
            </w:r>
          </w:p>
        </w:tc>
      </w:tr>
      <w:tr w:rsidR="003F07A6" w:rsidRPr="001C19A0"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Други активи (включително репутация, стоки и др.)</w:t>
            </w:r>
          </w:p>
          <w:p w14:paraId="6DE96F79" w14:textId="5727A371" w:rsidR="003F07A6" w:rsidRPr="001C19A0" w:rsidRDefault="00A947C1" w:rsidP="00E03C13">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Институциите оповестяват информация за други активи в счетоводния баланс на институцията, които не са включени в редове 41, 42 и 43 на настоящия образец.</w:t>
            </w:r>
          </w:p>
        </w:tc>
      </w:tr>
      <w:tr w:rsidR="003F07A6" w:rsidRPr="001C19A0"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Общо активи в знаменателя (ОЕА)</w:t>
            </w:r>
          </w:p>
          <w:p w14:paraId="3499FF5E" w14:textId="22EFA479" w:rsidR="003F07A6" w:rsidRPr="001C19A0" w:rsidRDefault="00E03C13"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Този ред е сборът от редове 32, 33, 37 и 41—44 от настоящия образец.</w:t>
            </w:r>
          </w:p>
        </w:tc>
      </w:tr>
      <w:tr w:rsidR="003F07A6" w:rsidRPr="001C19A0"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1C19A0" w:rsidRDefault="003F07A6" w:rsidP="003F07A6">
            <w:pPr>
              <w:spacing w:before="120" w:after="120"/>
              <w:jc w:val="both"/>
              <w:rPr>
                <w:rFonts w:asciiTheme="majorBidi" w:eastAsia="Times New Roman" w:hAnsiTheme="majorBidi" w:cstheme="majorBidi"/>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Други активи, изключени и от числителя, и от знаменателя за изчисляването на ОЕА</w:t>
            </w:r>
          </w:p>
        </w:tc>
      </w:tr>
      <w:tr w:rsidR="003F07A6" w:rsidRPr="001C19A0"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Държави</w:t>
            </w:r>
          </w:p>
          <w:p w14:paraId="0068097C" w14:textId="3A8C8A57" w:rsidR="003F07A6" w:rsidRPr="001C19A0" w:rsidRDefault="00A947C1" w:rsidP="00BF0EC4">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 xml:space="preserve">Институциите оповестяват информация за сектор „Държавно управление“, както е посочено в част 1, точка 42 от приложение V към Регламент за изпълнение (ЕС) 2021/451, с изключение на експозициите, включени в редове 29 и 30 от настоящия образец. </w:t>
            </w:r>
          </w:p>
        </w:tc>
      </w:tr>
      <w:tr w:rsidR="003F07A6" w:rsidRPr="001C19A0"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Експозиции към централни банки</w:t>
            </w:r>
          </w:p>
          <w:p w14:paraId="73C7F3A4" w14:textId="3CA3F111" w:rsidR="003F07A6" w:rsidRPr="001C19A0" w:rsidRDefault="00260C35" w:rsidP="00BF0EC4">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Институциите оповестяват експозициите към централни банки.</w:t>
            </w:r>
          </w:p>
        </w:tc>
      </w:tr>
      <w:tr w:rsidR="003F07A6" w:rsidRPr="001C19A0"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Търговски портфейл</w:t>
            </w:r>
          </w:p>
          <w:p w14:paraId="3C0A4841" w14:textId="7863DB42" w:rsidR="003F07A6" w:rsidRPr="001C19A0" w:rsidRDefault="00260C35" w:rsidP="00BF0EC4">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Институциите оповестяват финансовите активи, държани за търгуване, или финансовите активи за търгуване, както е определено в приложимите счетоводни принципи.</w:t>
            </w:r>
          </w:p>
        </w:tc>
      </w:tr>
      <w:tr w:rsidR="003F07A6" w:rsidRPr="001C19A0"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Общо активи, изключени от числителя и знаменателя</w:t>
            </w:r>
          </w:p>
          <w:p w14:paraId="4E25E623" w14:textId="29DF7B1F" w:rsidR="003F07A6" w:rsidRPr="001C19A0" w:rsidRDefault="003F07A6" w:rsidP="001B0E70">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Този ред е сборът от редове 46, 47 и 48 от настоящия образец.</w:t>
            </w:r>
          </w:p>
        </w:tc>
      </w:tr>
      <w:tr w:rsidR="003F07A6" w:rsidRPr="001C19A0"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1C19A0" w:rsidRDefault="003F07A6" w:rsidP="003F07A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1C19A0" w:rsidRDefault="003F07A6" w:rsidP="003F07A6">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Общи активи</w:t>
            </w:r>
          </w:p>
          <w:p w14:paraId="1D05E2AE" w14:textId="2CCBAA46" w:rsidR="003F07A6" w:rsidRPr="001C19A0" w:rsidRDefault="003F07A6" w:rsidP="001B0E70">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Този ред е сборът от редове 45 и 49 от настоящия образец.</w:t>
            </w:r>
          </w:p>
        </w:tc>
      </w:tr>
    </w:tbl>
    <w:p w14:paraId="7C2D2E2C" w14:textId="77777777" w:rsidR="00C404E2" w:rsidRPr="001C19A0" w:rsidRDefault="00C404E2" w:rsidP="00D35812">
      <w:pPr>
        <w:jc w:val="both"/>
        <w:rPr>
          <w:rFonts w:asciiTheme="majorBidi" w:hAnsiTheme="majorBidi" w:cstheme="majorBidi"/>
          <w:b/>
          <w:noProof/>
          <w:sz w:val="24"/>
        </w:rPr>
      </w:pPr>
    </w:p>
    <w:p w14:paraId="6C513D1A" w14:textId="77777777" w:rsidR="00E77292" w:rsidRPr="001C19A0" w:rsidRDefault="00E77292" w:rsidP="001A08A2">
      <w:pPr>
        <w:jc w:val="both"/>
        <w:rPr>
          <w:rFonts w:asciiTheme="majorBidi" w:hAnsiTheme="majorBidi" w:cstheme="majorBidi"/>
          <w:noProof/>
          <w:sz w:val="24"/>
        </w:rPr>
      </w:pPr>
    </w:p>
    <w:p w14:paraId="03A1F6AD" w14:textId="77777777" w:rsidR="00E77292" w:rsidRPr="001C19A0" w:rsidRDefault="00E77292" w:rsidP="00D35812">
      <w:pPr>
        <w:jc w:val="both"/>
        <w:rPr>
          <w:rFonts w:asciiTheme="majorBidi" w:hAnsiTheme="majorBidi" w:cstheme="majorBidi"/>
          <w:b/>
          <w:noProof/>
          <w:sz w:val="24"/>
        </w:rPr>
      </w:pPr>
      <w:r w:rsidRPr="001C19A0">
        <w:rPr>
          <w:rFonts w:asciiTheme="majorBidi" w:hAnsiTheme="majorBidi" w:cstheme="majorBidi"/>
          <w:b/>
          <w:noProof/>
          <w:sz w:val="24"/>
        </w:rPr>
        <w:t xml:space="preserve">Образец 8 – </w:t>
      </w:r>
      <w:bookmarkStart w:id="16" w:name="_Hlk86261561"/>
      <w:r w:rsidRPr="001C19A0">
        <w:rPr>
          <w:rFonts w:asciiTheme="majorBidi" w:hAnsiTheme="majorBidi" w:cstheme="majorBidi"/>
          <w:b/>
          <w:noProof/>
          <w:sz w:val="24"/>
        </w:rPr>
        <w:t>ОЕА (%)</w:t>
      </w:r>
      <w:bookmarkEnd w:id="16"/>
    </w:p>
    <w:p w14:paraId="7780F16F" w14:textId="77777777" w:rsidR="00E77292" w:rsidRPr="001C19A0" w:rsidRDefault="00E77292" w:rsidP="00DA390D">
      <w:pPr>
        <w:jc w:val="both"/>
        <w:rPr>
          <w:rFonts w:asciiTheme="majorBidi" w:hAnsiTheme="majorBidi" w:cstheme="majorBidi"/>
          <w:b/>
          <w:noProof/>
          <w:sz w:val="24"/>
          <w:lang w:val="en-GB"/>
        </w:rPr>
      </w:pPr>
    </w:p>
    <w:p w14:paraId="28BB1E12" w14:textId="5ECE68CE" w:rsidR="001040D3" w:rsidRPr="001C19A0" w:rsidRDefault="001040D3" w:rsidP="00BD7C6D">
      <w:pPr>
        <w:pStyle w:val="ListParagraph"/>
        <w:numPr>
          <w:ilvl w:val="0"/>
          <w:numId w:val="24"/>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Институциите използват следните указания за оповестяването на информацията, изисквана в образец 8 — „ОЕА (%)“, както е посочено в приложение XXXIX към настоящия регламент. </w:t>
      </w:r>
    </w:p>
    <w:p w14:paraId="2D7D5E00" w14:textId="12194817" w:rsidR="00FA7820" w:rsidRPr="001C19A0" w:rsidRDefault="00E37C15" w:rsidP="00BD7C6D">
      <w:pPr>
        <w:pStyle w:val="ListParagraph"/>
        <w:numPr>
          <w:ilvl w:val="0"/>
          <w:numId w:val="24"/>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Въз основа на включената в образец 7 информация в настоящия образец институциите оповестяват ОЕА, както е посочено в Делегиран регламент (ЕС) 2021/2178. </w:t>
      </w:r>
    </w:p>
    <w:p w14:paraId="3D8BE816" w14:textId="71274C68" w:rsidR="00D4595F" w:rsidRPr="001C19A0" w:rsidRDefault="003C4AB2" w:rsidP="00BD7C6D">
      <w:pPr>
        <w:pStyle w:val="ListParagraph"/>
        <w:numPr>
          <w:ilvl w:val="0"/>
          <w:numId w:val="24"/>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Целта на настоящия образец е да покаже до каква степен дейностите на институциите се определят като екологично устойчиви в съответствие с членове 3 и 9 от Регламент (ЕС) 2020/852, така че заинтересованите страни да могат да разберат действията, които институциите предприемат за смекчаване на прехода към изменението на климата и на физическите рискове. </w:t>
      </w:r>
    </w:p>
    <w:p w14:paraId="3B5375C6" w14:textId="2394BF63" w:rsidR="00E37C15" w:rsidRPr="001C19A0" w:rsidRDefault="00E37C15" w:rsidP="00BD7C6D">
      <w:pPr>
        <w:pStyle w:val="ListParagraph"/>
        <w:numPr>
          <w:ilvl w:val="0"/>
          <w:numId w:val="24"/>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 Делегиран регламент (ЕС) 2021/2178 се изисква институциите да оценяват приблизително и да оповестяват ОЕА два пъти. Първото оповестяване се основава на съобразяването на оборота на контрагента с таксономията (за нефинансовите предприятия) за експозициите, които не са предназначени за финансиране на посочени определени дейности (кредитиране с общо предназначение). Второто оповестяване се основава на съобразяването на КР в съответствие с Регламент (ЕС) 2020/852 на контрагента за същите кредитни експозиции с общо предназначение. В настоящия образец институциите оповестяват ОЕА само веднъж въз основа единствено на съобразяването на оборота на контрагента с таксономията за частта от кредитирането с общо предназначение.</w:t>
      </w:r>
    </w:p>
    <w:p w14:paraId="0BDA0859" w14:textId="34293F89" w:rsidR="00E37C15" w:rsidRPr="001C19A0" w:rsidRDefault="002A2C5B" w:rsidP="00BD7C6D">
      <w:pPr>
        <w:pStyle w:val="ListParagraph"/>
        <w:numPr>
          <w:ilvl w:val="0"/>
          <w:numId w:val="24"/>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започват да оповестяват тази информация с първа референтна дата 31 декември 2023 г., която съответства на първата референтна дата за оповестяване за информацията относно ОЕА, посочена в Делегиран регламент (ЕС) 2021/2178.</w:t>
      </w:r>
    </w:p>
    <w:p w14:paraId="467EE286" w14:textId="77777777" w:rsidR="00E37C15" w:rsidRPr="001C19A0" w:rsidRDefault="00E37C15" w:rsidP="004A75EF">
      <w:pPr>
        <w:spacing w:before="120" w:after="120"/>
        <w:jc w:val="both"/>
        <w:rPr>
          <w:rFonts w:asciiTheme="majorBidi" w:hAnsiTheme="majorBidi" w:cstheme="majorBidi"/>
          <w:noProof/>
          <w:sz w:val="24"/>
        </w:rPr>
      </w:pPr>
    </w:p>
    <w:p w14:paraId="0CC4FE42" w14:textId="77777777" w:rsidR="00E77292" w:rsidRPr="001C19A0" w:rsidRDefault="00E77292" w:rsidP="00720CB4">
      <w:pPr>
        <w:pStyle w:val="ListParagraph"/>
        <w:spacing w:before="120" w:after="120"/>
        <w:jc w:val="both"/>
        <w:rPr>
          <w:rFonts w:asciiTheme="majorBidi" w:hAnsiTheme="majorBidi" w:cstheme="majorBidi"/>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1C19A0"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Указания</w:t>
            </w:r>
          </w:p>
        </w:tc>
      </w:tr>
      <w:tr w:rsidR="00E77292" w:rsidRPr="001C19A0"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на активите за финансиране на сектори от значение за таксономията</w:t>
            </w:r>
          </w:p>
          <w:p w14:paraId="0CFB2F14" w14:textId="72BE58F2"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наличността от активи за финансиране на дейности, посочени в Регламент (ЕС) 2020/852 (т.е. допустими активи), от общата наличност от покрити активи. Статията се изразява в проценти.</w:t>
            </w:r>
          </w:p>
          <w:p w14:paraId="1B49D926" w14:textId="2BBE1969"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активи за финансиране на секторите от значение за таксономията, посочени в Регламент (ЕС) 2020/852, за целта за смекчаване на изменението на климата, както е посочено в указанията, отнасящи се за колона б) от образец 7.</w:t>
            </w:r>
          </w:p>
          <w:p w14:paraId="7B1C5A32" w14:textId="787727DB" w:rsidR="00E77292" w:rsidRPr="001C19A0" w:rsidRDefault="00E77292" w:rsidP="008572A9">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определена в указанията, отнасящи се за колона а) от образец 7.</w:t>
            </w:r>
          </w:p>
        </w:tc>
      </w:tr>
      <w:tr w:rsidR="00E77292" w:rsidRPr="001C19A0"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б</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32793EAC" w14:textId="5C52678D"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за финансиране на екологично устойчиви дейности (т.е. съобразени активи) от наличността от допустими активи. Статията се изразява в проценти.</w:t>
            </w:r>
          </w:p>
          <w:p w14:paraId="70661FCD" w14:textId="04FC16FD"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активи за финансиране на екологично устойчиви дейности по целта за смекчаване на изменението на климата, както е посочено в указанията, отнасящи се за колона в) от образец 7.</w:t>
            </w:r>
          </w:p>
          <w:p w14:paraId="18DEFB14" w14:textId="3C9D28A5" w:rsidR="00E77292" w:rsidRPr="001C19A0" w:rsidRDefault="00E77292" w:rsidP="00014788">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експозиции, както е посочено в указанията, отнасящи се за колона а) от образец 7.</w:t>
            </w:r>
          </w:p>
        </w:tc>
      </w:tr>
      <w:tr w:rsidR="00E77292" w:rsidRPr="001C19A0"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7807F72F" w14:textId="00E04139"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категоризирани като специализирано кредитиране за финансиране на екологично устойчиви дейности по целта за смекчаване на изменението на климата, от наличностите от активи, с които се финансират екологично устойчиви дейности. Статията се изразява в проценти.</w:t>
            </w:r>
          </w:p>
          <w:p w14:paraId="64A2C048" w14:textId="7A1BB848"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активите, както е посочено в указанията, отнасящи се за колона г) от образец 7.</w:t>
            </w:r>
          </w:p>
          <w:p w14:paraId="52B76DE3" w14:textId="219669B9" w:rsidR="00E77292" w:rsidRPr="001C19A0" w:rsidRDefault="00E77292"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F87201" w:rsidRPr="001C19A0"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1C19A0" w:rsidRDefault="00F87201"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г</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1C19A0" w:rsidRDefault="00F87201"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преходни</w:t>
            </w:r>
          </w:p>
          <w:p w14:paraId="43979797" w14:textId="77777777" w:rsidR="00F87201" w:rsidRPr="001C19A0" w:rsidRDefault="0077330E"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10 от Регламент (ЕС) 2020/852.</w:t>
            </w:r>
          </w:p>
          <w:p w14:paraId="299F4BBB" w14:textId="3F13635A" w:rsidR="00B075BA"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свързани с преходни дейности по целта за смекчаване на изменението на климата, от наличностите от активи, с които се финансират екологично устойчиви дейности. Статията се изразява в проценти.</w:t>
            </w:r>
          </w:p>
          <w:p w14:paraId="5F291089" w14:textId="1013EEF4" w:rsidR="00B075BA" w:rsidRPr="001C19A0" w:rsidRDefault="00B075BA"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активите, както е посочено в указанията, отнасящи се за колона д) от образец 8.</w:t>
            </w:r>
          </w:p>
          <w:p w14:paraId="456C3C2C" w14:textId="34EC3CC0" w:rsidR="00B075BA" w:rsidRPr="001C19A0" w:rsidRDefault="00B075BA"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F87201" w:rsidRPr="001C19A0"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1C19A0" w:rsidRDefault="00F87201"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д</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1C19A0" w:rsidRDefault="00F87201"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1DB53217" w14:textId="77777777" w:rsidR="00F87201" w:rsidRPr="001C19A0" w:rsidRDefault="00F87201"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16 от Регламент (ЕС) 2020/852.</w:t>
            </w:r>
          </w:p>
          <w:p w14:paraId="4B4F4C3C" w14:textId="6186674F" w:rsidR="00B075BA"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свързани със спомагащи дейности по целта за смекчаване на изменението на климата, от наличностите от активи, с които се финансират екологично устойчиви дейности. Статията се изразява в проценти.</w:t>
            </w:r>
          </w:p>
          <w:p w14:paraId="3C2C7642" w14:textId="45AE0D91" w:rsidR="00B075BA" w:rsidRPr="001C19A0" w:rsidRDefault="00B075BA"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активите, както е посочено в указанията, отнасящи се за колона е) от образец 7.</w:t>
            </w:r>
          </w:p>
          <w:p w14:paraId="10C1A15D" w14:textId="031CF948" w:rsidR="00B075BA" w:rsidRPr="001C19A0" w:rsidRDefault="00B075BA" w:rsidP="002A56D2">
            <w:pPr>
              <w:spacing w:before="120" w:after="120"/>
              <w:jc w:val="both"/>
              <w:rPr>
                <w:rFonts w:asciiTheme="majorBidi"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E77292" w:rsidRPr="001C19A0"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1C19A0" w:rsidRDefault="00C23C8F"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на активите за финансиране на сектори от значение за таксономията</w:t>
            </w:r>
          </w:p>
          <w:p w14:paraId="1936BC81" w14:textId="20A3AEC8"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за финансиране на дейности от значение за таксономията (т.е. допустими активи) от общата наличност на включените активи. Статията се изразява в проценти.</w:t>
            </w:r>
          </w:p>
          <w:p w14:paraId="63EA7275" w14:textId="0FDD1954"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активи за финансиране на сектори от значение за таксономията по целта за адаптиране към изменението на климата, както е посочено в указанията, отнасящи се за колона ж) от образец 7.</w:t>
            </w:r>
          </w:p>
          <w:p w14:paraId="3435EB4A" w14:textId="1509075B" w:rsidR="00E77292" w:rsidRPr="001C19A0" w:rsidRDefault="00E77292"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E77292" w:rsidRPr="001C19A0"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1C19A0" w:rsidRDefault="00C23C8F"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ж</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0DF2FDF1" w14:textId="2F256378"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за финансиране на екологично устойчиви дейности (т.е. съобразени активи) от наличността от допустими активи. Статията се изразява в проценти.</w:t>
            </w:r>
          </w:p>
          <w:p w14:paraId="3E04B2D5" w14:textId="4443478F"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активи за финансиране на екологично устойчиви дейности по целта за адаптиране към изменението на климата, както е посочено в указанията, отнасящи се за колона з) от образец 7.</w:t>
            </w:r>
          </w:p>
          <w:p w14:paraId="554D7CA1" w14:textId="5BB32096" w:rsidR="00E77292" w:rsidRPr="001C19A0" w:rsidRDefault="00E77292" w:rsidP="002A56D2">
            <w:pPr>
              <w:spacing w:before="120" w:after="120"/>
              <w:jc w:val="both"/>
              <w:rPr>
                <w:rFonts w:asciiTheme="majorBidi"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експозиции, както е посочено в указанията, отнасящи се за колона а) от образец 7.</w:t>
            </w:r>
          </w:p>
        </w:tc>
      </w:tr>
      <w:tr w:rsidR="00E77292" w:rsidRPr="001C19A0"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1C19A0" w:rsidRDefault="00C23C8F"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51C23A77" w14:textId="54ADE6E9"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категоризирани като специализирано кредитиране за финансиране на екологично устойчиви дейности по целта за адаптиране към изменението на климата, от наличностите от активи за финансиране на екологично устойчиви дейности. Статията се изразява в проценти.</w:t>
            </w:r>
          </w:p>
          <w:p w14:paraId="2349D41A" w14:textId="26A815B6"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активите, както е посочено в указанията, отнасящи се за колона и) от образец 7.</w:t>
            </w:r>
          </w:p>
          <w:p w14:paraId="625AC05C" w14:textId="0DD86C63" w:rsidR="00E77292" w:rsidRPr="001C19A0" w:rsidRDefault="00E77292"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C23C8F" w:rsidRPr="001C19A0"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1C19A0" w:rsidRDefault="00C23C8F"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адаптиране</w:t>
            </w:r>
          </w:p>
          <w:p w14:paraId="541F4CE7" w14:textId="77777777" w:rsidR="00B075BA" w:rsidRPr="001C19A0" w:rsidRDefault="00B075BA"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11 от Регламент (ЕС) 2020/852.</w:t>
            </w:r>
          </w:p>
          <w:p w14:paraId="4FD62A3C" w14:textId="484ACD20" w:rsidR="00B075BA"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свързани с дейности за адаптиране по целта за адаптиране към изменението на климата, от наличностите от активи за финансиране на екологично устойчиви дейности. Статията се изразява в проценти.</w:t>
            </w:r>
          </w:p>
          <w:p w14:paraId="661F2459" w14:textId="7BBB0830" w:rsidR="00B075BA" w:rsidRPr="001C19A0" w:rsidRDefault="00B075BA"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активите, както е посочено в указанията, отнасящи се за колона й) от образец 7.</w:t>
            </w:r>
          </w:p>
          <w:p w14:paraId="53C26164" w14:textId="21889117" w:rsidR="00C23C8F" w:rsidRPr="001C19A0" w:rsidRDefault="00B075BA" w:rsidP="002A56D2">
            <w:pPr>
              <w:spacing w:before="120" w:after="120"/>
              <w:jc w:val="both"/>
              <w:rPr>
                <w:rFonts w:asciiTheme="majorBidi"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C23C8F" w:rsidRPr="001C19A0"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й</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1C19A0" w:rsidRDefault="00C23C8F"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7FE3C486" w14:textId="77777777" w:rsidR="00B075BA" w:rsidRPr="001C19A0" w:rsidRDefault="00B075BA"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16 от Регламент (ЕС) 2020/852.</w:t>
            </w:r>
          </w:p>
          <w:p w14:paraId="5FF74F40" w14:textId="0D0878DA" w:rsidR="00B075BA"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свързани със спомагащи дейности по целта за адаптиране към изменението на климата, от наличностите от активи, с които се финансират екологично устойчиви дейности. Статията се изразява в проценти.</w:t>
            </w:r>
          </w:p>
          <w:p w14:paraId="2DA82CC8" w14:textId="3B46F0FC" w:rsidR="00B075BA" w:rsidRPr="001C19A0" w:rsidRDefault="00B075BA"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активите, както е посочено в указанията, отнасящи се за колона к) от образец 7.</w:t>
            </w:r>
          </w:p>
          <w:p w14:paraId="27CAC907" w14:textId="77E8F511" w:rsidR="00C23C8F" w:rsidRPr="001C19A0" w:rsidRDefault="00B075BA" w:rsidP="002A56D2">
            <w:pPr>
              <w:spacing w:before="120" w:after="120"/>
              <w:jc w:val="both"/>
              <w:rPr>
                <w:rFonts w:asciiTheme="majorBidi"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E77292" w:rsidRPr="001C19A0"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на активите за финансиране на сектори от значение за таксономията</w:t>
            </w:r>
          </w:p>
          <w:p w14:paraId="497E9372" w14:textId="5983C517"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за финансиране на дейности от значение за таксономията (т.е. допустими активи) по целите за смекчаване на изменението на климата и адаптиране към него, спрямо общата наличност на включените активи. Статията се изразява в проценти.</w:t>
            </w:r>
          </w:p>
          <w:p w14:paraId="17EB5069" w14:textId="1149E68A"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активи за финансиране на секторите от значение за таксономията, както е посочено в указанията, отнасящи се за колона л) от образец 7.</w:t>
            </w:r>
          </w:p>
          <w:p w14:paraId="39789760" w14:textId="663F32F9" w:rsidR="00E77292" w:rsidRPr="001C19A0" w:rsidRDefault="00E77292"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E77292" w:rsidRPr="001C19A0"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л</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6798287A" w14:textId="2E715E20"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за финансиране на екологично устойчиви дейности по целите за смекчаване на изменението на климата и адаптиране към него, от наличността от допустими активи. Статията се изразява в проценти.</w:t>
            </w:r>
          </w:p>
          <w:p w14:paraId="5355B88B" w14:textId="57270BAA"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активи за финансиране на екологично устойчиви дейности, както е посочено в указанията, отнасящи се за колона м) от образец 7.</w:t>
            </w:r>
          </w:p>
          <w:p w14:paraId="1A959FBD" w14:textId="76E5657D" w:rsidR="00E77292" w:rsidRPr="001C19A0" w:rsidRDefault="00E77292"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експозиции, както е посочено в указанията, отнасящи се за колона а) от образец 7.</w:t>
            </w:r>
          </w:p>
        </w:tc>
      </w:tr>
      <w:tr w:rsidR="00E77292" w:rsidRPr="001C19A0"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м</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4A30C6FF" w14:textId="60E3B8F3"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наличностите от активи, категоризирани като специализирано кредитиране за финансиране на екологично устойчиви дейности по целите за смекчаване на изменението на климата и адаптиране към него, от наличността от активи, с които се финансират екологично устойчиви дейности. Статията се изразява в проценти.</w:t>
            </w:r>
          </w:p>
          <w:p w14:paraId="4C4F13E8" w14:textId="336470ED"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активите, както е посочено в указанията, отнасящи се за колона н) от образец 7.</w:t>
            </w:r>
          </w:p>
          <w:p w14:paraId="10BB7B02" w14:textId="7C87C6E3" w:rsidR="00E77292" w:rsidRPr="001C19A0" w:rsidRDefault="00E77292"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77330E" w:rsidRPr="001C19A0"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н</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1C19A0" w:rsidRDefault="0077330E"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преходни/адаптиране</w:t>
            </w:r>
          </w:p>
          <w:p w14:paraId="5889E331" w14:textId="3402D737" w:rsidR="0077330E" w:rsidRPr="001C19A0" w:rsidRDefault="0077330E"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Членове 10 и 11 от Регламент (ЕС) 2020/852.</w:t>
            </w:r>
          </w:p>
          <w:p w14:paraId="3CDDAE56" w14:textId="0288EA38" w:rsidR="0077330E" w:rsidRPr="001C19A0" w:rsidRDefault="00292EF5" w:rsidP="005A449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Процентът съответства на колона г) и колона и).</w:t>
            </w:r>
          </w:p>
        </w:tc>
      </w:tr>
      <w:tr w:rsidR="0077330E" w:rsidRPr="001C19A0"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о</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1C19A0" w:rsidRDefault="0077330E"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3E64E8A2" w14:textId="77777777" w:rsidR="0077330E" w:rsidRPr="001C19A0" w:rsidRDefault="0077330E"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16 от Регламент (ЕС) 2020/852.</w:t>
            </w:r>
          </w:p>
          <w:p w14:paraId="403D61B9" w14:textId="39119B07" w:rsidR="0077330E" w:rsidRPr="001C19A0" w:rsidRDefault="00292EF5" w:rsidP="005A4494">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Процентът съответства на колона д) и колона й).</w:t>
            </w:r>
          </w:p>
        </w:tc>
      </w:tr>
      <w:tr w:rsidR="00E77292" w:rsidRPr="001C19A0"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п</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от общия размер на включените активи</w:t>
            </w:r>
          </w:p>
          <w:p w14:paraId="65C7C0E2" w14:textId="22C33CD5"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общите активи, включени в ОЕА.  Статията се изразява в проценти.</w:t>
            </w:r>
          </w:p>
          <w:p w14:paraId="3B3F8EB8" w14:textId="37018142"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наличностите от включени активи, както е посочено в указанията, отнасящи се за колона л) от образец 7.</w:t>
            </w:r>
          </w:p>
          <w:p w14:paraId="105302E9" w14:textId="5E77CF21" w:rsidR="00E77292" w:rsidRPr="001C19A0" w:rsidRDefault="00E77292" w:rsidP="002A56D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 xml:space="preserve">Знаменателят на КПР е брутната балансова стойност на общите активи в баланса на институциите, както е посочено в указанията, отнасящи се за ред 50 от образец 7. </w:t>
            </w:r>
          </w:p>
        </w:tc>
      </w:tr>
      <w:tr w:rsidR="00E77292" w:rsidRPr="001C19A0"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р</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на новите активи за финансиране на сектори от значение за таксономията</w:t>
            </w:r>
          </w:p>
          <w:p w14:paraId="03706EAE" w14:textId="78D67E60" w:rsidR="00E77292" w:rsidRPr="001C19A0" w:rsidRDefault="00BA494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за финансиране на дейности от значение за таксономията (т.е. допустими активи) по целта за смекчаване на изменението на климата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0B52BDE4" w14:textId="41A53BB4"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004B7B8B" w14:textId="1C73E3F4"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за финансиране на сектори от значение за таксономията, както е посочено в указанията, отнасящи се за колона б) от образец 7.</w:t>
            </w:r>
          </w:p>
          <w:p w14:paraId="6ACF414F" w14:textId="6CAA6ECC" w:rsidR="00E77292" w:rsidRPr="001C19A0" w:rsidRDefault="00E77292" w:rsidP="002A56D2">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E77292" w:rsidRPr="001C19A0"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2DC1E2EA" w14:textId="77777777" w:rsidR="00E77292" w:rsidRPr="001C19A0" w:rsidRDefault="00E77292"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за финансиране на екологично устойчиви дейности по целта за смекчаване на изменението на климата от общия размера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022AF90D" w14:textId="77777777"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45A10EDF" w14:textId="5FB0CA26"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в) от образец 7.</w:t>
            </w:r>
          </w:p>
          <w:p w14:paraId="4EC46A7A" w14:textId="7E98DC1D" w:rsidR="00E77292" w:rsidRPr="001C19A0" w:rsidRDefault="00E77292"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E77292" w:rsidRPr="001C19A0"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т</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404D9F42" w14:textId="691EEB29"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категоризирани като специализирано кредитиране за финансиране на екологично устойчиви дейности по целта за смекчаване на изменението на климата, от общия размера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7CE38169" w14:textId="77777777"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3EE8A290" w14:textId="011FFE15"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г) от образец 8.</w:t>
            </w:r>
          </w:p>
          <w:p w14:paraId="7DB14D3E" w14:textId="6A8CF9BC" w:rsidR="00E77292" w:rsidRPr="001C19A0" w:rsidRDefault="00E77292" w:rsidP="000F056B">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71196B" w:rsidRPr="001C19A0"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1C19A0" w:rsidRDefault="0071196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у</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1C19A0" w:rsidRDefault="007119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преходни</w:t>
            </w:r>
          </w:p>
          <w:p w14:paraId="71BDF068" w14:textId="77777777" w:rsidR="0071196B" w:rsidRPr="001C19A0" w:rsidRDefault="0071196B"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10 от Регламент (ЕС) 2020/852.</w:t>
            </w:r>
          </w:p>
          <w:p w14:paraId="1EBCCB3B" w14:textId="174A1262" w:rsidR="0071196B"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свързани с преходни дейности по целта за смекчаване на изменението на климата, от общия размер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4BCD5D3E" w14:textId="77777777"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207EDFF4" w14:textId="6EA201D8"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д) от образец 8.</w:t>
            </w:r>
          </w:p>
          <w:p w14:paraId="3E62519B" w14:textId="6BB99BEC" w:rsidR="0071196B" w:rsidRPr="001C19A0" w:rsidRDefault="0071196B"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включените нови активи от тези активи, както е посочено в указанията, отнасящи се за колона а) от образец 7.</w:t>
            </w:r>
          </w:p>
        </w:tc>
      </w:tr>
      <w:tr w:rsidR="0071196B" w:rsidRPr="001C19A0"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1C19A0" w:rsidRDefault="0071196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ф</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1C19A0" w:rsidRDefault="007119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7BE337D9" w14:textId="77777777" w:rsidR="0071196B" w:rsidRPr="001C19A0" w:rsidRDefault="0071196B"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16 от Регламент (ЕС) 2020/852.</w:t>
            </w:r>
          </w:p>
          <w:p w14:paraId="56E26AAE" w14:textId="67088F8E" w:rsidR="0071196B"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свързани със спомагащи дейности по целта за смекчаване на изменението на климата, от общия размер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47236FF3" w14:textId="77777777"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358A95D8" w14:textId="73B0DD5B"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е) от образец 8.</w:t>
            </w:r>
          </w:p>
          <w:p w14:paraId="20A34DC5" w14:textId="332501B6" w:rsidR="0071196B" w:rsidRPr="001C19A0" w:rsidRDefault="0071196B"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включените нови активи от тези активи, както е посочено в указанията, отнасящи се за колона а) от образец 7.</w:t>
            </w:r>
          </w:p>
        </w:tc>
      </w:tr>
      <w:tr w:rsidR="00E77292" w:rsidRPr="001C19A0"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х</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на новите активи за финансиране на сектори от значение за таксономията</w:t>
            </w:r>
          </w:p>
          <w:p w14:paraId="3B3D725F" w14:textId="0C8D0DBA"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за финансиране на дейности, обхванати от Регламент (ЕС) 2020/852, по целта за адаптиране към изменението на климата,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3F5967A0" w14:textId="1A54490D" w:rsidR="00E77292" w:rsidRPr="001C19A0" w:rsidRDefault="00BA494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63E9390B" w14:textId="281D91BD"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за финансиране на сектори от значение за таксономията, както е посочено в указанията, отнасящи се за колона ж) от образец 7.</w:t>
            </w:r>
          </w:p>
          <w:p w14:paraId="053E459F" w14:textId="362D2043" w:rsidR="00E77292" w:rsidRPr="001C19A0" w:rsidRDefault="00E77292"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E77292" w:rsidRPr="001C19A0"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ц</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51DBFE10" w14:textId="10E63A6C"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за финансиране на екологично устойчиви дейности по целта за адаптиране към изменението на климата, от общия размера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7FAE922A" w14:textId="4393A719"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672A3F34" w14:textId="19699AF0"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з) от образец 7.</w:t>
            </w:r>
          </w:p>
          <w:p w14:paraId="5AC7A819" w14:textId="45220774" w:rsidR="00E77292" w:rsidRPr="001C19A0" w:rsidRDefault="00E77292"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E77292" w:rsidRPr="001C19A0"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1121CAC6" w14:textId="1461BF5F"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категоризирани като специализирано кредитиране за финансиране на екологично устойчиви дейности по целта за адаптиране към изменението на климата, от общия размер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586CD8B5" w14:textId="04F76606"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62C27C3B" w14:textId="5A5889F9"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и) от образец 7.</w:t>
            </w:r>
          </w:p>
          <w:p w14:paraId="5A24D386" w14:textId="64BC6E56" w:rsidR="00E77292" w:rsidRPr="001C19A0" w:rsidRDefault="00E77292"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77330E" w:rsidRPr="001C19A0"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ш</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1C19A0" w:rsidRDefault="0077330E"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адаптиране</w:t>
            </w:r>
          </w:p>
          <w:p w14:paraId="0CD3DB71" w14:textId="77777777" w:rsidR="0071196B" w:rsidRPr="001C19A0" w:rsidRDefault="0077330E"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11 от Регламент (ЕС) 2020/852.</w:t>
            </w:r>
          </w:p>
          <w:p w14:paraId="36963606" w14:textId="0C919EF3" w:rsidR="0071196B"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свързани с преходни дейности по целта за адаптиране към изменението на климата, от общия размера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3BA351F5" w14:textId="0B4F9200"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038BEC50" w14:textId="6018DCEA"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й) от образец 7.</w:t>
            </w:r>
          </w:p>
          <w:p w14:paraId="29F57768" w14:textId="09E8F884" w:rsidR="0071196B" w:rsidRPr="001C19A0" w:rsidRDefault="0071196B" w:rsidP="000F056B">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77330E" w:rsidRPr="001C19A0"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щ</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1C19A0" w:rsidRDefault="0077330E"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27B76DDE" w14:textId="77777777" w:rsidR="0071196B" w:rsidRPr="001C19A0" w:rsidRDefault="0071196B"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16 от Регламент (ЕС) 2020/852.</w:t>
            </w:r>
          </w:p>
          <w:p w14:paraId="42FEAE32" w14:textId="19033F8E" w:rsidR="0071196B" w:rsidRPr="001C19A0" w:rsidRDefault="005A449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свързани със спомагащи дейности по целта за адаптиране към изменението на климата, от общия размер на новите допустими активи (т.е. активи, създадени в рамките на текущия период) за финансиране на екологично устойчиви дейности. Новите допустими активи се изчисляват след приспадане на погасяванията и други намаления.</w:t>
            </w:r>
          </w:p>
          <w:p w14:paraId="3F6D981E" w14:textId="0E791DCE"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6A719C93" w14:textId="5A33D397" w:rsidR="0071196B" w:rsidRPr="001C19A0" w:rsidRDefault="0071196B"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к) от образец 7.</w:t>
            </w:r>
          </w:p>
          <w:p w14:paraId="23909FE7" w14:textId="3E7051E5" w:rsidR="0077330E" w:rsidRPr="001C19A0" w:rsidRDefault="0071196B"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E77292" w:rsidRPr="001C19A0"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аа</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на активите за финансиране на сектори от значение за таксономията</w:t>
            </w:r>
          </w:p>
          <w:p w14:paraId="5B62CAEF" w14:textId="50F6D2D5"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за финансиране на дейности, обхванати от целите, определени в Регламент (ЕС) 2020/852, за смекчаване на изменението на климата и за адаптиране към него,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78102709" w14:textId="1C1A7E99"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1EB679E9" w14:textId="7A73E528"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за финансиране на сектори от значение за таксономията, както е посочено в указанията, отнасящи се за колона л) от образец 7.</w:t>
            </w:r>
          </w:p>
          <w:p w14:paraId="596F9A03" w14:textId="71F268D8" w:rsidR="00E77292" w:rsidRPr="001C19A0" w:rsidRDefault="00E77292"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E77292" w:rsidRPr="001C19A0"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аб</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 xml:space="preserve">В т.ч.: екологично устойчиви </w:t>
            </w:r>
          </w:p>
          <w:p w14:paraId="45CA49F4" w14:textId="388F95D3"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за финансиране на екологично устойчиви дейности по целта за смекчаване на изменението на климата и за адаптиране към него,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7C83F818" w14:textId="271F5C1B" w:rsidR="00E77292" w:rsidRPr="001C19A0" w:rsidRDefault="00B663F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6DD1A47B" w14:textId="54434468"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м) от образец 7.</w:t>
            </w:r>
          </w:p>
          <w:p w14:paraId="1E9FF4F4" w14:textId="459DAAA5" w:rsidR="00E77292" w:rsidRPr="001C19A0" w:rsidRDefault="00E77292"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E77292" w:rsidRPr="001C19A0"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ав</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специализирано кредитиране</w:t>
            </w:r>
          </w:p>
          <w:p w14:paraId="4A6FD4AB" w14:textId="735C8F64"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новите активи (т.е. активи, създадени в рамките на текущия период на оповестяване), категоризирани като специализирано кредитиране за финансиране на екологично устойчиви дейности по целите за смекчаване на изменението на климата и за адаптиране към него, от общия размер на новите допустими активи (т.е. активи, създадени в рамките на текущия период) за финансиране на екологично устойчиви дейности. Новите активи се изчисляват след приспадане на погасяванията и други намаления.</w:t>
            </w:r>
          </w:p>
          <w:p w14:paraId="3F3E6FE0" w14:textId="34B6D461" w:rsidR="00E77292" w:rsidRPr="001C19A0" w:rsidRDefault="00B663F4"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5956B05A" w14:textId="5E12AD92"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брутната балансова стойност на допустимите нови активи, както е посочено в указанията, отнасящи се за колона н) от образец 7.</w:t>
            </w:r>
          </w:p>
          <w:p w14:paraId="6DB84D93" w14:textId="59603E2D" w:rsidR="00E77292" w:rsidRPr="001C19A0" w:rsidRDefault="00E77292" w:rsidP="00D35AD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77330E" w:rsidRPr="001C19A0"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аг</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1C19A0" w:rsidRDefault="0077330E"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преходни/адаптиране</w:t>
            </w:r>
          </w:p>
          <w:p w14:paraId="34D6183B" w14:textId="55301395" w:rsidR="0077330E" w:rsidRPr="001C19A0" w:rsidRDefault="0077330E"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Членове 10 и 11 от Регламент (ЕС) 2020/852.</w:t>
            </w:r>
          </w:p>
          <w:p w14:paraId="146C6F0C" w14:textId="77777777" w:rsidR="00181FA3" w:rsidRPr="001C19A0" w:rsidRDefault="00994B4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Процентът съответства на колона у) и колона ш).</w:t>
            </w:r>
          </w:p>
        </w:tc>
      </w:tr>
      <w:tr w:rsidR="0077330E" w:rsidRPr="001C19A0"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ад</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1C19A0" w:rsidRDefault="0077330E"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спомагащи</w:t>
            </w:r>
          </w:p>
          <w:p w14:paraId="45523255" w14:textId="77777777" w:rsidR="0077330E" w:rsidRPr="001C19A0" w:rsidRDefault="0077330E" w:rsidP="00DA390D">
            <w:pPr>
              <w:spacing w:before="120" w:after="120"/>
              <w:jc w:val="both"/>
              <w:rPr>
                <w:rFonts w:asciiTheme="majorBidi" w:hAnsiTheme="majorBidi" w:cstheme="majorBidi"/>
                <w:noProof/>
                <w:sz w:val="24"/>
              </w:rPr>
            </w:pPr>
            <w:r w:rsidRPr="001C19A0">
              <w:rPr>
                <w:rFonts w:asciiTheme="majorBidi" w:hAnsiTheme="majorBidi" w:cstheme="majorBidi"/>
                <w:noProof/>
                <w:sz w:val="24"/>
              </w:rPr>
              <w:t>Член 16 от Регламент (ЕС) 2020/852.</w:t>
            </w:r>
          </w:p>
          <w:p w14:paraId="7D61D28C" w14:textId="77777777" w:rsidR="00181FA3" w:rsidRPr="001C19A0" w:rsidRDefault="00994B4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Процентът съответства на колона ф) и колона щ).</w:t>
            </w:r>
          </w:p>
        </w:tc>
      </w:tr>
      <w:tr w:rsidR="00E77292" w:rsidRPr="001C19A0"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1C19A0" w:rsidRDefault="0077330E"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ае</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Дял на общия размер на включените нови активи</w:t>
            </w:r>
          </w:p>
          <w:p w14:paraId="2E34E6BD" w14:textId="4163F21D" w:rsidR="00E77292" w:rsidRPr="001C19A0" w:rsidRDefault="005A4494"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дела на общия размер на новите активи, включени в ОЕА. Новите активи се изчисляват след приспадане на погасяванията и други намаления.</w:t>
            </w:r>
          </w:p>
          <w:p w14:paraId="3E84B315" w14:textId="77777777"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Статията се изразява в проценти.</w:t>
            </w:r>
          </w:p>
          <w:p w14:paraId="03D6FEFB" w14:textId="324C1EFF" w:rsidR="00E77292" w:rsidRPr="001C19A0" w:rsidRDefault="00E77292" w:rsidP="001B102C">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Числителят на КПР е разликата в брутната балансова стойност на включените активи, както е посочено в указанията, отнасящи се за ред 1 от образец 7, между текущия период на оповестяване (t) и предходния период на оповестяване (t-1).</w:t>
            </w:r>
          </w:p>
          <w:p w14:paraId="6A008832" w14:textId="72616879" w:rsidR="00E77292" w:rsidRPr="001C19A0" w:rsidRDefault="00E77292" w:rsidP="00B76863">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Знаменателят на КПР е разликата в брутната балансова стойност на новите общи активи, както е посочено в указанията, отнасящи се за ред 53 от образец 7, между текущия период на оповестяване (t) и предходния период на оповестяване (t-1).</w:t>
            </w:r>
          </w:p>
        </w:tc>
      </w:tr>
      <w:tr w:rsidR="00E77292" w:rsidRPr="001C19A0"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Редове</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 xml:space="preserve"> Указания</w:t>
            </w:r>
          </w:p>
        </w:tc>
      </w:tr>
      <w:tr w:rsidR="00E77292" w:rsidRPr="001C19A0"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1C19A0" w:rsidRDefault="00E77292" w:rsidP="00BA4944">
            <w:pPr>
              <w:spacing w:before="120" w:after="120"/>
              <w:jc w:val="both"/>
              <w:rPr>
                <w:rFonts w:asciiTheme="majorBidi" w:eastAsia="Times New Roman" w:hAnsiTheme="majorBidi" w:cstheme="majorBidi"/>
                <w:noProof/>
                <w:sz w:val="24"/>
              </w:rPr>
            </w:pPr>
            <w:r w:rsidRPr="001C19A0">
              <w:rPr>
                <w:rFonts w:asciiTheme="majorBidi" w:hAnsiTheme="majorBidi" w:cstheme="majorBidi"/>
                <w:b/>
                <w:noProof/>
                <w:sz w:val="24"/>
              </w:rPr>
              <w:t>ОЕА</w:t>
            </w:r>
            <w:r w:rsidRPr="001C19A0">
              <w:rPr>
                <w:rFonts w:asciiTheme="majorBidi" w:hAnsiTheme="majorBidi" w:cstheme="majorBidi"/>
                <w:noProof/>
                <w:sz w:val="24"/>
              </w:rPr>
              <w:t>, както е посочено в Делегиран регламент (ЕС) 2021/2178.</w:t>
            </w:r>
          </w:p>
        </w:tc>
      </w:tr>
      <w:tr w:rsidR="00E77292" w:rsidRPr="001C19A0"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Кредити и аванси, дългови ценни книжа и капиталови инструменти, които не са държани за търгуване, допустими за изчисляване на ОЕА</w:t>
            </w:r>
          </w:p>
          <w:p w14:paraId="2C51ECC8" w14:textId="77777777" w:rsidR="00E77292" w:rsidRPr="001C19A0" w:rsidRDefault="00C021CB"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Процент на ОЕА за експозициите в ред 1 на образец 7.</w:t>
            </w:r>
          </w:p>
        </w:tc>
      </w:tr>
      <w:tr w:rsidR="00E77292" w:rsidRPr="001C19A0"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1C19A0" w:rsidRDefault="00E77292" w:rsidP="001A08A2">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Финансови предприятия</w:t>
            </w:r>
          </w:p>
          <w:p w14:paraId="19914767" w14:textId="77777777" w:rsidR="00E77292" w:rsidRPr="001C19A0" w:rsidRDefault="00405A6B" w:rsidP="00D35812">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2 на образец 7.</w:t>
            </w:r>
          </w:p>
        </w:tc>
      </w:tr>
      <w:tr w:rsidR="00E77292" w:rsidRPr="001C19A0"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Кредитни институции</w:t>
            </w:r>
          </w:p>
          <w:p w14:paraId="044F28BF"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3 на образец 7.</w:t>
            </w:r>
          </w:p>
        </w:tc>
      </w:tr>
      <w:tr w:rsidR="00E77292" w:rsidRPr="001C19A0"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Други финансови предприятия</w:t>
            </w:r>
          </w:p>
          <w:p w14:paraId="294DB996"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7 на образец 7.</w:t>
            </w:r>
          </w:p>
        </w:tc>
      </w:tr>
      <w:tr w:rsidR="00E77292" w:rsidRPr="001C19A0"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инвестиционни посредници</w:t>
            </w:r>
          </w:p>
          <w:p w14:paraId="0D44EA86"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8 на образец 7.</w:t>
            </w:r>
          </w:p>
        </w:tc>
      </w:tr>
      <w:tr w:rsidR="00E77292" w:rsidRPr="001C19A0"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управляващи дружества</w:t>
            </w:r>
          </w:p>
          <w:p w14:paraId="29554774"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12 на образец 7.</w:t>
            </w:r>
          </w:p>
        </w:tc>
      </w:tr>
      <w:tr w:rsidR="00E77292" w:rsidRPr="001C19A0"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застрахователни дружества</w:t>
            </w:r>
          </w:p>
          <w:p w14:paraId="396A6974"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16 на образец 7.</w:t>
            </w:r>
          </w:p>
        </w:tc>
      </w:tr>
      <w:tr w:rsidR="00E77292" w:rsidRPr="001C19A0"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1C19A0" w:rsidRDefault="00405A6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Нефинансови предприятия, за които се прилагат задълженията за оповестяване съгласно ДОНФИ</w:t>
            </w:r>
          </w:p>
          <w:p w14:paraId="4EB28637" w14:textId="77777777" w:rsidR="00E77292" w:rsidRPr="001C19A0" w:rsidRDefault="00405A6B" w:rsidP="00DA390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Процент на ОЕА за експозициите в ред 20 на образец 7.</w:t>
            </w:r>
          </w:p>
        </w:tc>
      </w:tr>
      <w:tr w:rsidR="00E77292" w:rsidRPr="001C19A0"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1C19A0" w:rsidRDefault="00405A6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Домакинства</w:t>
            </w:r>
          </w:p>
          <w:p w14:paraId="46C21211"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24 на образец 7.</w:t>
            </w:r>
          </w:p>
        </w:tc>
      </w:tr>
      <w:tr w:rsidR="00E77292" w:rsidRPr="001C19A0"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1C19A0" w:rsidRDefault="00405A6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обезпечени с жилищен недвижим имот</w:t>
            </w:r>
          </w:p>
          <w:p w14:paraId="25D90206"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25 на образец 7.</w:t>
            </w:r>
          </w:p>
        </w:tc>
      </w:tr>
      <w:tr w:rsidR="00E77292" w:rsidRPr="001C19A0"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за ремонт на сгради</w:t>
            </w:r>
          </w:p>
          <w:p w14:paraId="6D9C84CB"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26 на образец 7.</w:t>
            </w:r>
          </w:p>
        </w:tc>
      </w:tr>
      <w:tr w:rsidR="00E77292" w:rsidRPr="001C19A0"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за моторни превозни средства</w:t>
            </w:r>
          </w:p>
          <w:p w14:paraId="3B8E3680"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27 на образец 7.</w:t>
            </w:r>
          </w:p>
        </w:tc>
      </w:tr>
      <w:tr w:rsidR="00E77292" w:rsidRPr="001C19A0"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1C19A0" w:rsidRDefault="006644D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Финансиране на органи на местното самоуправление</w:t>
            </w:r>
          </w:p>
          <w:p w14:paraId="211E96EA"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28 на образец 7.</w:t>
            </w:r>
          </w:p>
        </w:tc>
      </w:tr>
      <w:tr w:rsidR="006644DB" w:rsidRPr="001C19A0"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1C19A0" w:rsidRDefault="006644D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1C19A0" w:rsidRDefault="006644D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Финансиране за жилищно настаняване</w:t>
            </w:r>
          </w:p>
          <w:p w14:paraId="3C111A4F" w14:textId="77777777" w:rsidR="006644DB"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29 на образец 7.</w:t>
            </w:r>
          </w:p>
        </w:tc>
      </w:tr>
      <w:tr w:rsidR="006644DB" w:rsidRPr="001C19A0"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1C19A0" w:rsidRDefault="006644DB"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1C19A0" w:rsidRDefault="006644D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Друго финансиране на органи на местното самоуправление</w:t>
            </w:r>
          </w:p>
          <w:p w14:paraId="6C7F2A3F" w14:textId="77777777" w:rsidR="006644DB"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30 на образец 7.</w:t>
            </w:r>
          </w:p>
        </w:tc>
      </w:tr>
      <w:tr w:rsidR="00E77292" w:rsidRPr="001C19A0"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Обезпечения, придобити чрез влизане във владение: жилищни и търговски недвижими имоти</w:t>
            </w:r>
          </w:p>
          <w:p w14:paraId="64A43A10" w14:textId="77777777" w:rsidR="00E77292" w:rsidRPr="001C19A0" w:rsidRDefault="00405A6B"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Процент на ОЕА за експозициите в ред 31 на образец 7.</w:t>
            </w:r>
          </w:p>
        </w:tc>
      </w:tr>
    </w:tbl>
    <w:p w14:paraId="3F4B68A1" w14:textId="77777777" w:rsidR="00E77292" w:rsidRPr="001C19A0" w:rsidRDefault="00E77292" w:rsidP="00D35812">
      <w:pPr>
        <w:spacing w:before="120" w:after="120"/>
        <w:jc w:val="both"/>
        <w:rPr>
          <w:rFonts w:asciiTheme="majorBidi" w:hAnsiTheme="majorBidi" w:cstheme="majorBidi"/>
          <w:noProof/>
          <w:sz w:val="24"/>
        </w:rPr>
      </w:pPr>
    </w:p>
    <w:p w14:paraId="4AF9C7B9" w14:textId="77777777" w:rsidR="00EF63C8" w:rsidRPr="001C19A0" w:rsidRDefault="00EF63C8" w:rsidP="00D35812">
      <w:pPr>
        <w:jc w:val="both"/>
        <w:rPr>
          <w:rFonts w:asciiTheme="majorBidi" w:hAnsiTheme="majorBidi" w:cstheme="majorBidi"/>
          <w:b/>
          <w:noProof/>
          <w:sz w:val="24"/>
        </w:rPr>
      </w:pPr>
      <w:r w:rsidRPr="001C19A0">
        <w:rPr>
          <w:rFonts w:asciiTheme="majorBidi" w:hAnsiTheme="majorBidi" w:cstheme="majorBidi"/>
          <w:b/>
          <w:noProof/>
          <w:sz w:val="24"/>
        </w:rPr>
        <w:t>Образец 9 — Смекчаващи действия: Отношение на съобразения с таксономията банков портфейл</w:t>
      </w:r>
    </w:p>
    <w:p w14:paraId="6B6FD8E0" w14:textId="77777777" w:rsidR="002812BA" w:rsidRPr="001C19A0" w:rsidRDefault="002812BA" w:rsidP="00D35812">
      <w:pPr>
        <w:jc w:val="both"/>
        <w:rPr>
          <w:rFonts w:asciiTheme="majorBidi" w:hAnsiTheme="majorBidi" w:cstheme="majorBidi"/>
          <w:b/>
          <w:noProof/>
          <w:sz w:val="24"/>
        </w:rPr>
      </w:pPr>
    </w:p>
    <w:p w14:paraId="3CDFECF5" w14:textId="478D083E" w:rsidR="00C71E7E" w:rsidRPr="001C19A0" w:rsidRDefault="000F056B" w:rsidP="00BD7C6D">
      <w:pPr>
        <w:pStyle w:val="ListParagraph"/>
        <w:numPr>
          <w:ilvl w:val="0"/>
          <w:numId w:val="25"/>
        </w:numPr>
        <w:tabs>
          <w:tab w:val="left" w:pos="567"/>
        </w:tabs>
        <w:ind w:left="0" w:firstLine="0"/>
        <w:jc w:val="both"/>
        <w:rPr>
          <w:rFonts w:asciiTheme="majorBidi" w:hAnsiTheme="majorBidi" w:cstheme="majorBidi"/>
          <w:noProof/>
          <w:sz w:val="24"/>
        </w:rPr>
      </w:pPr>
      <w:r w:rsidRPr="001C19A0">
        <w:rPr>
          <w:rFonts w:asciiTheme="majorBidi" w:hAnsiTheme="majorBidi" w:cstheme="majorBidi"/>
          <w:noProof/>
          <w:sz w:val="24"/>
        </w:rPr>
        <w:t>В член 9 от Регламент за изпълнение (ЕС) 2021/2178 се предвижда, че Комисията трябва да направи преглед на прилагането на посочения регламент до 30 юни 2024 г. Комисията трябва да прецени в частност необходимостта от допълнителни изменения с оглед на включването на:</w:t>
      </w:r>
    </w:p>
    <w:p w14:paraId="759235E9" w14:textId="3A60C327" w:rsidR="00C71E7E" w:rsidRPr="001C19A0" w:rsidRDefault="00C71E7E" w:rsidP="00085549">
      <w:pPr>
        <w:ind w:left="567" w:hanging="567"/>
        <w:jc w:val="both"/>
        <w:rPr>
          <w:rFonts w:asciiTheme="majorBidi" w:hAnsiTheme="majorBidi" w:cstheme="majorBidi"/>
          <w:noProof/>
          <w:sz w:val="24"/>
        </w:rPr>
      </w:pPr>
      <w:r w:rsidRPr="001C19A0">
        <w:rPr>
          <w:rFonts w:asciiTheme="majorBidi" w:hAnsiTheme="majorBidi" w:cstheme="majorBidi"/>
          <w:noProof/>
          <w:sz w:val="24"/>
        </w:rPr>
        <w:t>а)</w:t>
      </w:r>
      <w:r w:rsidRPr="001C19A0">
        <w:rPr>
          <w:rFonts w:asciiTheme="majorBidi" w:hAnsiTheme="majorBidi" w:cstheme="majorBidi"/>
          <w:noProof/>
        </w:rPr>
        <w:tab/>
      </w:r>
      <w:r w:rsidRPr="001C19A0">
        <w:rPr>
          <w:rFonts w:asciiTheme="majorBidi" w:hAnsiTheme="majorBidi" w:cstheme="majorBidi"/>
          <w:noProof/>
          <w:sz w:val="24"/>
        </w:rPr>
        <w:t>експозициите към централни правителства и централни банки в числителя и знаменателя на ключовите показатели за резултатите на финансовите предприятия;</w:t>
      </w:r>
    </w:p>
    <w:p w14:paraId="052B33B8" w14:textId="2D2B90E0" w:rsidR="00C71E7E" w:rsidRPr="001C19A0" w:rsidRDefault="00C71E7E" w:rsidP="00085549">
      <w:pPr>
        <w:ind w:left="567" w:hanging="567"/>
        <w:jc w:val="both"/>
        <w:rPr>
          <w:rFonts w:asciiTheme="majorBidi" w:hAnsiTheme="majorBidi" w:cstheme="majorBidi"/>
          <w:noProof/>
          <w:sz w:val="24"/>
        </w:rPr>
      </w:pPr>
      <w:r w:rsidRPr="001C19A0">
        <w:rPr>
          <w:rFonts w:asciiTheme="majorBidi" w:hAnsiTheme="majorBidi" w:cstheme="majorBidi"/>
          <w:noProof/>
          <w:sz w:val="24"/>
        </w:rPr>
        <w:t>б)</w:t>
      </w:r>
      <w:r w:rsidRPr="001C19A0">
        <w:rPr>
          <w:rFonts w:asciiTheme="majorBidi" w:hAnsiTheme="majorBidi" w:cstheme="majorBidi"/>
          <w:noProof/>
        </w:rPr>
        <w:tab/>
      </w:r>
      <w:r w:rsidRPr="001C19A0">
        <w:rPr>
          <w:rFonts w:asciiTheme="majorBidi" w:hAnsiTheme="majorBidi" w:cstheme="majorBidi"/>
          <w:noProof/>
          <w:sz w:val="24"/>
        </w:rPr>
        <w:t>експозициите към предприятия, които не публикуват нефинансова декларация по член 19а или 29а от Директива 2013/34/ЕС, в числителя на ключовите показатели за резултатите на финансовите предприятия.</w:t>
      </w:r>
    </w:p>
    <w:p w14:paraId="656BC7EC" w14:textId="51BD745A" w:rsidR="00EF3EEA" w:rsidRPr="001C19A0" w:rsidRDefault="007E7531" w:rsidP="00BD7C6D">
      <w:pPr>
        <w:pStyle w:val="ListParagraph"/>
        <w:numPr>
          <w:ilvl w:val="0"/>
          <w:numId w:val="26"/>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 xml:space="preserve">Институциите могат да изберат да включат в този образец следната информация. За контрагентите, които са нефинансови предприятия и нямат задължения за оповестяване, институциите могат да оповестяват разширена информация относно допустимостта съгласно таксономията и съобразяването с нея, както е посочено в Регламент (ЕС) 2020/852, въз основа на принципа на полагане на разумни усилия и като използват информацията, която вече е налична и е събрана на доброволна и двустранна основа от техните контрагенти или е изчислена посредством приблизителни оценки, по отношение на екологичните цели за смекчаване на изменението на климата и за адаптиране към него, както е посочено в член 9, букви а) и б) от Регламент (ЕС) 2020/852, на експозициите към европейски нефинансови предприятия, за които не се прилагат задълженията за оповестяване, определени в Директива 2013/34/ЕС, и към неевропейски нефинансови предприятия, за които не се прилагат задълженията за оповестяване, определени в Директива 2013/34/ЕС. Тази информация може да бъде оповестена само веднъж въз основа на съобразяването на оборота на контрагентите по кредитите с общо предназначение, какъвто е случаят с ОЕА. </w:t>
      </w:r>
    </w:p>
    <w:p w14:paraId="546E8421" w14:textId="6C2582ED" w:rsidR="006C4055" w:rsidRPr="001C19A0" w:rsidRDefault="001B0E70" w:rsidP="00B76863">
      <w:pPr>
        <w:pStyle w:val="ListParagraph"/>
        <w:spacing w:before="120" w:after="120"/>
        <w:ind w:left="426"/>
        <w:jc w:val="both"/>
        <w:rPr>
          <w:rFonts w:asciiTheme="majorBidi" w:hAnsiTheme="majorBidi" w:cstheme="majorBidi"/>
          <w:noProof/>
          <w:sz w:val="24"/>
        </w:rPr>
      </w:pPr>
      <w:r w:rsidRPr="001C19A0">
        <w:rPr>
          <w:rFonts w:asciiTheme="majorBidi" w:hAnsiTheme="majorBidi" w:cstheme="majorBidi"/>
          <w:noProof/>
          <w:sz w:val="24"/>
        </w:rPr>
        <w:t>Първата референтна дата на оповестяване на настоящия образец е 31 декември 2024 г. От институциите не се изисква да оповестяват тази информация преди 1 януари 2025 г.</w:t>
      </w:r>
    </w:p>
    <w:p w14:paraId="2ECFBFAE" w14:textId="77777777" w:rsidR="00EF3EEA" w:rsidRPr="001C19A0" w:rsidRDefault="004158E6" w:rsidP="0051392F">
      <w:pPr>
        <w:jc w:val="both"/>
        <w:rPr>
          <w:rFonts w:asciiTheme="majorBidi" w:hAnsiTheme="majorBidi" w:cstheme="majorBidi"/>
          <w:b/>
          <w:noProof/>
          <w:sz w:val="24"/>
        </w:rPr>
      </w:pPr>
      <w:r w:rsidRPr="001C19A0">
        <w:rPr>
          <w:rFonts w:asciiTheme="majorBidi" w:hAnsiTheme="majorBidi" w:cstheme="majorBidi"/>
          <w:b/>
          <w:noProof/>
          <w:sz w:val="24"/>
        </w:rPr>
        <w:t>Образец 9.1 — Смекчаващи действия: активи, включени в изчисляването на отношението на съобразения с таксономията банков портфейл</w:t>
      </w:r>
    </w:p>
    <w:p w14:paraId="72F939F1" w14:textId="77777777" w:rsidR="002812BA" w:rsidRPr="001C19A0" w:rsidRDefault="002812BA" w:rsidP="00D35812">
      <w:pPr>
        <w:jc w:val="both"/>
        <w:rPr>
          <w:rFonts w:asciiTheme="majorBidi" w:hAnsiTheme="majorBidi" w:cstheme="majorBidi"/>
          <w:b/>
          <w:noProof/>
          <w:sz w:val="24"/>
        </w:rPr>
      </w:pPr>
    </w:p>
    <w:p w14:paraId="5E30DA8B" w14:textId="761C9CF4" w:rsidR="004158E6" w:rsidRPr="001C19A0" w:rsidRDefault="004158E6" w:rsidP="00BD7C6D">
      <w:pPr>
        <w:pStyle w:val="ListParagraph"/>
        <w:numPr>
          <w:ilvl w:val="0"/>
          <w:numId w:val="27"/>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В настоящия образец институциите могат да оповестяват брутната балансова стойност на активите, които са от значение за изчисляването на отношението на съобразения с таксономията банков портфейл. Настоящият образец се прилага само за контрагенти, за които не се прилагат задълженията за оповестяване.</w:t>
      </w:r>
    </w:p>
    <w:p w14:paraId="133CFA6A" w14:textId="77777777" w:rsidR="00EF63C8" w:rsidRPr="001C19A0" w:rsidRDefault="00EF63C8" w:rsidP="00D35812">
      <w:pPr>
        <w:jc w:val="both"/>
        <w:rPr>
          <w:rFonts w:asciiTheme="majorBidi" w:hAnsiTheme="majorBidi" w:cstheme="majorBidi"/>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1C19A0"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1C19A0" w:rsidRDefault="00EF3EEA" w:rsidP="00EF3EEA">
            <w:pPr>
              <w:spacing w:before="120" w:after="120"/>
              <w:jc w:val="both"/>
              <w:rPr>
                <w:rFonts w:asciiTheme="majorBidi" w:hAnsiTheme="majorBidi" w:cstheme="majorBidi"/>
                <w:b/>
                <w:noProof/>
                <w:color w:val="000000"/>
                <w:sz w:val="24"/>
              </w:rPr>
            </w:pPr>
            <w:r w:rsidRPr="001C19A0">
              <w:rPr>
                <w:rFonts w:asciiTheme="majorBidi" w:hAnsiTheme="majorBidi" w:cstheme="majorBidi"/>
                <w:b/>
                <w:noProof/>
                <w:color w:val="000000"/>
                <w:sz w:val="24"/>
              </w:rPr>
              <w:t>ОБЩО АКТИВИ В ОЕА</w:t>
            </w:r>
          </w:p>
          <w:p w14:paraId="303FD3D8" w14:textId="77777777" w:rsidR="008116D5" w:rsidRPr="001C19A0" w:rsidRDefault="008116D5" w:rsidP="00EF3EEA">
            <w:pPr>
              <w:spacing w:before="120" w:after="120"/>
              <w:jc w:val="both"/>
              <w:rPr>
                <w:rFonts w:asciiTheme="majorBidi" w:eastAsia="Times New Roman" w:hAnsiTheme="majorBidi" w:cstheme="majorBidi"/>
                <w:noProof/>
                <w:sz w:val="24"/>
                <w:u w:val="single"/>
              </w:rPr>
            </w:pPr>
            <w:r w:rsidRPr="001C19A0">
              <w:rPr>
                <w:rFonts w:asciiTheme="majorBidi" w:hAnsiTheme="majorBidi" w:cstheme="majorBidi"/>
                <w:noProof/>
                <w:color w:val="000000"/>
                <w:sz w:val="24"/>
                <w:u w:val="single"/>
              </w:rPr>
              <w:t xml:space="preserve">Съгласно оповестеното в ред 32 от образец 7. </w:t>
            </w:r>
          </w:p>
        </w:tc>
      </w:tr>
      <w:tr w:rsidR="00EF3EEA" w:rsidRPr="001C19A0"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Нефинансови предприятия от ЕС (за които не се прилагат задължения за оповестяване съгласно ДОНФИ)</w:t>
            </w:r>
          </w:p>
          <w:p w14:paraId="31782FB4" w14:textId="28D5B93C" w:rsidR="00EF3EEA" w:rsidRPr="001C19A0" w:rsidRDefault="00C06AA4"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експозициите към нефинансови предприятия съгласно определението в част 1, точка 42, буква д) от приложение V към Регламент за изпълнение (ЕС) 2021/451, които се намират в Съюза и за които не се прилагат задълженията за оповестяване съгласно Директива 2013/34/ЕС.</w:t>
            </w:r>
          </w:p>
          <w:p w14:paraId="6ACACC27" w14:textId="6F535AA6" w:rsidR="00EF3EEA" w:rsidRPr="001C19A0" w:rsidRDefault="00EF3EEA" w:rsidP="00EF3EEA">
            <w:pPr>
              <w:spacing w:before="120" w:after="120"/>
              <w:jc w:val="both"/>
              <w:rPr>
                <w:rFonts w:asciiTheme="majorBidi" w:hAnsiTheme="majorBidi" w:cstheme="majorBidi"/>
                <w:noProof/>
                <w:sz w:val="24"/>
              </w:rPr>
            </w:pPr>
            <w:r w:rsidRPr="001C19A0">
              <w:rPr>
                <w:rFonts w:asciiTheme="majorBidi" w:hAnsiTheme="majorBidi" w:cstheme="majorBidi"/>
                <w:noProof/>
                <w:sz w:val="24"/>
              </w:rPr>
              <w:t>Когато за контрагента не се прилагат задълженията за оповестяване съгласно член 8 от Регламент (ЕС) 2020/852, за изчисляването на процента на съобразените с таксономията експозиции, както е посочено в Регламент (ЕС) 2020/852, институциите могат, въз основа на принципа на полагане на разумни усилия, да събират информация от своите контрагенти на доброволна и двустранна основа при процесите на отпускане на кредити и на редовен преглед и наблюдение на кредитите. Само когато контрагентът не е в състояние или не желае да предостави съответните данни, кредитните институции използват вътрешни приблизителни оценки и аналози, като в описанието, придружаващо образеца, посочват обхвата на използване на тези приблизителни оценки, както и вида на прилаганите приблизителни оценки. Когато институциите не могат да съберат съответната информация на доброволна и двустранна основа или да я оценят приблизително, или не са в състояние да го направят по разумен начин, който не е прекалено обременяващ за тях или за техните контрагенти, те обясняват този факт в описанието, придружаващо образеца, като посочват причините и засегнатите контрагенти.</w:t>
            </w:r>
          </w:p>
          <w:p w14:paraId="0106E41D" w14:textId="6D5C1A03" w:rsidR="00EF3EEA" w:rsidRPr="001C19A0" w:rsidRDefault="00EF3EEA" w:rsidP="00EF3EEA">
            <w:pPr>
              <w:spacing w:before="120" w:after="120"/>
              <w:jc w:val="both"/>
              <w:rPr>
                <w:rFonts w:asciiTheme="majorBidi" w:hAnsiTheme="majorBidi" w:cstheme="majorBidi"/>
                <w:noProof/>
                <w:sz w:val="24"/>
              </w:rPr>
            </w:pPr>
            <w:r w:rsidRPr="001C19A0">
              <w:rPr>
                <w:rFonts w:asciiTheme="majorBidi" w:hAnsiTheme="majorBidi" w:cstheme="majorBidi"/>
                <w:noProof/>
                <w:sz w:val="24"/>
              </w:rPr>
              <w:t xml:space="preserve">По отношение на оповестяванията, засягащи предприятията, за които не се прилагат задълженията за оповестяване съгласно Директива 2013/34/ЕС, включително малки и средни предприятия (МСП), когато институциите оценяват кредитирането/финансирането с обща цел, при което използването на постъпленията не е известно, те следват опростен подход и съсредоточават оценката си върху основната икономическа дейност на предприятието, т.е. върху основния им източник на оборот, за да определят цялостната съобразност на експозициите с Регламент (ЕС) 2020/852. При специализирано кредитиране оценката се основава на степента, в която финансираният конкретен проект се определя като допринасящ съществено за смекчаването на изменението на климата или за адаптирането към него (специфична информация за проекта). </w:t>
            </w:r>
          </w:p>
          <w:p w14:paraId="0069EE67" w14:textId="77777777" w:rsidR="00EF3EEA" w:rsidRPr="001C19A0" w:rsidRDefault="00EF3EEA" w:rsidP="00EF3EEA">
            <w:pPr>
              <w:spacing w:before="120" w:after="120"/>
              <w:jc w:val="both"/>
              <w:rPr>
                <w:rFonts w:asciiTheme="majorBidi" w:eastAsia="Times New Roman" w:hAnsiTheme="majorBidi" w:cstheme="majorBidi"/>
                <w:b/>
                <w:noProof/>
                <w:sz w:val="24"/>
              </w:rPr>
            </w:pPr>
          </w:p>
        </w:tc>
      </w:tr>
      <w:tr w:rsidR="00EF3EEA" w:rsidRPr="001C19A0"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обезпечени с търговски недвижим имот</w:t>
            </w:r>
          </w:p>
          <w:p w14:paraId="6E9B9DEF" w14:textId="23CF4306" w:rsidR="00EF3EEA" w:rsidRPr="001C19A0" w:rsidRDefault="009D521D"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Експозициите, посочени в част 2, точка 173, буква а) и точка 239ix от приложение V към Регламент за изпълнение (ЕС) 2021/451.</w:t>
            </w:r>
          </w:p>
          <w:p w14:paraId="6306C14C" w14:textId="79AF3D84" w:rsidR="00EF3EEA" w:rsidRPr="001C19A0" w:rsidRDefault="00EF3EEA" w:rsidP="00EF3EEA">
            <w:pPr>
              <w:spacing w:before="120" w:after="120"/>
              <w:jc w:val="both"/>
              <w:rPr>
                <w:rFonts w:asciiTheme="majorBidi" w:hAnsiTheme="majorBidi" w:cstheme="majorBidi"/>
                <w:noProof/>
                <w:sz w:val="24"/>
              </w:rPr>
            </w:pPr>
            <w:r w:rsidRPr="001C19A0">
              <w:rPr>
                <w:rFonts w:asciiTheme="majorBidi" w:hAnsiTheme="majorBidi" w:cstheme="majorBidi"/>
                <w:noProof/>
                <w:sz w:val="24"/>
              </w:rPr>
              <w:t>Съобразяването на тези експозиции с таксономията, както е посочено в Регламент (ЕС) 2020/852, се оценява само чрез опростен подход за целта за смекчаване на изменението на климата в съответствие с техническите критерии за проверка за сградите, а именно ремонт, придобиване и притежаване съгласно съответно точки 7.2., 7.3., 7.4., 7.5., 7.6. и 7.7. от приложение I към Делегиран регламент (ЕС) 2021/2139 въз основа на енергийната ефективност на базовото обезпечение.</w:t>
            </w:r>
          </w:p>
          <w:p w14:paraId="15327AF8"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p>
        </w:tc>
      </w:tr>
      <w:tr w:rsidR="00EF3EEA" w:rsidRPr="001C19A0"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 т.ч.: Кредити за ремонт на сгради</w:t>
            </w:r>
          </w:p>
          <w:p w14:paraId="3D6189BB" w14:textId="3E8DFCD5"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Кредити, които се отпускат на МСП и други нефинансови предприятия, за които не се прилагат задълженията за оповестяване съгласно Директива 2014/95/ЕС, с цел ремонт на сграда.</w:t>
            </w:r>
          </w:p>
          <w:p w14:paraId="61ED92DD" w14:textId="211BE13F" w:rsidR="00EF3EEA" w:rsidRPr="001C19A0" w:rsidRDefault="00EF3EEA" w:rsidP="00EF3EEA">
            <w:pPr>
              <w:spacing w:before="120" w:after="120"/>
              <w:jc w:val="both"/>
              <w:rPr>
                <w:rFonts w:asciiTheme="majorBidi" w:hAnsiTheme="majorBidi" w:cstheme="majorBidi"/>
                <w:noProof/>
                <w:sz w:val="24"/>
              </w:rPr>
            </w:pPr>
            <w:r w:rsidRPr="001C19A0">
              <w:rPr>
                <w:rFonts w:asciiTheme="majorBidi" w:hAnsiTheme="majorBidi" w:cstheme="majorBidi"/>
                <w:noProof/>
                <w:sz w:val="24"/>
              </w:rPr>
              <w:t>Съобразяването на тези експозиции с таксономията, както е посочено в Регламент (ЕС) 2020/852, се оценява само чрез опростен подход за целта за смекчаване на изменението на климата в съответствие с техническите критерии за проверка за сградите, а именно ремонт, придобиване и притежаване съгласно съответно точки 7.2., 7.3., 7.4., 7.5., 7.6. и 7.7. от приложение I към Делегиран регламент (ЕС) 2021/2139 въз основа на енергийната ефективност на базовото обезпечение.</w:t>
            </w:r>
          </w:p>
          <w:p w14:paraId="72281082"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p>
        </w:tc>
      </w:tr>
      <w:tr w:rsidR="00EF3EEA" w:rsidRPr="001C19A0"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Нефинансови предприятия извън ЕС (за които не се прилагат задълженията за оповестяване съгласно ДОНФИ)</w:t>
            </w:r>
          </w:p>
          <w:p w14:paraId="1507459B" w14:textId="6654D701"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Експозиции към нефинансовите предприятия, посочени в част 1, точка 42, буква д) от приложение V към Регламент за изпълнение (ЕС) 2021/451, които се намират извън Съюза и за които не се прилагат задълженията за оповестяване съгласно Директива 2014/95/ЕС.</w:t>
            </w:r>
          </w:p>
          <w:p w14:paraId="5305FAD0" w14:textId="77008E0A" w:rsidR="00EF3EEA" w:rsidRPr="001C19A0" w:rsidRDefault="00EF3EEA" w:rsidP="00EF3EEA">
            <w:pPr>
              <w:spacing w:before="120" w:after="120"/>
              <w:jc w:val="both"/>
              <w:rPr>
                <w:rFonts w:asciiTheme="majorBidi" w:hAnsiTheme="majorBidi" w:cstheme="majorBidi"/>
                <w:noProof/>
                <w:sz w:val="24"/>
              </w:rPr>
            </w:pPr>
            <w:r w:rsidRPr="001C19A0">
              <w:rPr>
                <w:rFonts w:asciiTheme="majorBidi" w:hAnsiTheme="majorBidi" w:cstheme="majorBidi"/>
                <w:noProof/>
                <w:sz w:val="24"/>
              </w:rPr>
              <w:t>Когато институциите предоставят тази информация в оповестяванията си по член 8 от Регламент (ЕС) 2020/852 в съответствие с член 7, параграф 7 от Делегиран регламент (ЕС) 2021/2178, те оповестяват тук същата информация. В противен случай институциите събират информация от контрагентите си на двустранна основа при процесите на отпускане на кредити и на редовен преглед и наблюдение на кредитите или използват следните аналози за оповестяване на информация за експозициите извън ЕС въз основа на принципа на полагане на максимални усилия:</w:t>
            </w:r>
          </w:p>
          <w:p w14:paraId="2773DD8C" w14:textId="6B560101" w:rsidR="00EF3EEA" w:rsidRPr="001C19A0" w:rsidRDefault="00786654" w:rsidP="00B76863">
            <w:pPr>
              <w:pStyle w:val="ListParagraph"/>
              <w:spacing w:before="120" w:after="120"/>
              <w:ind w:left="539" w:hanging="539"/>
              <w:jc w:val="both"/>
              <w:rPr>
                <w:rFonts w:asciiTheme="majorBidi" w:hAnsiTheme="majorBidi" w:cstheme="majorBidi"/>
                <w:noProof/>
                <w:sz w:val="24"/>
              </w:rPr>
            </w:pPr>
            <w:r w:rsidRPr="001C19A0">
              <w:rPr>
                <w:rFonts w:asciiTheme="majorBidi" w:hAnsiTheme="majorBidi" w:cstheme="majorBidi"/>
                <w:noProof/>
                <w:sz w:val="24"/>
              </w:rPr>
              <w:t xml:space="preserve">а) </w:t>
            </w:r>
            <w:r w:rsidRPr="001C19A0">
              <w:rPr>
                <w:rFonts w:asciiTheme="majorBidi" w:hAnsiTheme="majorBidi" w:cstheme="majorBidi"/>
                <w:noProof/>
              </w:rPr>
              <w:tab/>
            </w:r>
            <w:r w:rsidRPr="001C19A0">
              <w:rPr>
                <w:rFonts w:asciiTheme="majorBidi" w:hAnsiTheme="majorBidi" w:cstheme="majorBidi"/>
                <w:noProof/>
                <w:sz w:val="24"/>
              </w:rPr>
              <w:t>техните собствени модели и класификацията на експозициите според тях; в този случай институциите обясняват основните характеристики на приложените модели;</w:t>
            </w:r>
          </w:p>
          <w:p w14:paraId="2307117D" w14:textId="62C0923D" w:rsidR="00EF3EEA" w:rsidRPr="001C19A0" w:rsidRDefault="00786654" w:rsidP="00B76863">
            <w:pPr>
              <w:pStyle w:val="ListParagraph"/>
              <w:spacing w:before="120" w:after="120"/>
              <w:ind w:left="539" w:hanging="539"/>
              <w:jc w:val="both"/>
              <w:rPr>
                <w:rFonts w:asciiTheme="majorBidi" w:hAnsiTheme="majorBidi" w:cstheme="majorBidi"/>
                <w:noProof/>
                <w:sz w:val="24"/>
              </w:rPr>
            </w:pPr>
            <w:r w:rsidRPr="001C19A0">
              <w:rPr>
                <w:rFonts w:asciiTheme="majorBidi" w:hAnsiTheme="majorBidi" w:cstheme="majorBidi"/>
                <w:noProof/>
                <w:sz w:val="24"/>
              </w:rPr>
              <w:t xml:space="preserve">б) </w:t>
            </w:r>
            <w:r w:rsidRPr="001C19A0">
              <w:rPr>
                <w:rFonts w:asciiTheme="majorBidi" w:hAnsiTheme="majorBidi" w:cstheme="majorBidi"/>
                <w:noProof/>
              </w:rPr>
              <w:tab/>
            </w:r>
            <w:r w:rsidRPr="001C19A0">
              <w:rPr>
                <w:rFonts w:asciiTheme="majorBidi" w:hAnsiTheme="majorBidi" w:cstheme="majorBidi"/>
                <w:noProof/>
                <w:sz w:val="24"/>
              </w:rPr>
              <w:t xml:space="preserve">когато са налични, публично оповестени данни на контрагентите въз основа на международни стандарти (включително TCFD); в този случай институциите обясняват вида на наличната информация и прилаганите стандарти; </w:t>
            </w:r>
          </w:p>
          <w:p w14:paraId="6136A2C7" w14:textId="10B70A2D" w:rsidR="00EF3EEA" w:rsidRPr="001C19A0" w:rsidRDefault="00786654" w:rsidP="00B76863">
            <w:pPr>
              <w:pStyle w:val="ListParagraph"/>
              <w:spacing w:before="120" w:after="120"/>
              <w:ind w:left="539" w:hanging="539"/>
              <w:jc w:val="both"/>
              <w:rPr>
                <w:rFonts w:asciiTheme="majorBidi" w:hAnsiTheme="majorBidi" w:cstheme="majorBidi"/>
                <w:noProof/>
                <w:sz w:val="24"/>
              </w:rPr>
            </w:pPr>
            <w:r w:rsidRPr="001C19A0">
              <w:rPr>
                <w:rFonts w:asciiTheme="majorBidi" w:hAnsiTheme="majorBidi" w:cstheme="majorBidi"/>
                <w:noProof/>
                <w:sz w:val="24"/>
              </w:rPr>
              <w:t xml:space="preserve">в) </w:t>
            </w:r>
            <w:r w:rsidRPr="001C19A0">
              <w:rPr>
                <w:rFonts w:asciiTheme="majorBidi" w:hAnsiTheme="majorBidi" w:cstheme="majorBidi"/>
                <w:noProof/>
              </w:rPr>
              <w:tab/>
            </w:r>
            <w:r w:rsidRPr="001C19A0">
              <w:rPr>
                <w:rFonts w:asciiTheme="majorBidi" w:hAnsiTheme="majorBidi" w:cstheme="majorBidi"/>
                <w:noProof/>
                <w:sz w:val="24"/>
              </w:rPr>
              <w:t>други общодостъпни данни.</w:t>
            </w:r>
          </w:p>
          <w:p w14:paraId="080F993E" w14:textId="2A323C66" w:rsidR="00EF3EEA" w:rsidRPr="001C19A0" w:rsidRDefault="00EF3EEA" w:rsidP="00EF3EEA">
            <w:pPr>
              <w:spacing w:before="120" w:after="120"/>
              <w:jc w:val="both"/>
              <w:rPr>
                <w:rFonts w:asciiTheme="majorBidi" w:hAnsiTheme="majorBidi" w:cstheme="majorBidi"/>
                <w:noProof/>
                <w:sz w:val="24"/>
              </w:rPr>
            </w:pPr>
            <w:r w:rsidRPr="001C19A0">
              <w:rPr>
                <w:rFonts w:asciiTheme="majorBidi" w:hAnsiTheme="majorBidi" w:cstheme="majorBidi"/>
                <w:noProof/>
                <w:sz w:val="24"/>
              </w:rPr>
              <w:t>В описанието, придружаващо настоящия образец, институциите трябва да посочат източниците, използвани за оповестяването на тази информация. Когато институциите не могат да съберат съответната информация на двустранна основа или да я оценят приблизително, или не са в състояние да го направят по разумен начин, който не е прекалено обременяващ за тях или за техните контрагенти, те обясняват този факт в описанието, придружаващо образеца, като посочват причините и засегнатите контрагенти.</w:t>
            </w:r>
          </w:p>
          <w:p w14:paraId="5976970B" w14:textId="6A6CD48F"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За този вид контрагенти, когато институциите оценяват кредитирането/финансирането с обща цел, при което използването на постъпленията не е известно, те следват опростен подход и съсредоточават оценката си върху основната икономическа дейност на предприятието, т.е. върху основния им източник на оборот, за да определят цялостната съобразност на експозициите с Регламент (ЕС) 2020/852. При специализирано кредитиране оценката се основава на това каква част от конкретния финансиран проект се счита, че допринася съществено за смекчаването на изменението на климата или адаптирането към него (специфична информация за проекта) и до каква степен, а при портфейла от недвижими имоти оценката се извършва за целта за смекчаване на изменението на климата въз основа на енергийната ефективност на базовото обезпечение и тяхното съобразяване с критериите, определени за съответните дейности в Регламент (ЕС) 2020/852.</w:t>
            </w:r>
          </w:p>
          <w:p w14:paraId="358D71B0"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p>
        </w:tc>
      </w:tr>
      <w:tr w:rsidR="00EF3EEA" w:rsidRPr="001C19A0"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1C19A0" w:rsidRDefault="00EF3EEA" w:rsidP="00EF3EEA">
            <w:pPr>
              <w:spacing w:before="120" w:after="120"/>
              <w:jc w:val="both"/>
              <w:rPr>
                <w:rFonts w:asciiTheme="majorBidi" w:hAnsiTheme="majorBidi" w:cstheme="majorBidi"/>
                <w:noProof/>
                <w:color w:val="000000"/>
                <w:sz w:val="24"/>
              </w:rPr>
            </w:pPr>
            <w:r w:rsidRPr="001C19A0">
              <w:rPr>
                <w:rFonts w:asciiTheme="majorBidi" w:hAnsiTheme="majorBidi" w:cstheme="majorBidi"/>
                <w:noProof/>
                <w:color w:val="000000"/>
                <w:sz w:val="24"/>
              </w:rPr>
              <w:t>Ред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1C19A0" w:rsidRDefault="00EF3EEA" w:rsidP="00EF3EEA">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 xml:space="preserve">ОБЩО АКТИВИ В ОТНОШЕНИЕТО НА СЪОБРАЗЕНИЯ С ТАКСОНОМИЯТА БАНКОВ ПОРТФЕЙЛ </w:t>
            </w:r>
          </w:p>
          <w:p w14:paraId="73A828F3" w14:textId="77777777" w:rsidR="00EF3EEA" w:rsidRPr="001C19A0" w:rsidRDefault="00EF3EEA" w:rsidP="00EF3EEA">
            <w:pPr>
              <w:spacing w:before="120" w:after="120"/>
              <w:jc w:val="both"/>
              <w:rPr>
                <w:rFonts w:asciiTheme="majorBidi" w:eastAsia="Times New Roman" w:hAnsiTheme="majorBidi" w:cstheme="majorBidi"/>
                <w:bCs/>
                <w:noProof/>
                <w:sz w:val="24"/>
              </w:rPr>
            </w:pPr>
            <w:r w:rsidRPr="001C19A0">
              <w:rPr>
                <w:rFonts w:asciiTheme="majorBidi" w:hAnsiTheme="majorBidi" w:cstheme="majorBidi"/>
                <w:noProof/>
                <w:sz w:val="24"/>
              </w:rPr>
              <w:t>Сбор от редове 1, 2 и 8</w:t>
            </w:r>
          </w:p>
        </w:tc>
      </w:tr>
      <w:tr w:rsidR="00EF3EEA" w:rsidRPr="001C19A0"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1C19A0" w:rsidRDefault="00EF3EEA" w:rsidP="00EF3EEA">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color w:val="000000"/>
                <w:sz w:val="24"/>
              </w:rPr>
              <w:t>Редове 13—19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1C19A0" w:rsidRDefault="00EF3EEA" w:rsidP="00EF3EEA">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noProof/>
                <w:sz w:val="24"/>
              </w:rPr>
              <w:t>Вж. определенията в образец 7 (редове 41—50)</w:t>
            </w:r>
          </w:p>
        </w:tc>
      </w:tr>
    </w:tbl>
    <w:p w14:paraId="2BEFAC73" w14:textId="77777777" w:rsidR="00EF63C8" w:rsidRPr="001C19A0" w:rsidRDefault="00EF63C8" w:rsidP="00D35812">
      <w:pPr>
        <w:jc w:val="both"/>
        <w:rPr>
          <w:rFonts w:asciiTheme="majorBidi" w:hAnsiTheme="majorBidi" w:cstheme="majorBidi"/>
          <w:b/>
          <w:noProof/>
          <w:sz w:val="24"/>
        </w:rPr>
      </w:pPr>
    </w:p>
    <w:p w14:paraId="24B770BA" w14:textId="77777777" w:rsidR="003F07A6" w:rsidRPr="001C19A0" w:rsidRDefault="003F07A6" w:rsidP="00D35812">
      <w:pPr>
        <w:jc w:val="both"/>
        <w:rPr>
          <w:rFonts w:asciiTheme="majorBidi" w:hAnsiTheme="majorBidi" w:cstheme="majorBidi"/>
          <w:b/>
          <w:noProof/>
          <w:sz w:val="24"/>
        </w:rPr>
      </w:pPr>
    </w:p>
    <w:p w14:paraId="2C6C44D9" w14:textId="77777777" w:rsidR="006C4055" w:rsidRPr="001C19A0" w:rsidRDefault="006C4055" w:rsidP="006C4055">
      <w:pPr>
        <w:jc w:val="both"/>
        <w:rPr>
          <w:rFonts w:asciiTheme="majorBidi" w:hAnsiTheme="majorBidi" w:cstheme="majorBidi"/>
          <w:b/>
          <w:noProof/>
          <w:sz w:val="24"/>
          <w:u w:val="single"/>
        </w:rPr>
      </w:pPr>
      <w:r w:rsidRPr="001C19A0">
        <w:rPr>
          <w:rFonts w:asciiTheme="majorBidi" w:hAnsiTheme="majorBidi" w:cstheme="majorBidi"/>
          <w:b/>
          <w:noProof/>
          <w:sz w:val="24"/>
          <w:u w:val="single"/>
        </w:rPr>
        <w:t>Образец 9.2 — Процент на отношението на съобразения с таксономията банков портфейл</w:t>
      </w:r>
    </w:p>
    <w:p w14:paraId="5099F1ED" w14:textId="77777777" w:rsidR="006C4055" w:rsidRPr="001C19A0" w:rsidRDefault="006C4055" w:rsidP="00D35812">
      <w:pPr>
        <w:jc w:val="both"/>
        <w:rPr>
          <w:rFonts w:asciiTheme="majorBidi" w:hAnsiTheme="majorBidi" w:cstheme="majorBidi"/>
          <w:b/>
          <w:noProof/>
          <w:sz w:val="24"/>
        </w:rPr>
      </w:pPr>
    </w:p>
    <w:p w14:paraId="3CE2FAAC" w14:textId="251EA804" w:rsidR="006C4055" w:rsidRPr="001C19A0" w:rsidRDefault="006C4055" w:rsidP="000A5C17">
      <w:pPr>
        <w:pStyle w:val="ListParagraph"/>
        <w:tabs>
          <w:tab w:val="left" w:pos="567"/>
        </w:tabs>
        <w:spacing w:before="120" w:after="120"/>
        <w:ind w:left="0"/>
        <w:jc w:val="both"/>
        <w:rPr>
          <w:rFonts w:asciiTheme="majorBidi" w:hAnsiTheme="majorBidi" w:cstheme="majorBidi"/>
          <w:noProof/>
          <w:sz w:val="24"/>
        </w:rPr>
      </w:pPr>
      <w:r w:rsidRPr="001C19A0">
        <w:rPr>
          <w:rFonts w:asciiTheme="majorBidi" w:hAnsiTheme="majorBidi" w:cstheme="majorBidi"/>
          <w:noProof/>
          <w:sz w:val="24"/>
        </w:rPr>
        <w:t>В настоящия образец институциите могат да оповестяват процента на активите в отношението на съобразения с таксономията банков портфейл, оповестени в образец 1, спрямо общия размер на активите в знаменателя на отношението на съобразения с таксономията банков портфейл, оповестен в ред 17 на образец 9.1.</w:t>
      </w:r>
    </w:p>
    <w:p w14:paraId="6AB76FB3" w14:textId="63ADBDFD" w:rsidR="006C4055" w:rsidRPr="001C19A0" w:rsidRDefault="00475232" w:rsidP="0051392F">
      <w:pPr>
        <w:jc w:val="both"/>
        <w:rPr>
          <w:rFonts w:asciiTheme="majorBidi" w:hAnsiTheme="majorBidi" w:cstheme="majorBidi"/>
          <w:b/>
          <w:noProof/>
          <w:sz w:val="24"/>
          <w:u w:val="single"/>
        </w:rPr>
      </w:pPr>
      <w:r w:rsidRPr="001C19A0">
        <w:rPr>
          <w:rFonts w:asciiTheme="majorBidi" w:hAnsiTheme="majorBidi" w:cstheme="majorBidi"/>
          <w:b/>
          <w:noProof/>
          <w:sz w:val="24"/>
          <w:u w:val="single"/>
        </w:rPr>
        <w:t>Образец 9.3 — Процент на отношението на съобразения с таксономията банков портфейл</w:t>
      </w:r>
    </w:p>
    <w:p w14:paraId="1A45105A" w14:textId="242071B4" w:rsidR="006C4055" w:rsidRPr="001C19A0" w:rsidRDefault="006C4055" w:rsidP="000A5C17">
      <w:pPr>
        <w:tabs>
          <w:tab w:val="left" w:pos="567"/>
        </w:tabs>
        <w:spacing w:before="120" w:after="120"/>
        <w:jc w:val="both"/>
        <w:rPr>
          <w:rFonts w:asciiTheme="majorBidi" w:hAnsiTheme="majorBidi" w:cstheme="majorBidi"/>
          <w:noProof/>
          <w:sz w:val="24"/>
        </w:rPr>
      </w:pPr>
      <w:r w:rsidRPr="001C19A0">
        <w:rPr>
          <w:rFonts w:asciiTheme="majorBidi" w:hAnsiTheme="majorBidi" w:cstheme="majorBidi"/>
          <w:noProof/>
          <w:sz w:val="24"/>
        </w:rPr>
        <w:t>Настоящият образец съдържа обобщение на КПР на отношението на съобразения с таксономията банков портфейл, разпределение по екологични цели във връзка с изменението на климата и общо, както и разпределение по наличности и потоци.</w:t>
      </w:r>
    </w:p>
    <w:p w14:paraId="66911CDE" w14:textId="77777777" w:rsidR="006C4055" w:rsidRPr="001C19A0" w:rsidRDefault="006C4055" w:rsidP="00D35812">
      <w:pPr>
        <w:jc w:val="both"/>
        <w:rPr>
          <w:rFonts w:asciiTheme="majorBidi" w:hAnsiTheme="majorBidi" w:cstheme="majorBidi"/>
          <w:b/>
          <w:noProof/>
          <w:sz w:val="24"/>
        </w:rPr>
      </w:pPr>
    </w:p>
    <w:p w14:paraId="680D581F" w14:textId="0BB6CE7A" w:rsidR="00E77292" w:rsidRPr="001C19A0" w:rsidRDefault="00E77292" w:rsidP="00D35812">
      <w:pPr>
        <w:jc w:val="both"/>
        <w:rPr>
          <w:rFonts w:asciiTheme="majorBidi" w:hAnsiTheme="majorBidi" w:cstheme="majorBidi"/>
          <w:b/>
          <w:noProof/>
          <w:sz w:val="24"/>
        </w:rPr>
      </w:pPr>
      <w:r w:rsidRPr="001C19A0">
        <w:rPr>
          <w:rFonts w:asciiTheme="majorBidi" w:hAnsiTheme="majorBidi" w:cstheme="majorBidi"/>
          <w:b/>
          <w:noProof/>
          <w:sz w:val="24"/>
        </w:rPr>
        <w:t>Образец 10 — Други действия за смекчаване на изменението на климата, които не са обхванати от Регламент (ЕС) 2020/852</w:t>
      </w:r>
    </w:p>
    <w:p w14:paraId="62FA978B" w14:textId="77777777" w:rsidR="00E77292" w:rsidRPr="001C19A0" w:rsidRDefault="00E77292" w:rsidP="00DA390D">
      <w:pPr>
        <w:jc w:val="both"/>
        <w:rPr>
          <w:rFonts w:asciiTheme="majorBidi" w:hAnsiTheme="majorBidi" w:cstheme="majorBidi"/>
          <w:b/>
          <w:noProof/>
          <w:sz w:val="24"/>
        </w:rPr>
      </w:pPr>
    </w:p>
    <w:p w14:paraId="42949A1F" w14:textId="0C9457A0" w:rsidR="003C237A" w:rsidRPr="001C19A0" w:rsidRDefault="00E77292" w:rsidP="00BD7C6D">
      <w:pPr>
        <w:pStyle w:val="ListParagraph"/>
        <w:numPr>
          <w:ilvl w:val="0"/>
          <w:numId w:val="28"/>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Настоящият образец обхваща други действия за смекчаване на изменението на климата и включва експозициите на институциите, които не са съобразени с таксономията, както е посочено в Регламент (ЕС) 2020/852, съгласно образци 7 и 8, но които все пак подпомагат контрагентите в процеса на преход и адаптиране по целите за смекчаване на изменението на климата и адаптиране към него. Тези смекчаващи действия и дейности включват облигации и кредити, емитирани съгласно стандарти, различни от стандартите на Съюза, включително екосъобразни облигации; устойчиви облигации, които са свързани с някои аспекти на изменението на климата;  облигации във връзка с устойчивостта, които са свързани с някои аспекти на изменението на климата;  екосъобразни кредити; кредити във връзка с устойчивостта, които са свързани с някои аспекти на изменението на климата; кредити във връзка с устойчивостта, които са свързани с някои аспекти на изменението на климата.</w:t>
      </w:r>
    </w:p>
    <w:p w14:paraId="59E95CF2" w14:textId="40E63533" w:rsidR="00E77292" w:rsidRPr="001C19A0" w:rsidRDefault="002F5976" w:rsidP="00BD7C6D">
      <w:pPr>
        <w:pStyle w:val="ListParagraph"/>
        <w:numPr>
          <w:ilvl w:val="0"/>
          <w:numId w:val="28"/>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включват в описанието, придружаващо настоящия образец, подробни обяснения за естеството и вида на включените в него смекчаващи действия, включително информация за вида на рисковете, към които са насочени, целите във връзка с изменението на климата, за които се допринася, както и информация за свързаните контрагенти и графика на действията. Те също така обясняват защо тези експозиции не са напълно съобразени с установените в Регламент (ЕС) 2020/852 критерии и защо те не са устойчиви в съответствие с Регламент (ЕС) 2020/852, но все пак допринасят за смекчаване на риска от прехода във връзка с изменението на климата или на физическия риск, както и всяка друга относима информация, която може да спомогне за разбирането на рамката за управление на риска на институцията.</w:t>
      </w:r>
    </w:p>
    <w:p w14:paraId="2CDD4AFA" w14:textId="617259F0" w:rsidR="00C06AA4" w:rsidRPr="001C19A0" w:rsidRDefault="00C06AA4" w:rsidP="00BD7C6D">
      <w:pPr>
        <w:pStyle w:val="ListParagraph"/>
        <w:numPr>
          <w:ilvl w:val="0"/>
          <w:numId w:val="28"/>
        </w:numPr>
        <w:tabs>
          <w:tab w:val="left" w:pos="567"/>
        </w:tabs>
        <w:spacing w:before="120" w:after="120"/>
        <w:ind w:left="0" w:firstLine="0"/>
        <w:jc w:val="both"/>
        <w:rPr>
          <w:rFonts w:asciiTheme="majorBidi" w:hAnsiTheme="majorBidi" w:cstheme="majorBidi"/>
          <w:noProof/>
          <w:sz w:val="24"/>
        </w:rPr>
      </w:pPr>
      <w:r w:rsidRPr="001C19A0">
        <w:rPr>
          <w:rFonts w:asciiTheme="majorBidi" w:hAnsiTheme="majorBidi" w:cstheme="majorBidi"/>
          <w:noProof/>
          <w:sz w:val="24"/>
        </w:rPr>
        <w:t>Институциите започват да оповестяват информацията, включена в  образците с първа референтна дата на оповестяване 31 декември 2022 г.</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1C19A0"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1C19A0" w:rsidRDefault="00E77292" w:rsidP="008D522D">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Указания</w:t>
            </w:r>
          </w:p>
        </w:tc>
      </w:tr>
      <w:tr w:rsidR="00892F35" w:rsidRPr="001C19A0"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1C19A0" w:rsidRDefault="00892F35"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а</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1C19A0" w:rsidRDefault="00892F35" w:rsidP="00892F35">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Вид финансов инструмент</w:t>
            </w:r>
          </w:p>
          <w:p w14:paraId="453E09FA" w14:textId="162C5025" w:rsidR="00892F35" w:rsidRPr="001C19A0" w:rsidRDefault="00CB4C05" w:rsidP="00892F35">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вида на финансовия инструмент, както е посочено в приложение V към Регламент за изпълнение (ЕС) 2021/451.</w:t>
            </w:r>
          </w:p>
          <w:p w14:paraId="78119A27" w14:textId="59D14990" w:rsidR="00892F35" w:rsidRPr="001C19A0" w:rsidRDefault="00892F35" w:rsidP="00892F35">
            <w:pPr>
              <w:spacing w:before="120" w:after="120"/>
              <w:jc w:val="both"/>
              <w:rPr>
                <w:rFonts w:asciiTheme="majorBidi" w:eastAsia="Times New Roman" w:hAnsiTheme="majorBidi" w:cstheme="majorBidi"/>
                <w:bCs/>
                <w:noProof/>
                <w:sz w:val="24"/>
              </w:rPr>
            </w:pPr>
          </w:p>
        </w:tc>
      </w:tr>
      <w:tr w:rsidR="00E77292" w:rsidRPr="001C19A0"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1C19A0" w:rsidRDefault="00892F35"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б</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Вид контрагент</w:t>
            </w:r>
          </w:p>
          <w:p w14:paraId="05C5CA98" w14:textId="2A042E46" w:rsidR="00E77292" w:rsidRPr="001C19A0" w:rsidRDefault="00CB4C05" w:rsidP="00CB4C05">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вида на контрагента, както е посочено в част 1, точка 42 от приложение V към Регламент за изпълнение (ЕС) 2021/451.</w:t>
            </w:r>
          </w:p>
        </w:tc>
      </w:tr>
      <w:tr w:rsidR="00E77292" w:rsidRPr="001C19A0"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1C19A0" w:rsidRDefault="00E77292"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в</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1C19A0" w:rsidRDefault="00E77292" w:rsidP="00DA390D">
            <w:pPr>
              <w:spacing w:before="120" w:after="120"/>
              <w:jc w:val="both"/>
              <w:rPr>
                <w:rFonts w:asciiTheme="majorBidi" w:eastAsia="Times New Roman" w:hAnsiTheme="majorBidi" w:cstheme="majorBidi"/>
                <w:b/>
                <w:noProof/>
                <w:sz w:val="24"/>
                <w:u w:val="single"/>
              </w:rPr>
            </w:pPr>
            <w:r w:rsidRPr="001C19A0">
              <w:rPr>
                <w:rFonts w:asciiTheme="majorBidi" w:hAnsiTheme="majorBidi" w:cstheme="majorBidi"/>
                <w:b/>
                <w:noProof/>
                <w:sz w:val="24"/>
                <w:u w:val="single"/>
              </w:rPr>
              <w:t>Брутна балансова стойност (млн. евро)</w:t>
            </w:r>
          </w:p>
          <w:p w14:paraId="755D2817" w14:textId="79EE95E9" w:rsidR="00E77292" w:rsidRPr="001C19A0" w:rsidRDefault="00CB4C05" w:rsidP="0025458E">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Институциите оповестяват брутната  балансова стойност, както е посочено в част 1, точка 34 от приложение V към Регламент за изпълнение (ЕС) 2021/451.</w:t>
            </w:r>
          </w:p>
        </w:tc>
      </w:tr>
      <w:tr w:rsidR="00350EFD" w:rsidRPr="001C19A0"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1C19A0" w:rsidRDefault="00892F35" w:rsidP="00AC03F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г</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1C19A0" w:rsidRDefault="00892F35" w:rsidP="00AC03F6">
            <w:pPr>
              <w:spacing w:before="120" w:after="120"/>
              <w:jc w:val="both"/>
              <w:rPr>
                <w:rFonts w:asciiTheme="majorBidi" w:hAnsiTheme="majorBidi" w:cstheme="majorBidi"/>
                <w:noProof/>
                <w:sz w:val="24"/>
              </w:rPr>
            </w:pPr>
            <w:r w:rsidRPr="001C19A0">
              <w:rPr>
                <w:rFonts w:asciiTheme="majorBidi" w:hAnsiTheme="majorBidi" w:cstheme="majorBidi"/>
                <w:b/>
                <w:noProof/>
                <w:sz w:val="24"/>
                <w:u w:val="single"/>
              </w:rPr>
              <w:t>Вид на смекчавания риск (риск от прехода във връзка с изменението на климата)</w:t>
            </w:r>
          </w:p>
          <w:p w14:paraId="2BA65930" w14:textId="50FA1357" w:rsidR="00350EFD" w:rsidRPr="001C19A0" w:rsidRDefault="00CB4C05">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оповестяват вида на риска, който се смекчава с това действие: риск от прехода във връзка с изменението на климата.</w:t>
            </w:r>
          </w:p>
        </w:tc>
      </w:tr>
      <w:tr w:rsidR="00552D38" w:rsidRPr="001C19A0"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1C19A0" w:rsidRDefault="00552D38" w:rsidP="00AC03F6">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д</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1C19A0" w:rsidRDefault="00552D38" w:rsidP="00552D38">
            <w:pPr>
              <w:spacing w:before="120" w:after="120"/>
              <w:jc w:val="both"/>
              <w:rPr>
                <w:rFonts w:asciiTheme="majorBidi" w:hAnsiTheme="majorBidi" w:cstheme="majorBidi"/>
                <w:noProof/>
                <w:sz w:val="24"/>
              </w:rPr>
            </w:pPr>
            <w:r w:rsidRPr="001C19A0">
              <w:rPr>
                <w:rFonts w:asciiTheme="majorBidi" w:hAnsiTheme="majorBidi" w:cstheme="majorBidi"/>
                <w:b/>
                <w:noProof/>
                <w:sz w:val="24"/>
                <w:u w:val="single"/>
              </w:rPr>
              <w:t>Вид смекчаван риск (физически риск, свързан с изменението на климата)</w:t>
            </w:r>
          </w:p>
          <w:p w14:paraId="27E232E8" w14:textId="24C4C8A6" w:rsidR="00552D38" w:rsidRPr="001C19A0" w:rsidRDefault="00CB4C05" w:rsidP="00D20B32">
            <w:pPr>
              <w:spacing w:before="120" w:after="120"/>
              <w:jc w:val="both"/>
              <w:rPr>
                <w:rFonts w:asciiTheme="majorBidi" w:hAnsiTheme="majorBidi" w:cstheme="majorBidi"/>
                <w:b/>
                <w:noProof/>
                <w:sz w:val="24"/>
                <w:u w:val="single"/>
              </w:rPr>
            </w:pPr>
            <w:r w:rsidRPr="001C19A0">
              <w:rPr>
                <w:rFonts w:asciiTheme="majorBidi" w:hAnsiTheme="majorBidi" w:cstheme="majorBidi"/>
                <w:noProof/>
                <w:sz w:val="24"/>
              </w:rPr>
              <w:t>Институциите оповестяват вида на риска, който се смекчава с това действие: физически риск във връзка с изменението на климата.</w:t>
            </w:r>
          </w:p>
        </w:tc>
      </w:tr>
      <w:tr w:rsidR="00E77292" w:rsidRPr="001C19A0"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1C19A0" w:rsidRDefault="00E101B0" w:rsidP="00D35812">
            <w:pPr>
              <w:spacing w:before="120" w:after="120"/>
              <w:jc w:val="both"/>
              <w:rPr>
                <w:rFonts w:asciiTheme="majorBidi" w:eastAsia="Times New Roman" w:hAnsiTheme="majorBidi" w:cstheme="majorBidi"/>
                <w:noProof/>
                <w:sz w:val="24"/>
              </w:rPr>
            </w:pPr>
            <w:r w:rsidRPr="001C19A0">
              <w:rPr>
                <w:rFonts w:asciiTheme="majorBidi" w:hAnsiTheme="majorBidi" w:cstheme="majorBidi"/>
                <w:noProof/>
                <w:sz w:val="24"/>
              </w:rPr>
              <w:t>е</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1C19A0" w:rsidRDefault="00E77292" w:rsidP="00DA390D">
            <w:pPr>
              <w:spacing w:before="120" w:after="120"/>
              <w:jc w:val="both"/>
              <w:rPr>
                <w:rFonts w:asciiTheme="majorBidi" w:hAnsiTheme="majorBidi" w:cstheme="majorBidi"/>
                <w:b/>
                <w:noProof/>
                <w:sz w:val="24"/>
                <w:u w:val="single"/>
              </w:rPr>
            </w:pPr>
            <w:r w:rsidRPr="001C19A0">
              <w:rPr>
                <w:rFonts w:asciiTheme="majorBidi" w:hAnsiTheme="majorBidi" w:cstheme="majorBidi"/>
                <w:b/>
                <w:noProof/>
                <w:sz w:val="24"/>
                <w:u w:val="single"/>
              </w:rPr>
              <w:t>Качествена информация за естеството на смекчаващите действия</w:t>
            </w:r>
          </w:p>
          <w:p w14:paraId="1B72746E" w14:textId="1C7EF2BD" w:rsidR="00E77292" w:rsidRPr="001C19A0" w:rsidRDefault="00CB4C05" w:rsidP="00D822FC">
            <w:pPr>
              <w:spacing w:before="120" w:after="120"/>
              <w:jc w:val="both"/>
              <w:rPr>
                <w:rFonts w:asciiTheme="majorBidi" w:hAnsiTheme="majorBidi" w:cstheme="majorBidi"/>
                <w:noProof/>
                <w:sz w:val="24"/>
              </w:rPr>
            </w:pPr>
            <w:r w:rsidRPr="001C19A0">
              <w:rPr>
                <w:rFonts w:asciiTheme="majorBidi" w:hAnsiTheme="majorBidi" w:cstheme="majorBidi"/>
                <w:noProof/>
                <w:sz w:val="24"/>
              </w:rPr>
              <w:t>Институциите описват естеството на смекчаващите действия, с които се допринася за смекчаването на изменението на климата, посочено в член 10 от Регламент (ЕС) 2020/852, и за адаптирането към изменението на климата, посочено в член 11 от същия регламент, както и причините, поради които експозициите не се считат за съобразени с таксономията за целите на ОЕА.</w:t>
            </w:r>
          </w:p>
        </w:tc>
      </w:tr>
    </w:tbl>
    <w:p w14:paraId="62F078D2" w14:textId="77777777" w:rsidR="007A6AB7" w:rsidRPr="001C19A0" w:rsidRDefault="00F83472" w:rsidP="001A08A2">
      <w:pPr>
        <w:jc w:val="both"/>
        <w:rPr>
          <w:rFonts w:asciiTheme="majorBidi" w:hAnsiTheme="majorBidi" w:cstheme="majorBidi"/>
          <w:noProof/>
          <w:sz w:val="24"/>
        </w:rPr>
      </w:pPr>
      <w:r w:rsidRPr="001C19A0">
        <w:rPr>
          <w:rFonts w:asciiTheme="majorBidi" w:hAnsiTheme="majorBidi" w:cstheme="majorBidi"/>
          <w:noProof/>
          <w:sz w:val="24"/>
        </w:rPr>
        <w:t>___________</w:t>
      </w:r>
    </w:p>
    <w:p w14:paraId="2A46FB5C" w14:textId="73FDA51D" w:rsidR="001A5A8B" w:rsidRPr="001C19A0" w:rsidRDefault="001A5A8B"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vertAlign w:val="superscript"/>
        </w:rPr>
        <w:t>⃰1</w:t>
      </w:r>
      <w:r w:rsidRPr="001C19A0">
        <w:rPr>
          <w:rFonts w:asciiTheme="majorBidi" w:hAnsiTheme="majorBidi" w:cstheme="majorBidi"/>
          <w:noProof/>
        </w:rPr>
        <w:tab/>
      </w:r>
      <w:r w:rsidRPr="001C19A0">
        <w:rPr>
          <w:rFonts w:asciiTheme="majorBidi" w:hAnsiTheme="majorBidi" w:cstheme="majorBidi"/>
          <w:noProof/>
          <w:sz w:val="20"/>
          <w:szCs w:val="20"/>
        </w:rPr>
        <w:t>OВ L 282, 19.10.2016 г., стр. 4.</w:t>
      </w:r>
    </w:p>
    <w:p w14:paraId="1EB5DF06" w14:textId="6DE6DBC6" w:rsidR="001A5A8B" w:rsidRPr="001C19A0" w:rsidRDefault="001A5A8B"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*2</w:t>
      </w:r>
      <w:r w:rsidRPr="001C19A0">
        <w:rPr>
          <w:rFonts w:asciiTheme="majorBidi" w:hAnsiTheme="majorBidi" w:cstheme="majorBidi"/>
          <w:noProof/>
          <w:sz w:val="20"/>
          <w:szCs w:val="20"/>
        </w:rPr>
        <w:tab/>
        <w:t>СОМ(2019) 640 final.</w:t>
      </w:r>
    </w:p>
    <w:p w14:paraId="3E580C98" w14:textId="024B0D4E" w:rsidR="00541B93" w:rsidRPr="001C19A0" w:rsidRDefault="00541B93"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*3</w:t>
      </w:r>
      <w:r w:rsidRPr="001C19A0">
        <w:rPr>
          <w:rFonts w:asciiTheme="majorBidi" w:hAnsiTheme="majorBidi" w:cstheme="majorBidi"/>
          <w:noProof/>
          <w:sz w:val="20"/>
          <w:szCs w:val="20"/>
        </w:rP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p w14:paraId="52E80A2B" w14:textId="78436020" w:rsidR="00541B93" w:rsidRPr="001C19A0" w:rsidRDefault="00F83472"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*4</w:t>
      </w:r>
      <w:r w:rsidRPr="001C19A0">
        <w:rPr>
          <w:rFonts w:asciiTheme="majorBidi" w:hAnsiTheme="majorBidi" w:cstheme="majorBidi"/>
          <w:noProof/>
          <w:sz w:val="20"/>
          <w:szCs w:val="20"/>
        </w:rPr>
        <w:tab/>
        <w:t>Директива 2014/95/ЕС на Европейския парламент и на Съвета от 22 октомври 2014 г. за изменение на Директива 2013/34/EС по отношение на оповестяването на нефинансова информация и на информация за многообразието от страна на някои големи предприятия и групи (ОВ L 330, 15.11.2014 г., стр. 1).</w:t>
      </w:r>
    </w:p>
    <w:p w14:paraId="2ADB037E" w14:textId="4C97B744" w:rsidR="0096255E" w:rsidRPr="001C19A0" w:rsidRDefault="0096255E" w:rsidP="0096255E">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*5</w:t>
      </w:r>
      <w:r w:rsidRPr="001C19A0">
        <w:rPr>
          <w:rFonts w:asciiTheme="majorBidi" w:hAnsiTheme="majorBidi" w:cstheme="majorBidi"/>
          <w:noProof/>
          <w:sz w:val="20"/>
          <w:szCs w:val="20"/>
        </w:rPr>
        <w:tab/>
        <w:t>C/2019/4490 (OВ C 209, 20.6.2019 г., стр. 1).</w:t>
      </w:r>
    </w:p>
    <w:p w14:paraId="2F21B385" w14:textId="0E553EBB" w:rsidR="0096255E" w:rsidRPr="001C19A0" w:rsidRDefault="0096255E" w:rsidP="0096255E">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*6</w:t>
      </w:r>
      <w:r w:rsidRPr="001C19A0">
        <w:rPr>
          <w:rFonts w:asciiTheme="majorBidi" w:hAnsiTheme="majorBidi" w:cstheme="majorBidi"/>
          <w:noProof/>
          <w:sz w:val="20"/>
          <w:szCs w:val="20"/>
        </w:rPr>
        <w:tab/>
        <w:t xml:space="preserve">Препоръки на работната група за оповестяване на финансова информация във връзка с климата, </w:t>
      </w:r>
      <w:hyperlink r:id="rId15" w:history="1">
        <w:r w:rsidRPr="001C19A0">
          <w:rPr>
            <w:rStyle w:val="Hyperlink"/>
            <w:rFonts w:asciiTheme="majorBidi" w:hAnsiTheme="majorBidi" w:cstheme="majorBidi"/>
            <w:noProof/>
            <w:sz w:val="20"/>
            <w:szCs w:val="20"/>
          </w:rPr>
          <w:t>https://www.fsb-tcfd.org/recommendations</w:t>
        </w:r>
      </w:hyperlink>
      <w:r w:rsidRPr="001C19A0">
        <w:rPr>
          <w:rFonts w:asciiTheme="majorBidi" w:hAnsiTheme="majorBidi" w:cstheme="majorBidi"/>
          <w:noProof/>
          <w:sz w:val="20"/>
          <w:szCs w:val="20"/>
        </w:rPr>
        <w:t>.</w:t>
      </w:r>
    </w:p>
    <w:p w14:paraId="3AF0B861" w14:textId="7754336B" w:rsidR="0096255E" w:rsidRPr="001C19A0" w:rsidRDefault="0096255E" w:rsidP="0096255E">
      <w:pPr>
        <w:ind w:left="567" w:hanging="567"/>
        <w:jc w:val="both"/>
        <w:rPr>
          <w:rFonts w:asciiTheme="majorBidi" w:hAnsiTheme="majorBidi" w:cstheme="majorBidi"/>
          <w:i/>
          <w:noProof/>
          <w:sz w:val="20"/>
          <w:szCs w:val="20"/>
        </w:rPr>
      </w:pPr>
      <w:r w:rsidRPr="001C19A0">
        <w:rPr>
          <w:rFonts w:asciiTheme="majorBidi" w:hAnsiTheme="majorBidi" w:cstheme="majorBidi"/>
          <w:noProof/>
          <w:sz w:val="20"/>
          <w:szCs w:val="20"/>
          <w:vertAlign w:val="superscript"/>
        </w:rPr>
        <w:t>*7</w:t>
      </w:r>
      <w:r w:rsidRPr="001C19A0">
        <w:rPr>
          <w:rFonts w:asciiTheme="majorBidi" w:hAnsiTheme="majorBidi" w:cstheme="majorBidi"/>
          <w:noProof/>
          <w:sz w:val="20"/>
          <w:szCs w:val="20"/>
        </w:rPr>
        <w:tab/>
        <w:t xml:space="preserve">Финансова инициатива на Програмата на ООН за околната среда (UNEP FI), </w:t>
      </w:r>
      <w:hyperlink r:id="rId16" w:history="1">
        <w:r w:rsidRPr="001C19A0">
          <w:rPr>
            <w:rStyle w:val="Hyperlink"/>
            <w:rFonts w:asciiTheme="majorBidi" w:hAnsiTheme="majorBidi" w:cstheme="majorBidi"/>
            <w:noProof/>
            <w:sz w:val="20"/>
            <w:szCs w:val="20"/>
          </w:rPr>
          <w:t>https://www.unepfi.org</w:t>
        </w:r>
      </w:hyperlink>
      <w:r w:rsidRPr="001C19A0">
        <w:rPr>
          <w:rFonts w:asciiTheme="majorBidi" w:hAnsiTheme="majorBidi" w:cstheme="majorBidi"/>
          <w:noProof/>
          <w:sz w:val="20"/>
          <w:szCs w:val="20"/>
        </w:rPr>
        <w:t>;</w:t>
      </w:r>
    </w:p>
    <w:p w14:paraId="3FDE2A85" w14:textId="3D0297EF" w:rsidR="0096255E" w:rsidRPr="001C19A0" w:rsidRDefault="0096255E" w:rsidP="0096255E">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*8</w:t>
      </w:r>
      <w:r w:rsidRPr="001C19A0">
        <w:rPr>
          <w:rFonts w:asciiTheme="majorBidi" w:hAnsiTheme="majorBidi" w:cstheme="majorBidi"/>
          <w:noProof/>
          <w:sz w:val="20"/>
          <w:szCs w:val="20"/>
        </w:rPr>
        <w:tab/>
        <w:t xml:space="preserve">Стандарти за отчитане на устойчивостта в рамките на глобалната инициатива за отчитане (Global Reporting Initiative Sustainability Reporting Standards), </w:t>
      </w:r>
      <w:hyperlink r:id="rId17" w:history="1">
        <w:r w:rsidRPr="001C19A0">
          <w:rPr>
            <w:rStyle w:val="Hyperlink"/>
            <w:rFonts w:asciiTheme="majorBidi" w:hAnsiTheme="majorBidi" w:cstheme="majorBidi"/>
            <w:noProof/>
            <w:sz w:val="20"/>
            <w:szCs w:val="20"/>
          </w:rPr>
          <w:t>https://www.globalreporting.org/standards</w:t>
        </w:r>
      </w:hyperlink>
      <w:r w:rsidRPr="001C19A0">
        <w:rPr>
          <w:rFonts w:asciiTheme="majorBidi" w:hAnsiTheme="majorBidi" w:cstheme="majorBidi"/>
          <w:noProof/>
          <w:sz w:val="20"/>
          <w:szCs w:val="20"/>
        </w:rPr>
        <w:t>.</w:t>
      </w:r>
    </w:p>
    <w:p w14:paraId="4911FC85" w14:textId="144AB9B5" w:rsidR="0096255E" w:rsidRPr="001C19A0" w:rsidRDefault="0096255E" w:rsidP="0096255E">
      <w:pPr>
        <w:ind w:left="567" w:hanging="567"/>
        <w:jc w:val="both"/>
        <w:rPr>
          <w:rFonts w:asciiTheme="majorBidi" w:hAnsiTheme="majorBidi" w:cstheme="majorBidi"/>
          <w:i/>
          <w:noProof/>
          <w:sz w:val="20"/>
          <w:szCs w:val="20"/>
        </w:rPr>
      </w:pPr>
      <w:r w:rsidRPr="001C19A0">
        <w:rPr>
          <w:rFonts w:asciiTheme="majorBidi" w:hAnsiTheme="majorBidi" w:cstheme="majorBidi"/>
          <w:noProof/>
          <w:sz w:val="20"/>
          <w:szCs w:val="20"/>
          <w:vertAlign w:val="superscript"/>
        </w:rPr>
        <w:t>*9</w:t>
      </w:r>
      <w:r w:rsidRPr="001C19A0">
        <w:rPr>
          <w:rFonts w:asciiTheme="majorBidi" w:hAnsiTheme="majorBidi" w:cstheme="majorBidi"/>
          <w:noProof/>
          <w:sz w:val="20"/>
          <w:szCs w:val="20"/>
        </w:rPr>
        <w:tab/>
        <w:t xml:space="preserve">Принципи на ООН за отговорно инвестиране (UNPRI), </w:t>
      </w:r>
      <w:hyperlink r:id="rId18" w:history="1">
        <w:r w:rsidRPr="001C19A0">
          <w:rPr>
            <w:rStyle w:val="Hyperlink"/>
            <w:rFonts w:asciiTheme="majorBidi" w:hAnsiTheme="majorBidi" w:cstheme="majorBidi"/>
            <w:noProof/>
            <w:sz w:val="20"/>
            <w:szCs w:val="20"/>
          </w:rPr>
          <w:t>https://www.unpri.org</w:t>
        </w:r>
      </w:hyperlink>
      <w:r w:rsidRPr="001C19A0">
        <w:rPr>
          <w:rFonts w:asciiTheme="majorBidi" w:hAnsiTheme="majorBidi" w:cstheme="majorBidi"/>
          <w:noProof/>
          <w:sz w:val="20"/>
          <w:szCs w:val="20"/>
        </w:rPr>
        <w:t>.</w:t>
      </w:r>
    </w:p>
    <w:p w14:paraId="521149BD" w14:textId="23486B09" w:rsidR="00CB0BC0" w:rsidRPr="001C19A0" w:rsidRDefault="00CB0BC0" w:rsidP="00CB0BC0">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*10</w:t>
      </w:r>
      <w:r w:rsidRPr="001C19A0">
        <w:rPr>
          <w:rFonts w:asciiTheme="majorBidi" w:hAnsiTheme="majorBidi" w:cstheme="majorBidi"/>
          <w:noProof/>
          <w:sz w:val="20"/>
          <w:szCs w:val="20"/>
        </w:rP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стp. 338).</w:t>
      </w:r>
    </w:p>
    <w:p w14:paraId="5880BBFB" w14:textId="07B56FBB" w:rsidR="00013315" w:rsidRPr="001C19A0" w:rsidRDefault="00CB0BC0"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*11</w:t>
      </w:r>
      <w:r w:rsidRPr="001C19A0">
        <w:rPr>
          <w:rFonts w:asciiTheme="majorBidi" w:hAnsiTheme="majorBidi" w:cstheme="majorBidi"/>
          <w:noProof/>
          <w:sz w:val="20"/>
          <w:szCs w:val="20"/>
        </w:rPr>
        <w:tab/>
        <w:t>Регламент (ЕО) № 1893/2006 на Европейския парламент и на Съвета от 20 декември 2006 г. за установяване на статистическа класификация на икономическите дейности NACE Rev. 2 и за изменение на Регламент (ЕИО) № 3037/90 на Съвета, както и на някои ЕО Регламенти относно специфичните статистически области (ОВ L 393, 30.12.2006 г., стр. 1).</w:t>
      </w:r>
    </w:p>
    <w:p w14:paraId="422DA97A" w14:textId="56886105" w:rsidR="00D65FBF" w:rsidRPr="001C19A0" w:rsidRDefault="00947EFB"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*12</w:t>
      </w:r>
      <w:r w:rsidRPr="001C19A0">
        <w:rPr>
          <w:rFonts w:asciiTheme="majorBidi" w:hAnsiTheme="majorBidi" w:cstheme="majorBidi"/>
          <w:noProof/>
          <w:sz w:val="20"/>
          <w:szCs w:val="20"/>
        </w:rPr>
        <w:tab/>
        <w:t>Делегиран регламент (ЕС) 2020/1818 на Комисията от 17 юли 2020 г. за допълнение на Регламент (ЕС) 2016/1011 на Европейския парламент и на Съвета по отношение на минималните стандарти за бенчмарковете на ЕС за климатичен преход и бенчмарковете на ЕС, съответстващи на Парижкото споразумение (ОВ L 406, 3.12.2020 г., стр. 17).</w:t>
      </w:r>
    </w:p>
    <w:p w14:paraId="6CCB9458" w14:textId="776BCF70" w:rsidR="007A7437" w:rsidRPr="001C19A0" w:rsidRDefault="007A7437"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*13</w:t>
      </w:r>
      <w:r w:rsidRPr="001C19A0">
        <w:rPr>
          <w:rFonts w:asciiTheme="majorBidi" w:hAnsiTheme="majorBidi" w:cstheme="majorBidi"/>
          <w:noProof/>
          <w:sz w:val="20"/>
          <w:szCs w:val="20"/>
        </w:rPr>
        <w:tab/>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p w14:paraId="5906EACE" w14:textId="414582F1" w:rsidR="00D65FBF" w:rsidRPr="001C19A0" w:rsidRDefault="00D65FBF" w:rsidP="00D65FBF">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*14</w:t>
      </w:r>
      <w:r w:rsidRPr="001C19A0">
        <w:rPr>
          <w:rFonts w:asciiTheme="majorBidi" w:hAnsiTheme="majorBidi" w:cstheme="majorBidi"/>
          <w:noProof/>
          <w:sz w:val="20"/>
          <w:szCs w:val="20"/>
        </w:rPr>
        <w:tab/>
      </w:r>
      <w:hyperlink r:id="rId19" w:history="1">
        <w:r w:rsidRPr="001C19A0">
          <w:rPr>
            <w:rStyle w:val="Hyperlink"/>
            <w:rFonts w:asciiTheme="majorBidi" w:hAnsiTheme="majorBidi" w:cstheme="majorBidi"/>
            <w:noProof/>
            <w:sz w:val="20"/>
            <w:szCs w:val="20"/>
          </w:rPr>
          <w:t>https://carbonaccountingfinancials.com/standard</w:t>
        </w:r>
      </w:hyperlink>
      <w:r w:rsidRPr="001C19A0">
        <w:rPr>
          <w:rFonts w:asciiTheme="majorBidi" w:hAnsiTheme="majorBidi" w:cstheme="majorBidi"/>
          <w:noProof/>
          <w:sz w:val="20"/>
          <w:szCs w:val="20"/>
        </w:rPr>
        <w:t>.</w:t>
      </w:r>
    </w:p>
    <w:p w14:paraId="796ABDF8" w14:textId="3527AB24" w:rsidR="00D65FBF" w:rsidRPr="001C19A0" w:rsidRDefault="00D65FBF"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*15</w:t>
      </w:r>
      <w:r w:rsidRPr="001C19A0">
        <w:rPr>
          <w:rFonts w:asciiTheme="majorBidi" w:hAnsiTheme="majorBidi" w:cstheme="majorBidi"/>
          <w:noProof/>
          <w:sz w:val="20"/>
          <w:szCs w:val="20"/>
        </w:rPr>
        <w:tab/>
        <w:t>https://www.cdp.net/en.</w:t>
      </w:r>
    </w:p>
    <w:p w14:paraId="0F06CAD5" w14:textId="6307BFB3" w:rsidR="0022273E" w:rsidRPr="001C19A0" w:rsidRDefault="00B13C50"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*16</w:t>
      </w:r>
      <w:r w:rsidRPr="001C19A0">
        <w:rPr>
          <w:rFonts w:asciiTheme="majorBidi" w:hAnsiTheme="majorBidi" w:cstheme="majorBidi"/>
          <w:noProof/>
          <w:sz w:val="20"/>
          <w:szCs w:val="20"/>
        </w:rPr>
        <w:tab/>
        <w:t>Директива 2010/31/ЕС на Европейския парламент и на Съвета от 19 май 2010 г. относно енергийните характеристики на сградите (ОВ L 153, 18.6.2010 г., стр. 13).</w:t>
      </w:r>
    </w:p>
    <w:p w14:paraId="12A00B0C" w14:textId="3EB5A51A" w:rsidR="00B13C50" w:rsidRPr="001C19A0" w:rsidRDefault="0022273E"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*17</w:t>
      </w:r>
      <w:r w:rsidRPr="001C19A0">
        <w:rPr>
          <w:rFonts w:asciiTheme="majorBidi" w:hAnsiTheme="majorBidi" w:cstheme="majorBidi"/>
          <w:noProof/>
          <w:sz w:val="20"/>
          <w:szCs w:val="20"/>
        </w:rPr>
        <w:tab/>
        <w:t>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(ОВ L 315, 14.11.2012 г., стр. 1).</w:t>
      </w:r>
    </w:p>
    <w:p w14:paraId="15E428F5" w14:textId="18C8A750" w:rsidR="00D65FBF" w:rsidRPr="001C19A0" w:rsidRDefault="00D65FBF"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*18</w:t>
      </w:r>
      <w:r w:rsidRPr="001C19A0">
        <w:rPr>
          <w:rFonts w:asciiTheme="majorBidi" w:hAnsiTheme="majorBidi" w:cstheme="majorBidi"/>
          <w:noProof/>
          <w:sz w:val="20"/>
          <w:szCs w:val="20"/>
        </w:rPr>
        <w:tab/>
        <w:t xml:space="preserve">Сценарий за нулеви нетни емисии до 2050 г. (NZE) – МАЕ (2021 г.), Световен енергиен модел, МАЕ, Париж </w:t>
      </w:r>
      <w:hyperlink r:id="rId20" w:history="1">
        <w:r w:rsidRPr="001C19A0">
          <w:rPr>
            <w:rStyle w:val="Hyperlink"/>
            <w:rFonts w:asciiTheme="majorBidi" w:hAnsiTheme="majorBidi" w:cstheme="majorBidi"/>
            <w:noProof/>
            <w:sz w:val="20"/>
            <w:szCs w:val="20"/>
          </w:rPr>
          <w:t>https://www.iea.org/reports/world-energy-model</w:t>
        </w:r>
      </w:hyperlink>
    </w:p>
    <w:p w14:paraId="4B9F88AC" w14:textId="5ECAB18E" w:rsidR="00D65FBF" w:rsidRPr="001C19A0" w:rsidRDefault="00D65FBF"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*19</w:t>
      </w:r>
      <w:r w:rsidRPr="001C19A0">
        <w:rPr>
          <w:rFonts w:asciiTheme="majorBidi" w:hAnsiTheme="majorBidi" w:cstheme="majorBidi"/>
          <w:noProof/>
          <w:sz w:val="20"/>
          <w:szCs w:val="20"/>
        </w:rPr>
        <w:tab/>
        <w:t xml:space="preserve">Докладът за 2021 г. може да бъде намерен на следния </w:t>
      </w:r>
      <w:hyperlink r:id="rId21" w:history="1">
        <w:r w:rsidRPr="001C19A0">
          <w:rPr>
            <w:rStyle w:val="Hyperlink"/>
            <w:rFonts w:asciiTheme="majorBidi" w:hAnsiTheme="majorBidi" w:cstheme="majorBidi"/>
            <w:noProof/>
            <w:sz w:val="20"/>
            <w:szCs w:val="20"/>
          </w:rPr>
          <w:t>адрес в интернет</w:t>
        </w:r>
      </w:hyperlink>
      <w:r w:rsidRPr="001C19A0">
        <w:rPr>
          <w:rFonts w:asciiTheme="majorBidi" w:hAnsiTheme="majorBidi" w:cstheme="majorBidi"/>
          <w:noProof/>
          <w:sz w:val="20"/>
          <w:szCs w:val="20"/>
        </w:rPr>
        <w:t>.</w:t>
      </w:r>
    </w:p>
    <w:p w14:paraId="424B1F1A" w14:textId="10CED7A2" w:rsidR="00D65FBF" w:rsidRPr="001C19A0" w:rsidRDefault="00D65FBF" w:rsidP="00D65FBF">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*20</w:t>
      </w:r>
      <w:r w:rsidRPr="001C19A0">
        <w:rPr>
          <w:rFonts w:asciiTheme="majorBidi" w:hAnsiTheme="majorBidi" w:cstheme="majorBidi"/>
          <w:noProof/>
          <w:sz w:val="20"/>
          <w:szCs w:val="20"/>
        </w:rPr>
        <w:tab/>
        <w:t xml:space="preserve">За повече примери вж. доклада в рамките на финансовата инициатива на Програмата на ООН за околната среда (UNEP FI) и консултантско дружество </w:t>
      </w:r>
      <w:r w:rsidRPr="001C19A0">
        <w:rPr>
          <w:rFonts w:asciiTheme="majorBidi" w:hAnsiTheme="majorBidi" w:cstheme="majorBidi"/>
          <w:i/>
          <w:noProof/>
          <w:sz w:val="20"/>
          <w:szCs w:val="20"/>
        </w:rPr>
        <w:t>Acclimatise</w:t>
      </w:r>
      <w:r w:rsidRPr="001C19A0">
        <w:rPr>
          <w:rFonts w:asciiTheme="majorBidi" w:hAnsiTheme="majorBidi" w:cstheme="majorBidi"/>
          <w:noProof/>
          <w:sz w:val="20"/>
          <w:szCs w:val="20"/>
        </w:rPr>
        <w:t xml:space="preserve">:  „Очертаване на пътя към нов климат. Най-актуални инструменти и данни за оценката от страна на банките на кредитните рискове и възможностите, произтичащи от физическото въздействие на изменението на климата“, септември 2020 г., </w:t>
      </w:r>
      <w:hyperlink r:id="rId22" w:history="1">
        <w:r w:rsidRPr="001C19A0">
          <w:rPr>
            <w:rStyle w:val="Hyperlink"/>
            <w:rFonts w:asciiTheme="majorBidi" w:hAnsiTheme="majorBidi" w:cstheme="majorBidi"/>
            <w:noProof/>
            <w:sz w:val="20"/>
            <w:szCs w:val="20"/>
          </w:rPr>
          <w:t>https://www.unepfi.org/publications/banking-publications/charting-a-new-climate/</w:t>
        </w:r>
      </w:hyperlink>
      <w:r w:rsidRPr="001C19A0">
        <w:rPr>
          <w:rFonts w:asciiTheme="majorBidi" w:hAnsiTheme="majorBidi" w:cstheme="majorBidi"/>
          <w:noProof/>
          <w:sz w:val="20"/>
          <w:szCs w:val="20"/>
        </w:rPr>
        <w:t xml:space="preserve">  В доклада се предоставя подробна информация за обхванатите времеви периоди, използването на бъдещи сценарии, пространствената разделителна способност и покритие, формата на резултатите, които трябва да бъдат получени от конкретни набори от данни, както и лицензирането и разходите (следва да се отбележи, че повечето портали и бази данни предлагат безплатен достъп). Освен това в доклада се разглеждат различни техники за оценка и измерване на физическия риск, като например топлинно картографиране, корелационен анализ, специални инструменти и анализи.</w:t>
      </w:r>
    </w:p>
    <w:p w14:paraId="106E1BCE" w14:textId="4E100508" w:rsidR="004775AC" w:rsidRPr="001C19A0" w:rsidRDefault="004775AC" w:rsidP="00541B93">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*21</w:t>
      </w:r>
      <w:r w:rsidRPr="001C19A0">
        <w:rPr>
          <w:rFonts w:asciiTheme="majorBidi" w:hAnsiTheme="majorBidi" w:cstheme="majorBidi"/>
          <w:noProof/>
          <w:sz w:val="20"/>
          <w:szCs w:val="20"/>
        </w:rPr>
        <w:tab/>
        <w:t>Делегиран регламент (ЕС) 2021/2178 на Комисията от 6 юли 2021 г. за допълнение на Регламент (ЕС) 2020/852 на Европейския парламент и на Съвета чрез определяне на съдържанието и представянето на информацията, която трябва да бъде оповестявана от предприятията, обхванати от член 19а или 29а от Директива 2013/34/ЕС, по отношение на екологично устойчивите икономически дейности, и чрез определяне на методиката за изпълнение на това задължение за оповестяване (ОВ L 443, 10.12.2021 г., стр. 9).</w:t>
      </w:r>
    </w:p>
    <w:p w14:paraId="4ACF3FA2" w14:textId="51654158" w:rsidR="002E0121" w:rsidRPr="001C19A0" w:rsidRDefault="00425050" w:rsidP="002340A1">
      <w:pPr>
        <w:ind w:left="567" w:hanging="567"/>
        <w:jc w:val="both"/>
        <w:rPr>
          <w:rFonts w:asciiTheme="majorBidi" w:hAnsiTheme="majorBidi" w:cstheme="majorBidi"/>
          <w:noProof/>
          <w:sz w:val="20"/>
          <w:szCs w:val="20"/>
        </w:rPr>
      </w:pPr>
      <w:r w:rsidRPr="001C19A0">
        <w:rPr>
          <w:rFonts w:asciiTheme="majorBidi" w:hAnsiTheme="majorBidi" w:cstheme="majorBidi"/>
          <w:noProof/>
          <w:sz w:val="20"/>
          <w:szCs w:val="20"/>
          <w:vertAlign w:val="superscript"/>
        </w:rPr>
        <w:t>*22</w:t>
      </w:r>
      <w:r w:rsidRPr="001C19A0">
        <w:rPr>
          <w:rFonts w:asciiTheme="majorBidi" w:hAnsiTheme="majorBidi" w:cstheme="majorBidi"/>
          <w:noProof/>
          <w:sz w:val="20"/>
          <w:szCs w:val="20"/>
        </w:rPr>
        <w:tab/>
        <w:t>Делегиран регламент (ЕС) 2021/2139 на Комисията от 4 юни 2021 г. за допълнение на Регламент (ЕС) 2020/852 на Европейския парламент и на Съвета чрез установяване на техническите критерии за проверка с цел определяне на условията, при които дадена икономическа дейност се квалифицира като допринасяща съществено за смекчаването на изменението на климата или за адаптирането към изменението на климата, и с цел определяне дали тази икономическа дейност не нанася значителни вреди във връзка с постигането на някоя от другите екологични цели (ОВ L 442, 9.12.2021 г., стр. 1).</w:t>
      </w:r>
      <w:r w:rsidRPr="001C19A0">
        <w:rPr>
          <w:rFonts w:asciiTheme="majorBidi" w:hAnsiTheme="majorBidi" w:cstheme="majorBidi"/>
          <w:noProof/>
        </w:rPr>
        <w:t>“</w:t>
      </w:r>
    </w:p>
    <w:sectPr w:rsidR="002E0121" w:rsidRPr="001C19A0"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41997" w14:textId="77777777" w:rsidR="00586FDA" w:rsidRPr="00586FDA" w:rsidRDefault="00586FDA" w:rsidP="00586F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141CC" w14:textId="177C09DC" w:rsidR="00A04A43" w:rsidRPr="00586FDA" w:rsidRDefault="00586FDA" w:rsidP="00586FDA">
    <w:pPr>
      <w:pStyle w:val="FooterCoverPage"/>
      <w:rPr>
        <w:rFonts w:ascii="Arial" w:hAnsi="Arial" w:cs="Arial"/>
        <w:b/>
        <w:sz w:val="48"/>
      </w:rPr>
    </w:pPr>
    <w:r w:rsidRPr="00586FDA">
      <w:rPr>
        <w:rFonts w:ascii="Arial" w:hAnsi="Arial" w:cs="Arial"/>
        <w:b/>
        <w:sz w:val="48"/>
      </w:rPr>
      <w:t>BG</w:t>
    </w:r>
    <w:r w:rsidRPr="00586FDA">
      <w:rPr>
        <w:rFonts w:ascii="Arial" w:hAnsi="Arial" w:cs="Arial"/>
        <w:b/>
        <w:sz w:val="48"/>
      </w:rPr>
      <w:tab/>
    </w:r>
    <w:r w:rsidRPr="00586FDA">
      <w:rPr>
        <w:rFonts w:ascii="Arial" w:hAnsi="Arial" w:cs="Arial"/>
        <w:b/>
        <w:sz w:val="48"/>
      </w:rPr>
      <w:tab/>
    </w:r>
    <w:r w:rsidRPr="00586FDA">
      <w:tab/>
    </w:r>
    <w:r w:rsidRPr="00586FDA">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2C3B3" w14:textId="77777777" w:rsidR="00586FDA" w:rsidRPr="00586FDA" w:rsidRDefault="00586FDA" w:rsidP="00586FDA">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rPr>
      <w:id w:val="-271785285"/>
      <w:docPartObj>
        <w:docPartGallery w:val="Page Numbers (Bottom of Page)"/>
        <w:docPartUnique/>
      </w:docPartObj>
    </w:sdtPr>
    <w:sdtEndPr>
      <w:rPr>
        <w:noProof/>
      </w:rPr>
    </w:sdtEndPr>
    <w:sdtContent>
      <w:p w14:paraId="2E0C1876" w14:textId="69143165" w:rsidR="00475232" w:rsidRPr="001C19A0" w:rsidRDefault="00475232" w:rsidP="001B2797">
        <w:pPr>
          <w:pStyle w:val="Footer"/>
          <w:ind w:left="7938"/>
          <w:rPr>
            <w:rFonts w:asciiTheme="majorBidi" w:hAnsiTheme="majorBidi" w:cstheme="majorBidi"/>
          </w:rPr>
        </w:pPr>
        <w:r w:rsidRPr="001C19A0">
          <w:rPr>
            <w:rFonts w:asciiTheme="majorBidi" w:hAnsiTheme="majorBidi" w:cstheme="majorBidi"/>
          </w:rPr>
          <w:fldChar w:fldCharType="begin"/>
        </w:r>
        <w:r w:rsidRPr="001C19A0">
          <w:rPr>
            <w:rFonts w:asciiTheme="majorBidi" w:hAnsiTheme="majorBidi" w:cstheme="majorBidi"/>
          </w:rPr>
          <w:instrText xml:space="preserve"> PAGE   \* MERGEFORMAT </w:instrText>
        </w:r>
        <w:r w:rsidRPr="001C19A0">
          <w:rPr>
            <w:rFonts w:asciiTheme="majorBidi" w:hAnsiTheme="majorBidi" w:cstheme="majorBidi"/>
          </w:rPr>
          <w:fldChar w:fldCharType="separate"/>
        </w:r>
        <w:r w:rsidR="00586FDA">
          <w:rPr>
            <w:rFonts w:asciiTheme="majorBidi" w:hAnsiTheme="majorBidi" w:cstheme="majorBidi"/>
            <w:noProof/>
          </w:rPr>
          <w:t>1</w:t>
        </w:r>
        <w:r w:rsidRPr="001C19A0">
          <w:rPr>
            <w:rFonts w:asciiTheme="majorBidi" w:hAnsiTheme="majorBidi" w:cstheme="majorBidi"/>
          </w:rP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F301" w14:textId="77777777" w:rsidR="00586FDA" w:rsidRPr="00586FDA" w:rsidRDefault="00586FDA" w:rsidP="00586F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F6CCB" w14:textId="77777777" w:rsidR="00586FDA" w:rsidRPr="00586FDA" w:rsidRDefault="00586FDA" w:rsidP="00586FDA">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429C7" w14:textId="77777777" w:rsidR="00586FDA" w:rsidRPr="00586FDA" w:rsidRDefault="00586FDA" w:rsidP="00586FDA">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Редовно използване от ЕБО"/>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Редовно използване от ЕБО"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Редовно използване от ЕБО"/>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Редовно използване от ЕБО"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6DA6D7E2"/>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5490E"/>
    <w:multiLevelType w:val="multilevel"/>
    <w:tmpl w:val="2BACE9B8"/>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3"/>
      <mc:AlternateContent>
        <mc:Choice Requires="w14">
          <w:numFmt w:val="custom" w:format="а, й, к, ..."/>
        </mc:Choice>
        <mc:Fallback>
          <w:numFmt w:val="decimal"/>
        </mc:Fallback>
      </mc:AlternateContent>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5" w15:restartNumberingAfterBreak="0">
    <w:nsid w:val="0AB27A12"/>
    <w:multiLevelType w:val="multilevel"/>
    <w:tmpl w:val="C4E287B0"/>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mc:AlternateContent>
        <mc:Choice Requires="w14">
          <w:numFmt w:val="custom" w:format="а, й, к, ..."/>
        </mc:Choice>
        <mc:Fallback>
          <w:numFmt w:val="decimal"/>
        </mc:Fallback>
      </mc:AlternateContent>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 w15:restartNumberingAfterBreak="0">
    <w:nsid w:val="10512C1C"/>
    <w:multiLevelType w:val="hybridMultilevel"/>
    <w:tmpl w:val="A490CDD0"/>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7"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2649D8"/>
    <w:multiLevelType w:val="hybridMultilevel"/>
    <w:tmpl w:val="AFA4A8CC"/>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5C5204"/>
    <w:multiLevelType w:val="hybridMultilevel"/>
    <w:tmpl w:val="4B009B6A"/>
    <w:lvl w:ilvl="0" w:tplc="4BF42608">
      <w:start w:val="1"/>
      <mc:AlternateContent>
        <mc:Choice Requires="w14">
          <w:numFmt w:val="custom" w:format="а, й, к, ..."/>
        </mc:Choice>
        <mc:Fallback>
          <w:numFmt w:val="decimal"/>
        </mc:Fallback>
      </mc:AlternateContent>
      <w:lvlText w:val="%1)"/>
      <w:lvlJc w:val="left"/>
      <w:pPr>
        <w:ind w:left="360" w:hanging="360"/>
      </w:pPr>
      <w:rPr>
        <w:rFonts w:hint="default"/>
        <w:i w:val="0"/>
        <w:lang w:val="en-GB"/>
      </w:rPr>
    </w:lvl>
    <w:lvl w:ilvl="1" w:tplc="77C68118">
      <w:start w:val="1"/>
      <mc:AlternateContent>
        <mc:Choice Requires="w14">
          <w:numFmt w:val="custom" w:format="а, й, к, ..."/>
        </mc:Choice>
        <mc:Fallback>
          <w:numFmt w:val="decimal"/>
        </mc:Fallback>
      </mc:AlternateContent>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2F0BC3"/>
    <w:multiLevelType w:val="multilevel"/>
    <w:tmpl w:val="29004156"/>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4"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16"/>
  </w:num>
  <w:num w:numId="4">
    <w:abstractNumId w:val="21"/>
  </w:num>
  <w:num w:numId="5">
    <w:abstractNumId w:val="31"/>
  </w:num>
  <w:num w:numId="6">
    <w:abstractNumId w:val="1"/>
  </w:num>
  <w:num w:numId="7">
    <w:abstractNumId w:val="30"/>
  </w:num>
  <w:num w:numId="8">
    <w:abstractNumId w:val="26"/>
  </w:num>
  <w:num w:numId="9">
    <w:abstractNumId w:val="0"/>
  </w:num>
  <w:num w:numId="10">
    <w:abstractNumId w:val="15"/>
  </w:num>
  <w:num w:numId="11">
    <w:abstractNumId w:val="28"/>
  </w:num>
  <w:num w:numId="12">
    <w:abstractNumId w:val="2"/>
  </w:num>
  <w:num w:numId="13">
    <w:abstractNumId w:val="18"/>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7"/>
  </w:num>
  <w:num w:numId="18">
    <w:abstractNumId w:val="8"/>
  </w:num>
  <w:num w:numId="19">
    <w:abstractNumId w:val="7"/>
  </w:num>
  <w:num w:numId="20">
    <w:abstractNumId w:val="22"/>
  </w:num>
  <w:num w:numId="21">
    <w:abstractNumId w:val="6"/>
  </w:num>
  <w:num w:numId="22">
    <w:abstractNumId w:val="10"/>
  </w:num>
  <w:num w:numId="23">
    <w:abstractNumId w:val="24"/>
  </w:num>
  <w:num w:numId="24">
    <w:abstractNumId w:val="19"/>
  </w:num>
  <w:num w:numId="25">
    <w:abstractNumId w:val="11"/>
  </w:num>
  <w:num w:numId="26">
    <w:abstractNumId w:val="29"/>
  </w:num>
  <w:num w:numId="27">
    <w:abstractNumId w:val="17"/>
  </w:num>
  <w:num w:numId="28">
    <w:abstractNumId w:val="13"/>
  </w:num>
  <w:num w:numId="29">
    <w:abstractNumId w:val="9"/>
  </w:num>
  <w:num w:numId="30">
    <w:abstractNumId w:val="5"/>
  </w:num>
  <w:num w:numId="31">
    <w:abstractNumId w:val="4"/>
  </w:num>
  <w:num w:numId="32">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към"/>
    <w:docVar w:name="LW_ANNEX_NBR_FIRST" w:val="2"/>
    <w:docVar w:name="LW_ANNEX_NBR_LAST" w:val="2"/>
    <w:docVar w:name="LW_ANNEX_UNIQUE" w:val="0"/>
    <w:docVar w:name="LW_CORRIGENDUM" w:val="&lt;UNUSED&gt;"/>
    <w:docVar w:name="LW_COVERPAGE_EXISTS" w:val="True"/>
    <w:docVar w:name="LW_COVERPAGE_GUID" w:val="004372A3-945F-437E-BD38-8875A691A53B"/>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u1041?\u1088?\u1102?\u1082?\u1089?\u1077?\u1083?, "/>
    <w:docVar w:name="LW_EMISSION_SUFFIX" w:val=" \u1075?."/>
    <w:docVar w:name="LW_ID_DOCTYPE_NONLW" w:val="CP-038"/>
    <w:docVar w:name="LW_LANGUE" w:val="BG"/>
    <w:docVar w:name="LW_LEVEL_OF_SENSITIVITY" w:val="Standard treatment"/>
    <w:docVar w:name="LW_NOM.INST" w:val="\u1045?\u1042?\u1056?\u1054?\u1055?\u1045?\u1049?\u1057?\u1050?\u1040? \u1050?\u1054?\u1052?\u1048?\u1057?\u1048?\u1071?"/>
    <w:docVar w:name="LW_NOM.INST_JOINTDOC" w:val="&lt;EMPTY&gt;"/>
    <w:docVar w:name="LW_OBJETACTEPRINCIPAL.CP" w:val="за изменение на техническите стандарти за изпълнение, определени в Регламент за изпълнение (ЕС) 2021/637, по отношение на оповестяването на екологичните, социалните и управленските рискове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ПРИЛОЖЕНИЕ_x000b_"/>
    <w:docVar w:name="LW_TYPEACTEPRINCIPAL.CP" w:val="РЕГЛАМЕНТ ЗА ИЗПЪЛНЕНИЕ (ЕС) .../… НА КОМИСИЯТА"/>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54D75"/>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1659"/>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9A0"/>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52E"/>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86FDA"/>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4A43"/>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C6D"/>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5E3"/>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114D"/>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665"/>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bg-BG"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bg-BG"/>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bg-BG"/>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bg-BG"/>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bg-BG"/>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bg-BG"/>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bg-BG"/>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bg-BG"/>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15"/>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15"/>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15"/>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15"/>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14"/>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14"/>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14"/>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14"/>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14"/>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14"/>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14"/>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14"/>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66ACA-F91F-4816-8E26-29F5B4D10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19812</Words>
  <Characters>112933</Characters>
  <Application>Microsoft Office Word</Application>
  <DocSecurity>0</DocSecurity>
  <Lines>941</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18</cp:revision>
  <dcterms:created xsi:type="dcterms:W3CDTF">2022-11-17T09:22:00Z</dcterms:created>
  <dcterms:modified xsi:type="dcterms:W3CDTF">2022-11-27T18:34:00Z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