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BF2830" w:rsidRDefault="00884E85" w:rsidP="00884E8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DCA3ACC6-6963-402C-8115-FB78A27FFF54" style="width:455.25pt;height:414pt">
            <v:imagedata r:id="rId8" o:title=""/>
          </v:shape>
        </w:pict>
      </w:r>
    </w:p>
    <w:p w:rsidR="003C122C" w:rsidRPr="00BF2830" w:rsidRDefault="003C122C">
      <w:pPr>
        <w:rPr>
          <w:noProof/>
        </w:rPr>
        <w:sectPr w:rsidR="003C122C" w:rsidRPr="00BF2830" w:rsidSect="00884E85">
          <w:footerReference w:type="default" r:id="rId9"/>
          <w:pgSz w:w="11907" w:h="16839"/>
          <w:pgMar w:top="1134" w:right="1417" w:bottom="1134" w:left="1417" w:header="709" w:footer="709" w:gutter="0"/>
          <w:pgNumType w:start="0"/>
          <w:cols w:space="720"/>
          <w:docGrid w:linePitch="360"/>
        </w:sectPr>
      </w:pPr>
    </w:p>
    <w:p w:rsidR="003C122C" w:rsidRPr="00BF2830" w:rsidRDefault="00BF2830" w:rsidP="00BF2830">
      <w:pPr>
        <w:pStyle w:val="Typedudocument"/>
        <w:rPr>
          <w:noProof/>
        </w:rPr>
      </w:pPr>
      <w:bookmarkStart w:id="0" w:name="_GoBack"/>
      <w:bookmarkEnd w:id="0"/>
      <w:r w:rsidRPr="00BF2830">
        <w:rPr>
          <w:noProof/>
        </w:rPr>
        <w:lastRenderedPageBreak/>
        <w:t>KOMMISSIONENS GENNEMFØRELSESFORORDNING (EU) …/…</w:t>
      </w:r>
    </w:p>
    <w:p w:rsidR="003C122C" w:rsidRPr="00BF2830" w:rsidRDefault="00C35B7A" w:rsidP="00BF2830">
      <w:pPr>
        <w:pStyle w:val="Datedadoption"/>
        <w:rPr>
          <w:noProof/>
        </w:rPr>
      </w:pPr>
      <w:r>
        <w:t>af 30.11.2022</w:t>
      </w:r>
    </w:p>
    <w:p w:rsidR="003C122C" w:rsidRPr="00BF2830" w:rsidRDefault="00BF2830" w:rsidP="00BF2830">
      <w:pPr>
        <w:pStyle w:val="Titreobjet"/>
        <w:rPr>
          <w:noProof/>
        </w:rPr>
      </w:pPr>
      <w:r w:rsidRPr="00BF2830">
        <w:rPr>
          <w:noProof/>
        </w:rPr>
        <w:t xml:space="preserve">om ændring af de gennemførelsesmæssige tekniske standarder i gennemførelsesforordning (EU) 2021/637 for så vidt angår offentliggørelse af miljømæssige, sociale og ledelsesmæssige risici </w:t>
      </w:r>
      <w:r w:rsidRPr="00BF2830">
        <w:rPr>
          <w:noProof/>
        </w:rPr>
        <w:br/>
      </w:r>
    </w:p>
    <w:p w:rsidR="003C122C" w:rsidRPr="00BF2830" w:rsidRDefault="00BF2830" w:rsidP="00BF2830">
      <w:pPr>
        <w:pStyle w:val="IntrtEEE"/>
        <w:rPr>
          <w:noProof/>
        </w:rPr>
      </w:pPr>
      <w:r w:rsidRPr="00BF2830">
        <w:rPr>
          <w:noProof/>
        </w:rPr>
        <w:t>(EØS-relevant tekst)</w:t>
      </w:r>
    </w:p>
    <w:p w:rsidR="003C122C" w:rsidRPr="00BF2830" w:rsidRDefault="003C122C" w:rsidP="004E1EF9">
      <w:pPr>
        <w:pStyle w:val="Institutionquiagit"/>
        <w:rPr>
          <w:noProof/>
        </w:rPr>
      </w:pPr>
      <w:r w:rsidRPr="00BF2830">
        <w:rPr>
          <w:noProof/>
        </w:rPr>
        <w:t>EUROPA-KOMMISSIONEN HAR —</w:t>
      </w:r>
    </w:p>
    <w:p w:rsidR="003C122C" w:rsidRPr="00BF2830" w:rsidRDefault="003C122C" w:rsidP="003C122C">
      <w:pPr>
        <w:rPr>
          <w:noProof/>
          <w:color w:val="000000"/>
        </w:rPr>
      </w:pPr>
      <w:r w:rsidRPr="00BF2830">
        <w:rPr>
          <w:noProof/>
          <w:color w:val="000000"/>
        </w:rPr>
        <w:t>under henvisning til traktaten om Den Europæiske Unions funktionsmåde,</w:t>
      </w:r>
    </w:p>
    <w:p w:rsidR="003C122C" w:rsidRPr="00BF2830" w:rsidRDefault="003C122C" w:rsidP="003C122C">
      <w:pPr>
        <w:rPr>
          <w:noProof/>
          <w:color w:val="000000"/>
        </w:rPr>
      </w:pPr>
      <w:r w:rsidRPr="00BF2830">
        <w:rPr>
          <w:noProof/>
          <w:color w:val="000000"/>
        </w:rPr>
        <w:t>under henvisning til Europa-Parlamentets og Rådets forordning (EU) nr. 575/2013 af 26. juni 2013 om tilsynsmæssige krav til kreditinstitutter og investeringsselskaber og om ændring af forordning (EU) nr. 648/2012</w:t>
      </w:r>
      <w:r w:rsidRPr="00BF2830">
        <w:rPr>
          <w:rStyle w:val="FootnoteReference"/>
          <w:noProof/>
        </w:rPr>
        <w:footnoteReference w:id="1"/>
      </w:r>
      <w:r w:rsidRPr="00BF2830">
        <w:rPr>
          <w:noProof/>
          <w:color w:val="000000"/>
        </w:rPr>
        <w:t>, særlig artikel 434a, og</w:t>
      </w:r>
    </w:p>
    <w:p w:rsidR="003C122C" w:rsidRPr="00BF2830" w:rsidRDefault="003C122C" w:rsidP="004E1EF9">
      <w:pPr>
        <w:rPr>
          <w:noProof/>
        </w:rPr>
      </w:pPr>
      <w:r w:rsidRPr="00BF2830">
        <w:rPr>
          <w:noProof/>
        </w:rPr>
        <w:t>ud fra følgende betragtninger:</w:t>
      </w:r>
    </w:p>
    <w:p w:rsidR="00410340" w:rsidRPr="00BF2830" w:rsidRDefault="00F874AE" w:rsidP="00F874AE">
      <w:pPr>
        <w:pStyle w:val="ManualConsidrant"/>
        <w:rPr>
          <w:noProof/>
          <w:color w:val="000000"/>
        </w:rPr>
      </w:pPr>
      <w:r w:rsidRPr="00F874AE">
        <w:t>(1)</w:t>
      </w:r>
      <w:r w:rsidRPr="00F874AE">
        <w:tab/>
      </w:r>
      <w:r w:rsidR="007067A9" w:rsidRPr="00BF2830">
        <w:rPr>
          <w:noProof/>
        </w:rPr>
        <w:t>Ved Kommissionens gennemførelsesforordning (EU) 2021/637</w:t>
      </w:r>
      <w:r w:rsidR="007067A9" w:rsidRPr="00BF2830">
        <w:rPr>
          <w:rStyle w:val="FootnoteReference"/>
          <w:noProof/>
        </w:rPr>
        <w:footnoteReference w:id="2"/>
      </w:r>
      <w:r w:rsidR="007067A9" w:rsidRPr="00BF2830">
        <w:rPr>
          <w:noProof/>
        </w:rPr>
        <w:t xml:space="preserve"> fastlægges ensartede offentliggørelsesformater og tilhørende anvisninger for, hvordan de oplysninger, der kræves i henhold til afsnit II og III i forordning (EU) nr. 575/2013, offentliggøres. Forordning (EU) nr. 575/2013 blev ændret ved forordning (EU) 2019/876</w:t>
      </w:r>
      <w:r w:rsidR="007067A9" w:rsidRPr="00BF2830">
        <w:rPr>
          <w:rStyle w:val="FootnoteReference"/>
          <w:noProof/>
        </w:rPr>
        <w:footnoteReference w:id="3"/>
      </w:r>
      <w:r w:rsidR="007067A9" w:rsidRPr="00BF2830">
        <w:rPr>
          <w:noProof/>
        </w:rPr>
        <w:t>, bl.a. for at indsætte en ny artikel 449a. I henhold til denne artikel skal store institutter, som har udstedt værdipapirer, der er optaget til handel på et reguleret marked i en medlemsstat, fra den 28. juni 2022 offentliggøre oplysninger om miljømæssige, sociale og ledelsesmæssige risici (ESG), herunder fysiske risici og overgangsrisici. Denne ændring af forordning (EU) nr. 575/2013 bør afspejles i Kommissionens gennemførelsesforordning (EU) 2021/637, som ud over de eksisterende ensartede offentliggørelsesformater og tilhørende anvisninger bør fastsætte yderligere ensartede offentliggørelsesformater og tilhørende anvisninger for offentliggørelse af ESG-risici.</w:t>
      </w:r>
    </w:p>
    <w:p w:rsidR="00410340" w:rsidRPr="00BF2830" w:rsidRDefault="00F874AE" w:rsidP="00F874AE">
      <w:pPr>
        <w:pStyle w:val="ManualConsidrant"/>
        <w:rPr>
          <w:noProof/>
        </w:rPr>
      </w:pPr>
      <w:r w:rsidRPr="00F874AE">
        <w:t>(2)</w:t>
      </w:r>
      <w:r w:rsidRPr="00F874AE">
        <w:tab/>
      </w:r>
      <w:r w:rsidR="00410340" w:rsidRPr="00BF2830">
        <w:rPr>
          <w:noProof/>
        </w:rPr>
        <w:t>Ved fastlæggelsen af ensartede offentliggørelsesformater bør der tages hensyn til den fuldstændige væsentlighed af de oplysninger, der skal offentliggøres. Det betyder, at institutternes offentliggørelse på den ene side bør omfatte ESG-faktorernes finansielle indvirkning på institutternes økonomiske og finansielle aktiviteter (outside in-perspektivet) og på den anden side de ESG-faktorer, der kan udløses af institutternes egne aktiviteter, som herefter bliver finansielt væsentlige, når de påvirker institutternes interessenter (inside out-perspektivet). Som følge heraf bør de tabeller og skemaer, der anvendes til disse oplysninger, formidle tilstrækkeligt omfattende og sammenlignelige oplysninger om ESG-risici til, at brugerne af disse oplysninger kan vurdere institutternes risikoprofiler.</w:t>
      </w:r>
    </w:p>
    <w:p w:rsidR="00410340" w:rsidRPr="00BF2830" w:rsidRDefault="00F874AE" w:rsidP="00F874AE">
      <w:pPr>
        <w:pStyle w:val="ManualConsidrant"/>
        <w:rPr>
          <w:noProof/>
        </w:rPr>
      </w:pPr>
      <w:r w:rsidRPr="00F874AE">
        <w:t>(3)</w:t>
      </w:r>
      <w:r w:rsidRPr="00F874AE">
        <w:tab/>
      </w:r>
      <w:r w:rsidR="00A525E2" w:rsidRPr="00BF2830">
        <w:rPr>
          <w:noProof/>
        </w:rPr>
        <w:t>Det er nødvendigt at sikre sammenhæng og overensstemmelse med anden EU-lovgivning om ESG-risici. I regler om offentliggørelse af ESG-risici bør der derfor tages højde for de kriterier, klassifikationer og definitioner, der er fastsat i den pågældende EU-lovgivning. I disse regler bør der navnlig tages højde for kriterierne for identifikation og klassificering af miljømæssigt bæredygtige økonomiske aktiviteter som fastsat i Europa-Parlamentets og Rådets forordning (EU) 2020/852</w:t>
      </w:r>
      <w:r w:rsidR="00A525E2" w:rsidRPr="00BF2830">
        <w:rPr>
          <w:rStyle w:val="FootnoteReference"/>
          <w:noProof/>
        </w:rPr>
        <w:footnoteReference w:id="4"/>
      </w:r>
      <w:r w:rsidR="00A525E2" w:rsidRPr="00BF2830">
        <w:rPr>
          <w:noProof/>
        </w:rPr>
        <w:t xml:space="preserve"> og i Kommissionens delegerede forordning (EU) 2020/1818</w:t>
      </w:r>
      <w:r w:rsidR="00A525E2" w:rsidRPr="00BF2830">
        <w:rPr>
          <w:rStyle w:val="FootnoteReference"/>
          <w:noProof/>
        </w:rPr>
        <w:footnoteReference w:id="5"/>
      </w:r>
      <w:r w:rsidR="00A525E2" w:rsidRPr="00BF2830">
        <w:rPr>
          <w:noProof/>
        </w:rPr>
        <w:t>. Med hensyn til offentliggørelse af oplysninger om den energimæssige ydeevne af institutternes ejendomsportefølje bør der tages højde for oplysningerne i energiattesten som defineret i artikel 2, nr. 12), i Europa-Parlamentets og Rådets direktiv 2010/31/EU</w:t>
      </w:r>
      <w:r w:rsidR="00A525E2" w:rsidRPr="00BF2830">
        <w:rPr>
          <w:rStyle w:val="FootnoteReference"/>
          <w:noProof/>
        </w:rPr>
        <w:footnoteReference w:id="6"/>
      </w:r>
      <w:r w:rsidR="00A525E2" w:rsidRPr="00BF2830">
        <w:rPr>
          <w:noProof/>
        </w:rPr>
        <w:t>.</w:t>
      </w:r>
    </w:p>
    <w:p w:rsidR="00135CD4" w:rsidRPr="00BF2830" w:rsidRDefault="00F874AE" w:rsidP="00F874AE">
      <w:pPr>
        <w:pStyle w:val="ManualConsidrant"/>
        <w:rPr>
          <w:noProof/>
        </w:rPr>
      </w:pPr>
      <w:r w:rsidRPr="00F874AE">
        <w:t>(4)</w:t>
      </w:r>
      <w:r w:rsidRPr="00F874AE">
        <w:tab/>
      </w:r>
      <w:r w:rsidR="00135CD4" w:rsidRPr="00BF2830">
        <w:rPr>
          <w:noProof/>
        </w:rPr>
        <w:t>I henhold til artikel 19a og 29a i Europa-Parlamentets og Rådets direktiv 2013/34/EU</w:t>
      </w:r>
      <w:r w:rsidR="00135CD4" w:rsidRPr="00BF2830">
        <w:rPr>
          <w:rStyle w:val="FootnoteReference"/>
          <w:noProof/>
        </w:rPr>
        <w:footnoteReference w:id="7"/>
      </w:r>
      <w:r w:rsidR="00135CD4" w:rsidRPr="00BF2830">
        <w:rPr>
          <w:noProof/>
        </w:rPr>
        <w:t xml:space="preserve"> skal visse store virksomheder, som er virksomheder af interesse for offentligheden, eller virksomheder af interesse for offentligheden, som er modervirksomheder i en stor koncern, i deres ledelsesberetning eller i deres konsoliderede ledelsesberetning medtage oplysninger om indvirkningen af deres aktiviteter på miljøspørgsmål, sociale spørgsmål og personalespørgsmål samt spørgsmål vedrørende respekt for menneskerettighederne, bekæmpelse af korruption og bestikkelse. Denne forpligtelse gælder imidlertid ikke for andre virksomheder. Som følge heraf er virksomheder, der ikke er omfattet af artikel 19a og 29a i direktiv 2013/34/EU, ikke forpligtet til at offentliggøre sådanne oplysninger, og de kan muligvis ikke videregive sådanne oplysninger til institutter. Disse virksomheder, der er modparter til institutter, kan således kun forventes at fremlægge disse oplysninger og data frivilligt. Det er ikke desto mindre hensigtsmæssigt at vejlede disse virksomheder om beregningen af procentdelen af eksponeringer for aktiviteter, der er miljømæssigt bæredygtige økonomiske aktiviteter som omhandlet i artikel 3 i forordning (EU) 2020/852, således at disse oplysninger og data kan præsenteres i et standardiseret og sammenligneligt format. Hvis disse oplysninger og data ikke fremlægges frivilligt, bør institutterne kunne beregne procentdelen af eksponeringer, der er i overensstemmelse med klassificeringssystemet, ved brug af estimater eller tilnærmede værdier.</w:t>
      </w:r>
    </w:p>
    <w:p w:rsidR="00921483" w:rsidRPr="00BF2830" w:rsidRDefault="00F874AE" w:rsidP="00F874AE">
      <w:pPr>
        <w:pStyle w:val="ManualConsidrant"/>
        <w:rPr>
          <w:noProof/>
        </w:rPr>
      </w:pPr>
      <w:r w:rsidRPr="00F874AE">
        <w:t>(5)</w:t>
      </w:r>
      <w:r w:rsidRPr="00F874AE">
        <w:tab/>
      </w:r>
      <w:r w:rsidR="00A97285" w:rsidRPr="00BF2830">
        <w:rPr>
          <w:noProof/>
        </w:rPr>
        <w:t>I henhold til artikel 449a i forordning (EU) nr. 575/2013 skal oplysningerne om ESG-risici fra den 28. juni 2022 offentliggøres årligt det første år og halvårligt derefter. Derfor bør den første årlige referencedato for offentliggørelse fastsættes til den 31. december 2022.</w:t>
      </w:r>
    </w:p>
    <w:p w:rsidR="00ED20D7" w:rsidRPr="00BF2830" w:rsidRDefault="00F874AE" w:rsidP="00F874AE">
      <w:pPr>
        <w:pStyle w:val="ManualConsidrant"/>
        <w:rPr>
          <w:noProof/>
        </w:rPr>
      </w:pPr>
      <w:r w:rsidRPr="00F874AE">
        <w:t>(6)</w:t>
      </w:r>
      <w:r w:rsidRPr="00F874AE">
        <w:tab/>
      </w:r>
      <w:r w:rsidR="00410340" w:rsidRPr="00BF2830">
        <w:rPr>
          <w:noProof/>
        </w:rPr>
        <w:t xml:space="preserve">Denne forordning er baseret på de udkast til gennemførelsesmæssige tekniske standarder, som Den Europæiske Banktilsynsmyndighed har forelagt Kommissionen. </w:t>
      </w:r>
    </w:p>
    <w:p w:rsidR="00410340" w:rsidRPr="00BF2830" w:rsidRDefault="00F874AE" w:rsidP="00F874AE">
      <w:pPr>
        <w:pStyle w:val="ManualConsidrant"/>
        <w:rPr>
          <w:noProof/>
        </w:rPr>
      </w:pPr>
      <w:r w:rsidRPr="00F874AE">
        <w:t>(7)</w:t>
      </w:r>
      <w:r w:rsidRPr="00F874AE">
        <w:tab/>
      </w:r>
      <w:r w:rsidR="00ED20D7" w:rsidRPr="00BF2830">
        <w:rPr>
          <w:noProof/>
        </w:rPr>
        <w:t>EBA har afholdt åbne offentlige høringer om det udkast til reguleringsmæssige tekniske standarder, som ligger til grund for denne forordning, analyseret de potentielle omkostninger og fordele herved og anmodet om rådgivning fra interessentgruppen for banker, der er nedsat i henhold artikel 37 i Europa-Parlamentets og Rådets forordning (EU) nr. 1093/2010</w:t>
      </w:r>
      <w:r w:rsidR="00ED20D7" w:rsidRPr="00BF2830">
        <w:rPr>
          <w:rStyle w:val="FootnoteReference"/>
          <w:noProof/>
        </w:rPr>
        <w:footnoteReference w:id="8"/>
      </w:r>
      <w:r w:rsidR="00ED20D7" w:rsidRPr="00BF2830">
        <w:rPr>
          <w:noProof/>
        </w:rPr>
        <w:t>.</w:t>
      </w:r>
    </w:p>
    <w:p w:rsidR="00410340" w:rsidRPr="00BF2830" w:rsidRDefault="00F874AE" w:rsidP="00F874AE">
      <w:pPr>
        <w:pStyle w:val="ManualConsidrant"/>
        <w:rPr>
          <w:noProof/>
        </w:rPr>
      </w:pPr>
      <w:r w:rsidRPr="00F874AE">
        <w:t>(8)</w:t>
      </w:r>
      <w:r w:rsidRPr="00F874AE">
        <w:tab/>
      </w:r>
      <w:r w:rsidR="00410340" w:rsidRPr="00BF2830">
        <w:rPr>
          <w:noProof/>
        </w:rPr>
        <w:t>Gennemførelsesforordning (EU) 2021/637 bør derfor ændres —</w:t>
      </w:r>
    </w:p>
    <w:p w:rsidR="003C122C" w:rsidRPr="00BF2830" w:rsidRDefault="003C122C" w:rsidP="004E1EF9">
      <w:pPr>
        <w:pStyle w:val="Formuledadoption"/>
        <w:rPr>
          <w:noProof/>
          <w:szCs w:val="24"/>
        </w:rPr>
      </w:pPr>
      <w:r w:rsidRPr="00BF2830">
        <w:rPr>
          <w:noProof/>
        </w:rPr>
        <w:t>VEDTAGET DENNE FORORDNING:</w:t>
      </w:r>
    </w:p>
    <w:p w:rsidR="003C122C" w:rsidRPr="00BF2830" w:rsidRDefault="003C122C" w:rsidP="004E1EF9">
      <w:pPr>
        <w:pStyle w:val="Titrearticle"/>
        <w:rPr>
          <w:noProof/>
          <w:szCs w:val="24"/>
        </w:rPr>
      </w:pPr>
      <w:r w:rsidRPr="00BF2830">
        <w:rPr>
          <w:noProof/>
        </w:rPr>
        <w:t>Artikel 1</w:t>
      </w:r>
    </w:p>
    <w:p w:rsidR="007F4F83" w:rsidRPr="00BF2830" w:rsidRDefault="007F4F83" w:rsidP="00D00193">
      <w:pPr>
        <w:pStyle w:val="Titrearticle"/>
        <w:spacing w:before="120"/>
        <w:rPr>
          <w:b/>
          <w:i w:val="0"/>
          <w:noProof/>
          <w:szCs w:val="24"/>
        </w:rPr>
      </w:pPr>
      <w:r w:rsidRPr="00BF2830">
        <w:rPr>
          <w:b/>
          <w:i w:val="0"/>
          <w:noProof/>
        </w:rPr>
        <w:t>Ændring af gennemførelsesforordning (EU) 2021/637</w:t>
      </w:r>
    </w:p>
    <w:p w:rsidR="007F4F83" w:rsidRPr="00BF2830" w:rsidRDefault="007F4F83" w:rsidP="007F4F83">
      <w:pPr>
        <w:pStyle w:val="Titrearticle"/>
        <w:jc w:val="left"/>
        <w:rPr>
          <w:rFonts w:eastAsiaTheme="minorEastAsia"/>
          <w:i w:val="0"/>
          <w:noProof/>
          <w:szCs w:val="24"/>
        </w:rPr>
      </w:pPr>
      <w:r w:rsidRPr="00BF2830">
        <w:rPr>
          <w:i w:val="0"/>
          <w:noProof/>
        </w:rPr>
        <w:t>I gennemførelsesforordning (EU) 2021/637 foretages følgende ændringer:</w:t>
      </w:r>
    </w:p>
    <w:p w:rsidR="007F4F83" w:rsidRPr="00BF2830" w:rsidRDefault="00BF2830" w:rsidP="00BF2830">
      <w:pPr>
        <w:pStyle w:val="Point0"/>
        <w:rPr>
          <w:noProof/>
        </w:rPr>
      </w:pPr>
      <w:r>
        <w:rPr>
          <w:noProof/>
        </w:rPr>
        <w:t>1)</w:t>
      </w:r>
      <w:r>
        <w:rPr>
          <w:noProof/>
        </w:rPr>
        <w:tab/>
      </w:r>
      <w:r w:rsidR="007F4F83" w:rsidRPr="00BF2830">
        <w:rPr>
          <w:noProof/>
        </w:rPr>
        <w:t>Følgende indsættes som artikel 18a:</w:t>
      </w:r>
    </w:p>
    <w:p w:rsidR="007F4F83" w:rsidRPr="00BF2830" w:rsidRDefault="006542E5" w:rsidP="004046D9">
      <w:pPr>
        <w:pStyle w:val="Titrearticle"/>
        <w:spacing w:before="120"/>
        <w:ind w:left="567" w:right="568"/>
        <w:rPr>
          <w:noProof/>
        </w:rPr>
      </w:pPr>
      <w:r w:rsidRPr="00BF2830">
        <w:rPr>
          <w:noProof/>
        </w:rPr>
        <w:t>"Artikel 18a</w:t>
      </w:r>
    </w:p>
    <w:p w:rsidR="007F4F83" w:rsidRPr="00BF2830" w:rsidRDefault="007F4F83" w:rsidP="004046D9">
      <w:pPr>
        <w:pStyle w:val="Titrearticle"/>
        <w:spacing w:before="120"/>
        <w:ind w:left="567" w:right="568"/>
        <w:rPr>
          <w:b/>
          <w:i w:val="0"/>
          <w:noProof/>
        </w:rPr>
      </w:pPr>
      <w:r w:rsidRPr="00BF2830">
        <w:rPr>
          <w:b/>
          <w:i w:val="0"/>
          <w:noProof/>
        </w:rPr>
        <w:t>Offentliggørelse af miljømæssige, sociale og ledelsesmæssige risici (ESG-risici)</w:t>
      </w:r>
    </w:p>
    <w:p w:rsidR="007F4F83" w:rsidRPr="00BF2830" w:rsidRDefault="00F874AE" w:rsidP="00F874AE">
      <w:pPr>
        <w:pStyle w:val="ManualNumPar1"/>
        <w:rPr>
          <w:noProof/>
        </w:rPr>
      </w:pPr>
      <w:r w:rsidRPr="00F874AE">
        <w:t>1.</w:t>
      </w:r>
      <w:r w:rsidRPr="00F874AE">
        <w:tab/>
      </w:r>
      <w:r w:rsidR="007F4F83" w:rsidRPr="00BF2830">
        <w:rPr>
          <w:noProof/>
        </w:rPr>
        <w:t>Institutterne offentliggør de oplysninger, som er omhandlet i artikel 449a i forordning (EU) nr. 575/2013, som følger:</w:t>
      </w:r>
    </w:p>
    <w:p w:rsidR="002D1236" w:rsidRPr="00BF2830" w:rsidRDefault="00BF2830" w:rsidP="00BF2830">
      <w:pPr>
        <w:pStyle w:val="Point1"/>
        <w:rPr>
          <w:noProof/>
        </w:rPr>
      </w:pPr>
      <w:r>
        <w:rPr>
          <w:noProof/>
        </w:rPr>
        <w:t>a)</w:t>
      </w:r>
      <w:r>
        <w:rPr>
          <w:noProof/>
        </w:rPr>
        <w:tab/>
      </w:r>
      <w:r w:rsidR="002D1236" w:rsidRPr="00BF2830">
        <w:rPr>
          <w:noProof/>
        </w:rPr>
        <w:t>kvalitative oplysninger om miljømæssige, sociale og ledelsesmæssige risici ved hjælp af tabel 1, 2 og 3 i bilag XXXIX til nærværende forordning, idet instrukserne i bilag XL til nærværende forordning følges</w:t>
      </w:r>
    </w:p>
    <w:p w:rsidR="002D1236" w:rsidRPr="00BF2830" w:rsidRDefault="00BF2830" w:rsidP="00BF2830">
      <w:pPr>
        <w:pStyle w:val="Point1"/>
        <w:rPr>
          <w:noProof/>
        </w:rPr>
      </w:pPr>
      <w:r>
        <w:rPr>
          <w:noProof/>
        </w:rPr>
        <w:t>b)</w:t>
      </w:r>
      <w:r>
        <w:rPr>
          <w:noProof/>
        </w:rPr>
        <w:tab/>
      </w:r>
      <w:r w:rsidR="002D1236" w:rsidRPr="00BF2830">
        <w:rPr>
          <w:noProof/>
        </w:rPr>
        <w:t>kvantitative oplysninger om omstillingsrisikoen forbundet med klimaændringer ved hjælp af skema 1-4 i bilag XXXIX til nærværende forordning, idet instrukserne i bilag XL til nærværende forordning følges</w:t>
      </w:r>
    </w:p>
    <w:p w:rsidR="002D1236" w:rsidRPr="00BF2830" w:rsidRDefault="00BF2830" w:rsidP="00BF2830">
      <w:pPr>
        <w:pStyle w:val="Point1"/>
        <w:rPr>
          <w:noProof/>
        </w:rPr>
      </w:pPr>
      <w:r>
        <w:rPr>
          <w:noProof/>
        </w:rPr>
        <w:t>c)</w:t>
      </w:r>
      <w:r>
        <w:rPr>
          <w:noProof/>
        </w:rPr>
        <w:tab/>
      </w:r>
      <w:r w:rsidR="002D1236" w:rsidRPr="00BF2830">
        <w:rPr>
          <w:noProof/>
        </w:rPr>
        <w:t>kvantitative oplysninger om fysiske risici forbundet med klimaændringer ved hjælp af skema 5 i bilag XXXIX til nærværende forordning, idet instrukserne i bilag XL til nærværende forordning følges</w:t>
      </w:r>
    </w:p>
    <w:p w:rsidR="002D1236" w:rsidRPr="00BF2830" w:rsidRDefault="00BF2830" w:rsidP="00BF2830">
      <w:pPr>
        <w:pStyle w:val="Point1"/>
        <w:rPr>
          <w:noProof/>
        </w:rPr>
      </w:pPr>
      <w:r>
        <w:rPr>
          <w:noProof/>
        </w:rPr>
        <w:t>d)</w:t>
      </w:r>
      <w:r>
        <w:rPr>
          <w:noProof/>
        </w:rPr>
        <w:tab/>
      </w:r>
      <w:r w:rsidR="002D1236" w:rsidRPr="00BF2830">
        <w:rPr>
          <w:noProof/>
        </w:rPr>
        <w:t xml:space="preserve">kvantitative oplysninger om afbødende foranstaltninger forbundet med økonomiske aktiviteter, der kvalificeres som miljømæssigt bæredygtige i henhold til artikel 3 i Europa-Parlamentets og Rådets forordning (EU) 2020/852*1, over for de modparter, der er omfattet af artikel 19a eller 29a i Europa-Parlamentets og Rådets direktiv 2013/34/EU*2, over for </w:t>
      </w:r>
      <w:bookmarkStart w:id="1" w:name="_Hlk92470586"/>
      <w:r w:rsidR="002D1236" w:rsidRPr="00BF2830">
        <w:rPr>
          <w:noProof/>
        </w:rPr>
        <w:t>husholdninger</w:t>
      </w:r>
      <w:bookmarkEnd w:id="1"/>
      <w:r w:rsidR="002D1236" w:rsidRPr="00BF2830">
        <w:rPr>
          <w:noProof/>
        </w:rPr>
        <w:t xml:space="preserve"> og over for lokale myndigheder som omhandlet i del 1, punkt 42, litra b), i bilag V til Kommissionens gennemførelsesforordning (EU) 2021/451*3 ved hjælp af skema 6, 7 og 8 i bilag XXXIX til nærværende forordning, idet instrukserne i bilag XL til nærværende forordning følges</w:t>
      </w:r>
    </w:p>
    <w:p w:rsidR="00995098" w:rsidRPr="00BF2830" w:rsidRDefault="00BF2830" w:rsidP="00BF2830">
      <w:pPr>
        <w:pStyle w:val="Point1"/>
        <w:rPr>
          <w:noProof/>
        </w:rPr>
      </w:pPr>
      <w:r>
        <w:rPr>
          <w:noProof/>
        </w:rPr>
        <w:t>e)</w:t>
      </w:r>
      <w:r>
        <w:rPr>
          <w:noProof/>
        </w:rPr>
        <w:tab/>
      </w:r>
      <w:r w:rsidR="00995098" w:rsidRPr="00BF2830">
        <w:rPr>
          <w:noProof/>
        </w:rPr>
        <w:t>kvantitative oplysninger om andre afbødende foranstaltninger og eksponeringer for klimarelaterede risici, der ikke kvalificeres som miljømæssigt bæredygtige økonomiske aktiviteter i henhold til artikel 3 i forordning (EU) 2020/852, men som støtter modparter i omstillings- eller tilpasningsprocessen med henblik på målene for modvirkning af klimaændringer og tilpasning til klimaændringer, ved hjælp af skema 10 i bilag XXXIX til nærværende forordning, idet instrukserne i bilag XL til nærværende forordning følges.</w:t>
      </w:r>
    </w:p>
    <w:p w:rsidR="008D2E23" w:rsidRPr="00BF2830" w:rsidRDefault="00F874AE" w:rsidP="00F874AE">
      <w:pPr>
        <w:pStyle w:val="ManualNumPar1"/>
        <w:rPr>
          <w:noProof/>
        </w:rPr>
      </w:pPr>
      <w:r w:rsidRPr="00F874AE">
        <w:t>2.</w:t>
      </w:r>
      <w:r w:rsidRPr="00F874AE">
        <w:tab/>
      </w:r>
      <w:r w:rsidR="000941B5" w:rsidRPr="00BF2830">
        <w:rPr>
          <w:noProof/>
        </w:rPr>
        <w:t xml:space="preserve">Institutterne kan vælge at offentliggøre kvantitative oplysninger om afbødende foranstaltninger og eksponeringer vedrørende klimarelaterede risici forbundet med økonomiske aktiviteter, der kvalificeres som miljømæssigt bæredygtige i henhold til artikel 3 i forordning (EU) 2020/852, for modparter, der er ikkefinansielle </w:t>
      </w:r>
      <w:bookmarkStart w:id="2" w:name="_Hlk92470606"/>
      <w:r w:rsidR="000941B5" w:rsidRPr="00BF2830">
        <w:rPr>
          <w:noProof/>
        </w:rPr>
        <w:t>selskaber</w:t>
      </w:r>
      <w:bookmarkEnd w:id="2"/>
      <w:r w:rsidR="000941B5" w:rsidRPr="00BF2830">
        <w:rPr>
          <w:noProof/>
        </w:rPr>
        <w:t>, som omhandlet i del 1, punkt 42, litra e), i bilag V til gennemførelsesforordning (EU) 2021/451, som ikke er omfattet af oplysningsforpligtelserne i artikel 19a eller 29a i direktiv 2013/34/EU, og som ikke er omfattet af oplysningsforpligtelserne i Kommissionens gennemførelsesforordning (EU) 2021/2178</w:t>
      </w:r>
      <w:r w:rsidR="000941B5" w:rsidRPr="00BF2830">
        <w:rPr>
          <w:noProof/>
          <w:vertAlign w:val="superscript"/>
        </w:rPr>
        <w:t>*4</w:t>
      </w:r>
      <w:r w:rsidR="000941B5" w:rsidRPr="00BF2830">
        <w:rPr>
          <w:noProof/>
        </w:rPr>
        <w:t xml:space="preserve">, ved hjælp af skema 9 i bilag XXXIX til nærværende forordning, idet instrukserne i bilag XL til nærværende forordning følges. </w:t>
      </w:r>
    </w:p>
    <w:p w:rsidR="002D1236" w:rsidRPr="00BF2830" w:rsidRDefault="002D1236" w:rsidP="00353D88">
      <w:pPr>
        <w:pStyle w:val="Text1"/>
        <w:rPr>
          <w:noProof/>
        </w:rPr>
      </w:pPr>
      <w:r w:rsidRPr="00BF2830">
        <w:rPr>
          <w:noProof/>
        </w:rPr>
        <w:t>Ved beregningen af procentdelen af eksponeringer mod aktiviteter, som opfylder kravene i artikel 3 i forordning (EU) 2020/852 (eksponeringer, der er i overensstemmelse med klassificeringssystemet), over for disse modparter, kan institutter:</w:t>
      </w:r>
    </w:p>
    <w:p w:rsidR="00D23734" w:rsidRPr="00BF2830" w:rsidRDefault="00BF2830" w:rsidP="00BF2830">
      <w:pPr>
        <w:pStyle w:val="Point1"/>
        <w:rPr>
          <w:noProof/>
        </w:rPr>
      </w:pPr>
      <w:r>
        <w:rPr>
          <w:noProof/>
        </w:rPr>
        <w:t>a)</w:t>
      </w:r>
      <w:r>
        <w:rPr>
          <w:noProof/>
        </w:rPr>
        <w:tab/>
      </w:r>
      <w:r w:rsidR="008E7D06" w:rsidRPr="00BF2830">
        <w:rPr>
          <w:noProof/>
        </w:rPr>
        <w:t>anvende eventuelle oplysninger modtaget fra deres modparter på frivilligt og bilateralt grundlag i forbindelse med procedurerne for udstedelse af lån og regelmæssig kreditgennemgang og overvågning</w:t>
      </w:r>
    </w:p>
    <w:p w:rsidR="00D23734" w:rsidRPr="00BF2830" w:rsidRDefault="00BF2830" w:rsidP="00BF2830">
      <w:pPr>
        <w:pStyle w:val="Point1"/>
        <w:rPr>
          <w:noProof/>
        </w:rPr>
      </w:pPr>
      <w:r>
        <w:rPr>
          <w:noProof/>
        </w:rPr>
        <w:t>b)</w:t>
      </w:r>
      <w:r>
        <w:rPr>
          <w:noProof/>
        </w:rPr>
        <w:tab/>
      </w:r>
      <w:r w:rsidR="00B25755" w:rsidRPr="00BF2830">
        <w:rPr>
          <w:noProof/>
        </w:rPr>
        <w:t>hvis modparten ikke kan eller ønsker at fremlægge de pågældende data bilateralt — anvende interne estimater og tilnærmede værdier og i den beskrivelse, der ledsager skemaet, angive, i hvilket omfang disse interne estimater og tilnærmede værdier er blevet anvendt, og hvilke interne estimater og tilnærmede værdier der er blevet anvendt</w:t>
      </w:r>
    </w:p>
    <w:p w:rsidR="002D1236" w:rsidRPr="00BF2830" w:rsidRDefault="00BF2830" w:rsidP="00BF2830">
      <w:pPr>
        <w:pStyle w:val="Point1"/>
        <w:rPr>
          <w:noProof/>
        </w:rPr>
      </w:pPr>
      <w:r>
        <w:rPr>
          <w:noProof/>
        </w:rPr>
        <w:t>c)</w:t>
      </w:r>
      <w:r>
        <w:rPr>
          <w:noProof/>
        </w:rPr>
        <w:tab/>
      </w:r>
      <w:r w:rsidR="00D23734" w:rsidRPr="00BF2830">
        <w:rPr>
          <w:noProof/>
        </w:rPr>
        <w:t>hvis de ikke kan indsamle de pågældende oplysninger bilateralt eller ikke kan anvende interne estimater og tilnærmede værdier eller ikke kan indsamle disse oplysninger eller anvende disse estimater og tilnærmede værdier på en måde, der ikke er alt for byrdefuld for dem eller deres modparter — angive denne manglende evne i den beskrivelse, der ledsager skemaet.</w:t>
      </w:r>
    </w:p>
    <w:p w:rsidR="00320B78" w:rsidRPr="00BF2830" w:rsidRDefault="00320B78" w:rsidP="00353D88">
      <w:pPr>
        <w:pStyle w:val="Text1"/>
        <w:rPr>
          <w:noProof/>
        </w:rPr>
      </w:pPr>
      <w:r w:rsidRPr="00BF2830">
        <w:rPr>
          <w:noProof/>
        </w:rPr>
        <w:t>Med henblik på litra a) underretter institutterne deres modparter om, at det er frivilligt at fremlægge sådanne oplysninger.</w:t>
      </w:r>
    </w:p>
    <w:p w:rsidR="007F4F83" w:rsidRPr="00BF2830" w:rsidRDefault="00F874AE" w:rsidP="00F874AE">
      <w:pPr>
        <w:pStyle w:val="ManualNumPar1"/>
        <w:rPr>
          <w:noProof/>
        </w:rPr>
      </w:pPr>
      <w:r w:rsidRPr="00F874AE">
        <w:t>3.</w:t>
      </w:r>
      <w:r w:rsidRPr="00F874AE">
        <w:tab/>
      </w:r>
      <w:r w:rsidR="006B71ED" w:rsidRPr="00BF2830">
        <w:rPr>
          <w:noProof/>
        </w:rPr>
        <w:t>Medmindre andet er angivet i instrukserne i bilag XL til nærværende forordning, offentliggør institutterne pr. 31. december 2022 de oplysninger, der er omhandlet i artikel 449a i forordning (EU) nr. 575/2013, på følgende datoer:</w:t>
      </w:r>
    </w:p>
    <w:p w:rsidR="007F4F83" w:rsidRPr="00BF2830" w:rsidRDefault="00BF2830" w:rsidP="00BF2830">
      <w:pPr>
        <w:pStyle w:val="Point1"/>
        <w:rPr>
          <w:noProof/>
        </w:rPr>
      </w:pPr>
      <w:r>
        <w:rPr>
          <w:noProof/>
        </w:rPr>
        <w:t>a)</w:t>
      </w:r>
      <w:r>
        <w:rPr>
          <w:noProof/>
        </w:rPr>
        <w:tab/>
      </w:r>
      <w:r w:rsidR="007F4F83" w:rsidRPr="00BF2830">
        <w:rPr>
          <w:noProof/>
        </w:rPr>
        <w:t>for årlige offentliggørelser: den 31. december</w:t>
      </w:r>
    </w:p>
    <w:p w:rsidR="00D01D57" w:rsidRPr="00BF2830" w:rsidRDefault="00BF2830" w:rsidP="00BF2830">
      <w:pPr>
        <w:pStyle w:val="Point1"/>
        <w:rPr>
          <w:noProof/>
        </w:rPr>
      </w:pPr>
      <w:r>
        <w:rPr>
          <w:noProof/>
        </w:rPr>
        <w:t>b)</w:t>
      </w:r>
      <w:r>
        <w:rPr>
          <w:noProof/>
        </w:rPr>
        <w:tab/>
      </w:r>
      <w:r w:rsidR="007F4F83" w:rsidRPr="00BF2830">
        <w:rPr>
          <w:noProof/>
        </w:rPr>
        <w:t>for halvårlige offentliggørelser: den 30. juni og 31. december hvert år.</w:t>
      </w:r>
    </w:p>
    <w:p w:rsidR="00086FAB" w:rsidRPr="00BF2830" w:rsidRDefault="001904B5" w:rsidP="0087679B">
      <w:pPr>
        <w:pStyle w:val="Text2"/>
        <w:rPr>
          <w:noProof/>
        </w:rPr>
      </w:pPr>
      <w:r w:rsidRPr="00BF2830">
        <w:rPr>
          <w:noProof/>
        </w:rPr>
        <w:tab/>
        <w:t>___________</w:t>
      </w:r>
    </w:p>
    <w:p w:rsidR="00086FAB" w:rsidRPr="00BF2830" w:rsidRDefault="00086FAB" w:rsidP="0087679B">
      <w:pPr>
        <w:pStyle w:val="Text3"/>
        <w:rPr>
          <w:noProof/>
          <w:sz w:val="20"/>
          <w:szCs w:val="20"/>
        </w:rPr>
      </w:pPr>
      <w:r w:rsidRPr="00BF2830">
        <w:rPr>
          <w:noProof/>
          <w:sz w:val="20"/>
          <w:vertAlign w:val="superscript"/>
        </w:rPr>
        <w:t>*1</w:t>
      </w:r>
      <w:r w:rsidRPr="00BF2830">
        <w:rPr>
          <w:noProof/>
        </w:rPr>
        <w:tab/>
      </w:r>
      <w:r w:rsidRPr="00BF2830">
        <w:rPr>
          <w:noProof/>
          <w:sz w:val="20"/>
        </w:rPr>
        <w:t>Europa-Parlamentets og Rådets forordning (EU) 2020/852 af 18. juni 2020 om fastlæggelse af en ramme til fremme af bæredygtige investeringer og om ændring af forordning (EU) 2019/2088 (EUT L 198 af 22.6.2020, s. 13).</w:t>
      </w:r>
    </w:p>
    <w:p w:rsidR="00086FAB" w:rsidRPr="00BF2830" w:rsidRDefault="00086FAB" w:rsidP="004F6722">
      <w:pPr>
        <w:pStyle w:val="Text3"/>
        <w:rPr>
          <w:noProof/>
          <w:sz w:val="20"/>
          <w:szCs w:val="20"/>
        </w:rPr>
      </w:pPr>
      <w:r w:rsidRPr="00BF2830">
        <w:rPr>
          <w:noProof/>
          <w:sz w:val="20"/>
          <w:vertAlign w:val="superscript"/>
        </w:rPr>
        <w:t>*2</w:t>
      </w:r>
      <w:r w:rsidRPr="00BF2830">
        <w:rPr>
          <w:noProof/>
        </w:rPr>
        <w:tab/>
      </w:r>
      <w:r w:rsidRPr="00BF2830">
        <w:rPr>
          <w:noProof/>
          <w:sz w:val="20"/>
        </w:rPr>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p w:rsidR="00086FAB" w:rsidRPr="00BF2830" w:rsidRDefault="00086FAB" w:rsidP="0087679B">
      <w:pPr>
        <w:pStyle w:val="Text3"/>
        <w:rPr>
          <w:noProof/>
          <w:sz w:val="20"/>
          <w:szCs w:val="20"/>
        </w:rPr>
      </w:pPr>
      <w:r w:rsidRPr="00BF2830">
        <w:rPr>
          <w:noProof/>
          <w:sz w:val="20"/>
          <w:vertAlign w:val="superscript"/>
        </w:rPr>
        <w:t>*3</w:t>
      </w:r>
      <w:r w:rsidRPr="00BF2830">
        <w:rPr>
          <w:noProof/>
        </w:rPr>
        <w:tab/>
      </w:r>
      <w:r w:rsidRPr="00BF2830">
        <w:rPr>
          <w:noProof/>
          <w:sz w:val="20"/>
        </w:rPr>
        <w:t>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w:t>
      </w:r>
    </w:p>
    <w:p w:rsidR="00086FAB" w:rsidRPr="00BF2830" w:rsidRDefault="00086FAB" w:rsidP="0087679B">
      <w:pPr>
        <w:pStyle w:val="Text3"/>
        <w:rPr>
          <w:noProof/>
          <w:sz w:val="20"/>
          <w:szCs w:val="20"/>
        </w:rPr>
      </w:pPr>
      <w:r w:rsidRPr="00BF2830">
        <w:rPr>
          <w:noProof/>
          <w:sz w:val="20"/>
          <w:vertAlign w:val="superscript"/>
        </w:rPr>
        <w:t>*4</w:t>
      </w:r>
      <w:r w:rsidRPr="00BF2830">
        <w:rPr>
          <w:noProof/>
        </w:rPr>
        <w:tab/>
      </w:r>
      <w:r w:rsidRPr="00BF2830">
        <w:rPr>
          <w:noProof/>
          <w:sz w:val="20"/>
        </w:rPr>
        <w:t>Kommissionens delegerede forordning (EU) 2021/2178 af 6. juli 2021 om supplerende regler til Europa-Parlamentets og Rådets forordning (EU) 2020/852, som præciserer indholdet og fremlæggelsen af de oplysninger, der skal offentliggøres af virksomheder, som er omfattet af artikel 19a eller 29a i direktiv 2013/34/EU, vedrørende miljømæssigt bæredygtige økonomiske aktiviteter, og som præciserer metodologien til sikring af overholdelse af denne oplysningsforpligtelse (EUT L 443 af 10.12.2021, s. 9).</w:t>
      </w:r>
    </w:p>
    <w:p w:rsidR="007F4F83" w:rsidRPr="00BF2830" w:rsidRDefault="00BF2830" w:rsidP="00BF2830">
      <w:pPr>
        <w:pStyle w:val="Point0"/>
        <w:rPr>
          <w:noProof/>
        </w:rPr>
      </w:pPr>
      <w:r>
        <w:rPr>
          <w:noProof/>
        </w:rPr>
        <w:t>2)</w:t>
      </w:r>
      <w:r>
        <w:rPr>
          <w:noProof/>
        </w:rPr>
        <w:tab/>
      </w:r>
      <w:r w:rsidR="00921483" w:rsidRPr="00BF2830">
        <w:rPr>
          <w:noProof/>
        </w:rPr>
        <w:t xml:space="preserve">Teksten i bilag I til nærværende forordning tilføjes som bilag XXXIX. </w:t>
      </w:r>
    </w:p>
    <w:p w:rsidR="007F4F83" w:rsidRPr="00BF2830" w:rsidRDefault="00BF2830" w:rsidP="00BF2830">
      <w:pPr>
        <w:pStyle w:val="Point0"/>
        <w:rPr>
          <w:noProof/>
        </w:rPr>
      </w:pPr>
      <w:r>
        <w:rPr>
          <w:noProof/>
        </w:rPr>
        <w:t>3)</w:t>
      </w:r>
      <w:r>
        <w:rPr>
          <w:noProof/>
        </w:rPr>
        <w:tab/>
      </w:r>
      <w:r w:rsidR="00921483" w:rsidRPr="00BF2830">
        <w:rPr>
          <w:noProof/>
        </w:rPr>
        <w:t>Teksten i bilag II til nærværende forordning tilføjes som bilag XL.</w:t>
      </w:r>
    </w:p>
    <w:p w:rsidR="007F4F83" w:rsidRPr="00BF2830" w:rsidRDefault="007F4F83" w:rsidP="004046D9">
      <w:pPr>
        <w:pStyle w:val="Titrearticle"/>
        <w:rPr>
          <w:noProof/>
          <w:szCs w:val="24"/>
        </w:rPr>
      </w:pPr>
      <w:r w:rsidRPr="00BF2830">
        <w:rPr>
          <w:noProof/>
        </w:rPr>
        <w:t>Artikel 2</w:t>
      </w:r>
    </w:p>
    <w:p w:rsidR="007F4F83" w:rsidRPr="00BF2830" w:rsidRDefault="007F4F83" w:rsidP="007F4F83">
      <w:pPr>
        <w:pStyle w:val="Titrearticle"/>
        <w:spacing w:before="120"/>
        <w:rPr>
          <w:b/>
          <w:i w:val="0"/>
          <w:noProof/>
          <w:szCs w:val="24"/>
        </w:rPr>
      </w:pPr>
      <w:r w:rsidRPr="00BF2830">
        <w:rPr>
          <w:b/>
          <w:i w:val="0"/>
          <w:noProof/>
        </w:rPr>
        <w:t>Ikrafttræden</w:t>
      </w:r>
    </w:p>
    <w:p w:rsidR="007F4F83" w:rsidRPr="00BF2830" w:rsidRDefault="007F4F83" w:rsidP="007F4F83">
      <w:pPr>
        <w:rPr>
          <w:noProof/>
          <w:color w:val="000000" w:themeColor="text1"/>
          <w:szCs w:val="24"/>
        </w:rPr>
      </w:pPr>
      <w:r w:rsidRPr="00BF2830">
        <w:rPr>
          <w:noProof/>
        </w:rPr>
        <w:t xml:space="preserve">Denne forordning træder i kraft på tyvendedagen efter offentliggørelsen i </w:t>
      </w:r>
      <w:r w:rsidRPr="00BF2830">
        <w:rPr>
          <w:i/>
          <w:noProof/>
        </w:rPr>
        <w:t>Den Europæiske Unions Tidende</w:t>
      </w:r>
      <w:r w:rsidRPr="00BF2830">
        <w:rPr>
          <w:noProof/>
        </w:rPr>
        <w:t>.</w:t>
      </w:r>
      <w:r w:rsidRPr="00BF2830">
        <w:rPr>
          <w:noProof/>
          <w:color w:val="000000" w:themeColor="text1"/>
        </w:rPr>
        <w:t xml:space="preserve"> </w:t>
      </w:r>
    </w:p>
    <w:p w:rsidR="007F4F83" w:rsidRPr="00BF2830" w:rsidRDefault="007F4F83" w:rsidP="007F4F83">
      <w:pPr>
        <w:pStyle w:val="Applicationdirecte"/>
        <w:rPr>
          <w:noProof/>
          <w:color w:val="000000"/>
          <w:szCs w:val="24"/>
        </w:rPr>
      </w:pPr>
      <w:r w:rsidRPr="00BF2830">
        <w:rPr>
          <w:noProof/>
          <w:color w:val="000000"/>
        </w:rPr>
        <w:t>Denne forordning er bindende i alle enkeltheder og gælder umiddelbart i enhver medlemsstat.</w:t>
      </w:r>
    </w:p>
    <w:p w:rsidR="003C122C" w:rsidRPr="00BF2830" w:rsidRDefault="00F32B52" w:rsidP="00656D8B">
      <w:pPr>
        <w:pStyle w:val="Fait"/>
        <w:rPr>
          <w:noProof/>
        </w:rPr>
      </w:pPr>
      <w:r w:rsidRPr="00F32B52">
        <w:t>Udfærdiget i Bruxelles, den 30.11.2022.</w:t>
      </w:r>
    </w:p>
    <w:p w:rsidR="003C122C" w:rsidRPr="00BF2830" w:rsidRDefault="003C122C" w:rsidP="00656D8B">
      <w:pPr>
        <w:pStyle w:val="Institutionquisigne"/>
        <w:rPr>
          <w:noProof/>
          <w:szCs w:val="24"/>
        </w:rPr>
      </w:pPr>
      <w:r w:rsidRPr="00BF2830">
        <w:rPr>
          <w:noProof/>
        </w:rPr>
        <w:tab/>
        <w:t>På Kommissionens vegne</w:t>
      </w:r>
    </w:p>
    <w:p w:rsidR="00BF2830" w:rsidRPr="00BF2830" w:rsidRDefault="006330C7" w:rsidP="00656D8B">
      <w:pPr>
        <w:pStyle w:val="Personnequisigne"/>
        <w:keepNext/>
        <w:rPr>
          <w:noProof/>
          <w:szCs w:val="24"/>
        </w:rPr>
      </w:pPr>
      <w:r>
        <w:tab/>
        <w:t>Formand</w:t>
      </w:r>
      <w:r>
        <w:br/>
      </w:r>
      <w:r>
        <w:tab/>
        <w:t>Ursula VON DER LEYEN</w:t>
      </w:r>
    </w:p>
    <w:p w:rsidR="00C32BCD" w:rsidRPr="00BF2830" w:rsidRDefault="00C32BCD" w:rsidP="00C32BCD">
      <w:pPr>
        <w:pStyle w:val="Personnequisigne"/>
        <w:rPr>
          <w:noProof/>
          <w:szCs w:val="24"/>
        </w:rPr>
      </w:pPr>
    </w:p>
    <w:sectPr w:rsidR="00C32BCD" w:rsidRPr="00BF2830" w:rsidSect="00884E85">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830" w:rsidRPr="00884E85" w:rsidRDefault="00884E85" w:rsidP="00884E85">
    <w:pPr>
      <w:pStyle w:val="Footer"/>
      <w:rPr>
        <w:rFonts w:ascii="Arial" w:hAnsi="Arial" w:cs="Arial"/>
        <w:b/>
        <w:sz w:val="48"/>
      </w:rPr>
    </w:pPr>
    <w:r w:rsidRPr="00884E85">
      <w:rPr>
        <w:rFonts w:ascii="Arial" w:hAnsi="Arial" w:cs="Arial"/>
        <w:b/>
        <w:sz w:val="48"/>
      </w:rPr>
      <w:t>DA</w:t>
    </w:r>
    <w:r w:rsidRPr="00884E85">
      <w:rPr>
        <w:rFonts w:ascii="Arial" w:hAnsi="Arial" w:cs="Arial"/>
        <w:b/>
        <w:sz w:val="48"/>
      </w:rPr>
      <w:tab/>
    </w:r>
    <w:r w:rsidRPr="00884E85">
      <w:rPr>
        <w:rFonts w:ascii="Arial" w:hAnsi="Arial" w:cs="Arial"/>
        <w:b/>
        <w:sz w:val="48"/>
      </w:rPr>
      <w:tab/>
    </w:r>
    <w:r w:rsidRPr="00884E85">
      <w:tab/>
    </w:r>
    <w:r w:rsidRPr="00884E85">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E85" w:rsidRPr="00884E85" w:rsidRDefault="00884E85" w:rsidP="00884E85">
    <w:pPr>
      <w:pStyle w:val="Footer"/>
      <w:rPr>
        <w:rFonts w:ascii="Arial" w:hAnsi="Arial" w:cs="Arial"/>
        <w:b/>
        <w:sz w:val="48"/>
      </w:rPr>
    </w:pPr>
    <w:r w:rsidRPr="00884E85">
      <w:rPr>
        <w:rFonts w:ascii="Arial" w:hAnsi="Arial" w:cs="Arial"/>
        <w:b/>
        <w:sz w:val="48"/>
      </w:rPr>
      <w:t>DA</w:t>
    </w:r>
    <w:r w:rsidRPr="00884E85">
      <w:rPr>
        <w:rFonts w:ascii="Arial" w:hAnsi="Arial" w:cs="Arial"/>
        <w:b/>
        <w:sz w:val="48"/>
      </w:rPr>
      <w:tab/>
    </w:r>
    <w:r>
      <w:fldChar w:fldCharType="begin"/>
    </w:r>
    <w:r>
      <w:instrText xml:space="preserve"> PAGE  \* MERGEFORMAT </w:instrText>
    </w:r>
    <w:r>
      <w:fldChar w:fldCharType="separate"/>
    </w:r>
    <w:r w:rsidR="00656D8B">
      <w:rPr>
        <w:noProof/>
      </w:rPr>
      <w:t>5</w:t>
    </w:r>
    <w:r>
      <w:fldChar w:fldCharType="end"/>
    </w:r>
    <w:r>
      <w:tab/>
    </w:r>
    <w:r w:rsidRPr="00884E85">
      <w:tab/>
    </w:r>
    <w:r w:rsidRPr="00884E85">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E85" w:rsidRPr="00884E85" w:rsidRDefault="00884E85" w:rsidP="00884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BF2830" w:rsidRDefault="003C122C" w:rsidP="003C122C">
      <w:pPr>
        <w:pStyle w:val="FootnoteText"/>
      </w:pPr>
      <w:r>
        <w:rPr>
          <w:rStyle w:val="FootnoteReference"/>
        </w:rPr>
        <w:footnoteRef/>
      </w:r>
      <w:r w:rsidRPr="00BF2830">
        <w:tab/>
        <w:t>EUT L 176 af 27.6.2013, s. 1.</w:t>
      </w:r>
    </w:p>
  </w:footnote>
  <w:footnote w:id="2">
    <w:p w:rsidR="007067A9" w:rsidRPr="00BF2830" w:rsidRDefault="007067A9" w:rsidP="007067A9">
      <w:pPr>
        <w:pStyle w:val="FootnoteText"/>
      </w:pPr>
      <w:r>
        <w:rPr>
          <w:rStyle w:val="FootnoteReference"/>
        </w:rPr>
        <w:footnoteRef/>
      </w:r>
      <w:r w:rsidRPr="00BF2830">
        <w:tab/>
        <w:t>Kommissionens gennemførelsesforordning (EU) 2021/637 af 15. marts 2021 om gennemførelsesmæssige tekniske standarder vedrørende institutters offentliggørelse af de oplysninger, der er omhandlet i ottende del, afsnit II og III, i Europa-Parlamentets og Rådets forordning (EU) nr. 575/2013, og om ophævelse af Kommissionens gennemførelsesforordning (EU) nr. 1423/2013, Kommissionens delegerede forordning (EU) 2015/1555, Kommissionens gennemførelsesforordning (EU) 2016/200 og Kommissionens delegerede forordning (EU) 2017/2295 (EUT L 136 af 21.4.2021, s. 1).</w:t>
      </w:r>
    </w:p>
  </w:footnote>
  <w:footnote w:id="3">
    <w:p w:rsidR="007067A9" w:rsidRPr="00BF2830" w:rsidRDefault="007067A9" w:rsidP="007067A9">
      <w:pPr>
        <w:pStyle w:val="FootnoteText"/>
      </w:pPr>
      <w:r>
        <w:rPr>
          <w:rStyle w:val="FootnoteReference"/>
        </w:rPr>
        <w:footnoteRef/>
      </w:r>
      <w:r w:rsidRPr="00BF2830">
        <w:tab/>
        <w:t>Europa-Parlamentets og Rådets forordning (EU) 2019/876 af 20. maj 2019 om ændring af forordning (EU) nr. 575/2013 for så vidt angår gearingsgrad, net stable funding ratio, krav til kapitalgrundlag og nedskrivningsrelevante passiver, modpartskreditrisiko, markedsrisiko, eksponeringer mod centrale modparter, eksponeringer mod kollektive investeringsordninger, store eksponeringer og indberetnings- og oplysningskrav, og forordning (EU) nr. 648/2012 (EUT L 150 af 7.6.2019, s. 1).</w:t>
      </w:r>
    </w:p>
  </w:footnote>
  <w:footnote w:id="4">
    <w:p w:rsidR="00410340" w:rsidRPr="00BF2830" w:rsidRDefault="00410340" w:rsidP="008B3E83">
      <w:pPr>
        <w:pStyle w:val="FootnoteText"/>
      </w:pPr>
      <w:r>
        <w:rPr>
          <w:rStyle w:val="FootnoteReference"/>
        </w:rPr>
        <w:footnoteRef/>
      </w:r>
      <w:r w:rsidRPr="00BF2830">
        <w:tab/>
        <w:t>Europa-Parlamentets og Rådets forordning (EU) 2020/852 af 18. juni 2020 om fastlæggelse af en ramme til fremme af bæredygtige investeringer og om ændring af forordning (EU) 2019/2088 (</w:t>
      </w:r>
      <w:r w:rsidRPr="00BF2830">
        <w:rPr>
          <w:rStyle w:val="Emphasis"/>
          <w:i w:val="0"/>
        </w:rPr>
        <w:t>EUT L 198 af 22.6.2020, s. 13).</w:t>
      </w:r>
    </w:p>
  </w:footnote>
  <w:footnote w:id="5">
    <w:p w:rsidR="00410340" w:rsidRPr="00BF2830" w:rsidRDefault="00410340" w:rsidP="008B3E83">
      <w:pPr>
        <w:pStyle w:val="FootnoteText"/>
        <w:rPr>
          <w:i/>
        </w:rPr>
      </w:pPr>
      <w:r>
        <w:rPr>
          <w:rStyle w:val="FootnoteReference"/>
        </w:rPr>
        <w:footnoteRef/>
      </w:r>
      <w:r w:rsidRPr="00BF2830">
        <w:tab/>
        <w:t>Kommissionens delegerede forordning (EU) 2020/1818 af 17. juli 2020 om supplerende regler til Europa-Parlamentets og Rådets forordning (EU) 2016/1011 for så vidt angår minimumsstandarderne for EU-benchmarks for klimaovergangen og Paristilpassede EU-benchmarks (</w:t>
      </w:r>
      <w:r w:rsidRPr="00BF2830">
        <w:rPr>
          <w:rStyle w:val="Emphasis"/>
          <w:i w:val="0"/>
        </w:rPr>
        <w:t>EUT L 406 af 3.12.2020, s. 17).</w:t>
      </w:r>
    </w:p>
  </w:footnote>
  <w:footnote w:id="6">
    <w:p w:rsidR="00410340" w:rsidRPr="00BF2830" w:rsidRDefault="00410340" w:rsidP="008B3E83">
      <w:pPr>
        <w:pStyle w:val="FootnoteText"/>
        <w:rPr>
          <w:color w:val="444444"/>
        </w:rPr>
      </w:pPr>
      <w:r>
        <w:rPr>
          <w:rStyle w:val="FootnoteReference"/>
        </w:rPr>
        <w:footnoteRef/>
      </w:r>
      <w:r w:rsidRPr="00BF2830">
        <w:tab/>
        <w:t>Europa-Parlamentets og Rådets direktiv 2010/31/EU af 19. maj 2010 om bygningers energimæssige ydeevne (</w:t>
      </w:r>
      <w:r w:rsidRPr="00BF2830">
        <w:rPr>
          <w:rStyle w:val="Emphasis"/>
          <w:i w:val="0"/>
        </w:rPr>
        <w:t>EUT L 153 af 18.6.2010, s. 13).</w:t>
      </w:r>
    </w:p>
  </w:footnote>
  <w:footnote w:id="7">
    <w:p w:rsidR="00135CD4" w:rsidRPr="00BF2830" w:rsidRDefault="00135CD4" w:rsidP="00135CD4">
      <w:pPr>
        <w:pStyle w:val="FootnoteText"/>
      </w:pPr>
      <w:r>
        <w:rPr>
          <w:rStyle w:val="FootnoteReference"/>
        </w:rPr>
        <w:footnoteRef/>
      </w:r>
      <w:r w:rsidRPr="00BF2830">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8">
    <w:p w:rsidR="00410340" w:rsidRPr="00BF2830" w:rsidRDefault="00410340" w:rsidP="00410340">
      <w:pPr>
        <w:pStyle w:val="FootnoteText"/>
      </w:pPr>
      <w:r>
        <w:rPr>
          <w:rStyle w:val="FootnoteReference"/>
        </w:rPr>
        <w:footnoteRef/>
      </w:r>
      <w:r w:rsidRPr="00BF2830">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1"/>
  </w:num>
  <w:num w:numId="14">
    <w:abstractNumId w:val="13"/>
  </w:num>
  <w:num w:numId="15">
    <w:abstractNumId w:val="23"/>
  </w:num>
  <w:num w:numId="16">
    <w:abstractNumId w:val="11"/>
  </w:num>
  <w:num w:numId="17">
    <w:abstractNumId w:val="14"/>
  </w:num>
  <w:num w:numId="18">
    <w:abstractNumId w:val="15"/>
  </w:num>
  <w:num w:numId="19">
    <w:abstractNumId w:val="9"/>
  </w:num>
  <w:num w:numId="20">
    <w:abstractNumId w:val="22"/>
  </w:num>
  <w:num w:numId="21">
    <w:abstractNumId w:val="8"/>
  </w:num>
  <w:num w:numId="22">
    <w:abstractNumId w:val="16"/>
  </w:num>
  <w:num w:numId="23">
    <w:abstractNumId w:val="19"/>
  </w:num>
  <w:num w:numId="24">
    <w:abstractNumId w:val="20"/>
  </w:num>
  <w:num w:numId="25">
    <w:abstractNumId w:val="10"/>
  </w:num>
  <w:num w:numId="26">
    <w:abstractNumId w:val="18"/>
  </w:num>
  <w:num w:numId="27">
    <w:abstractNumId w:val="24"/>
  </w:num>
  <w:num w:numId="28">
    <w:abstractNumId w:val="21"/>
  </w:num>
  <w:num w:numId="29">
    <w:abstractNumId w:val="13"/>
  </w:num>
  <w:num w:numId="30">
    <w:abstractNumId w:val="23"/>
  </w:num>
  <w:num w:numId="31">
    <w:abstractNumId w:val="11"/>
  </w:num>
  <w:num w:numId="32">
    <w:abstractNumId w:val="14"/>
  </w:num>
  <w:num w:numId="33">
    <w:abstractNumId w:val="15"/>
  </w:num>
  <w:num w:numId="34">
    <w:abstractNumId w:val="9"/>
  </w:num>
  <w:num w:numId="35">
    <w:abstractNumId w:val="22"/>
  </w:num>
  <w:num w:numId="36">
    <w:abstractNumId w:val="8"/>
  </w:num>
  <w:num w:numId="37">
    <w:abstractNumId w:val="16"/>
  </w:num>
  <w:num w:numId="38">
    <w:abstractNumId w:val="19"/>
  </w:num>
  <w:num w:numId="39">
    <w:abstractNumId w:val="20"/>
  </w:num>
  <w:num w:numId="40">
    <w:abstractNumId w:val="10"/>
  </w:num>
  <w:num w:numId="41">
    <w:abstractNumId w:val="18"/>
  </w:num>
  <w:num w:numId="42">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a-DK" w:vendorID="64" w:dllVersion="131078" w:nlCheck="1" w:checkStyle="0"/>
  <w:attachedTemplate r:id="rId1"/>
  <w:revisionView w:markup="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28"/>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CA3ACC6-6963-402C-8115-FB78A27FFF54"/>
    <w:docVar w:name="LW_COVERPAGE_TYPE" w:val="1"/>
    <w:docVar w:name="LW_CROSSREFERENCE" w:val="&lt;UNUSED&gt;"/>
    <w:docVar w:name="LW_DATE.ADOPT.CP" w:val="af 30.11.2022"/>
    <w:docVar w:name="LW_DATE.ADOPT.CP_DATEFORMAT" w:val="af %DATE%"/>
    <w:docVar w:name="LW_DATE.ADOPT.CP_ISODATE" w:val="2022-11-30"/>
    <w:docVar w:name="LW_DocType" w:val="COM"/>
    <w:docVar w:name="LW_EMISSION" w:val="30.11.2022"/>
    <w:docVar w:name="LW_EMISSION_ISODATE" w:val="2022-11-30"/>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ændring af de gennemførelsesmæssige tekniske standarder i gennemførelsesforordning (EU) 2021/637 for så vidt angår offentliggørelse af miljømæssige, sociale og ledelsesmæssige risici _x000b_"/>
    <w:docVar w:name="LW_TYPE.DOC.CP" w:val="KOMMISSIONENS GENNEMFØRELSESFORORDNING (EU)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4313"/>
    <w:rsid w:val="002C526A"/>
    <w:rsid w:val="002D1236"/>
    <w:rsid w:val="002D462D"/>
    <w:rsid w:val="002E6EC7"/>
    <w:rsid w:val="00301900"/>
    <w:rsid w:val="00303A4B"/>
    <w:rsid w:val="00315015"/>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16A45"/>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30C7"/>
    <w:rsid w:val="00635568"/>
    <w:rsid w:val="00635A91"/>
    <w:rsid w:val="00643DD1"/>
    <w:rsid w:val="006542E5"/>
    <w:rsid w:val="00656D8B"/>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84E85"/>
    <w:rsid w:val="008968D2"/>
    <w:rsid w:val="008B3E83"/>
    <w:rsid w:val="008B4EA1"/>
    <w:rsid w:val="008B6B70"/>
    <w:rsid w:val="008B7323"/>
    <w:rsid w:val="008C6F3B"/>
    <w:rsid w:val="008C705E"/>
    <w:rsid w:val="008D169C"/>
    <w:rsid w:val="008D2E23"/>
    <w:rsid w:val="008D5019"/>
    <w:rsid w:val="008E08C7"/>
    <w:rsid w:val="008E3065"/>
    <w:rsid w:val="008E44ED"/>
    <w:rsid w:val="008E7033"/>
    <w:rsid w:val="008E7D06"/>
    <w:rsid w:val="00905BE0"/>
    <w:rsid w:val="009118DD"/>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0DBD"/>
    <w:rsid w:val="00B667EA"/>
    <w:rsid w:val="00B75C81"/>
    <w:rsid w:val="00B76A3B"/>
    <w:rsid w:val="00B8705E"/>
    <w:rsid w:val="00B87C8F"/>
    <w:rsid w:val="00B90FD9"/>
    <w:rsid w:val="00B94522"/>
    <w:rsid w:val="00BB6E75"/>
    <w:rsid w:val="00BC21DD"/>
    <w:rsid w:val="00BE1E9F"/>
    <w:rsid w:val="00BE246D"/>
    <w:rsid w:val="00BF0A20"/>
    <w:rsid w:val="00BF17AA"/>
    <w:rsid w:val="00BF2830"/>
    <w:rsid w:val="00BF7813"/>
    <w:rsid w:val="00C0016D"/>
    <w:rsid w:val="00C24556"/>
    <w:rsid w:val="00C250DE"/>
    <w:rsid w:val="00C274B1"/>
    <w:rsid w:val="00C30A6B"/>
    <w:rsid w:val="00C32BCD"/>
    <w:rsid w:val="00C35B7A"/>
    <w:rsid w:val="00C436F2"/>
    <w:rsid w:val="00C43ADB"/>
    <w:rsid w:val="00C55C47"/>
    <w:rsid w:val="00C563F0"/>
    <w:rsid w:val="00C64D28"/>
    <w:rsid w:val="00C72EBC"/>
    <w:rsid w:val="00C73950"/>
    <w:rsid w:val="00C80003"/>
    <w:rsid w:val="00C90F4B"/>
    <w:rsid w:val="00C96986"/>
    <w:rsid w:val="00CA5E0A"/>
    <w:rsid w:val="00CA6131"/>
    <w:rsid w:val="00CB3840"/>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336FF"/>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32B52"/>
    <w:rsid w:val="00F45E0C"/>
    <w:rsid w:val="00F50B69"/>
    <w:rsid w:val="00F8179F"/>
    <w:rsid w:val="00F82E44"/>
    <w:rsid w:val="00F874AE"/>
    <w:rsid w:val="00F87C92"/>
    <w:rsid w:val="00F90B4C"/>
    <w:rsid w:val="00F93470"/>
    <w:rsid w:val="00FA40AE"/>
    <w:rsid w:val="00FB5D02"/>
    <w:rsid w:val="00FC42BE"/>
    <w:rsid w:val="00FD14DB"/>
    <w:rsid w:val="00FF0701"/>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a-DK"/>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da-DK"/>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da-DK"/>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2"/>
      </w:numPr>
      <w:spacing w:line="360" w:lineRule="auto"/>
    </w:pPr>
  </w:style>
  <w:style w:type="paragraph" w:customStyle="1" w:styleId="LegalNumPar2">
    <w:name w:val="LegalNumPar2"/>
    <w:basedOn w:val="Normal"/>
    <w:rsid w:val="008C6F3B"/>
    <w:pPr>
      <w:numPr>
        <w:ilvl w:val="1"/>
        <w:numId w:val="12"/>
      </w:numPr>
      <w:spacing w:line="360" w:lineRule="auto"/>
    </w:pPr>
  </w:style>
  <w:style w:type="paragraph" w:customStyle="1" w:styleId="LegalNumPar3">
    <w:name w:val="LegalNumPar3"/>
    <w:basedOn w:val="Normal"/>
    <w:rsid w:val="008C6F3B"/>
    <w:pPr>
      <w:numPr>
        <w:ilvl w:val="2"/>
        <w:numId w:val="12"/>
      </w:numPr>
      <w:spacing w:line="360" w:lineRule="auto"/>
    </w:pPr>
  </w:style>
  <w:style w:type="paragraph" w:styleId="Header">
    <w:name w:val="header"/>
    <w:basedOn w:val="Normal"/>
    <w:link w:val="HeaderChar"/>
    <w:uiPriority w:val="99"/>
    <w:unhideWhenUsed/>
    <w:rsid w:val="00884E85"/>
    <w:pPr>
      <w:tabs>
        <w:tab w:val="center" w:pos="4535"/>
        <w:tab w:val="right" w:pos="9071"/>
      </w:tabs>
      <w:spacing w:before="0"/>
    </w:pPr>
  </w:style>
  <w:style w:type="character" w:customStyle="1" w:styleId="HeaderChar">
    <w:name w:val="Header Char"/>
    <w:basedOn w:val="DefaultParagraphFont"/>
    <w:link w:val="Header"/>
    <w:uiPriority w:val="99"/>
    <w:rsid w:val="00884E85"/>
    <w:rPr>
      <w:rFonts w:ascii="Times New Roman" w:hAnsi="Times New Roman" w:cs="Times New Roman"/>
      <w:sz w:val="24"/>
      <w:lang w:val="da-DK"/>
    </w:rPr>
  </w:style>
  <w:style w:type="paragraph" w:styleId="Footer">
    <w:name w:val="footer"/>
    <w:basedOn w:val="Normal"/>
    <w:link w:val="FooterChar"/>
    <w:uiPriority w:val="99"/>
    <w:unhideWhenUsed/>
    <w:rsid w:val="00884E8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84E85"/>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884E85"/>
    <w:pPr>
      <w:tabs>
        <w:tab w:val="center" w:pos="7285"/>
        <w:tab w:val="right" w:pos="14003"/>
      </w:tabs>
      <w:spacing w:before="0"/>
    </w:pPr>
  </w:style>
  <w:style w:type="paragraph" w:customStyle="1" w:styleId="FooterLandscape">
    <w:name w:val="FooterLandscape"/>
    <w:basedOn w:val="Normal"/>
    <w:rsid w:val="00884E8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84E8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84E85"/>
    <w:pPr>
      <w:spacing w:before="0"/>
      <w:jc w:val="right"/>
    </w:pPr>
    <w:rPr>
      <w:sz w:val="28"/>
    </w:rPr>
  </w:style>
  <w:style w:type="paragraph" w:customStyle="1" w:styleId="FooterSensitivity">
    <w:name w:val="Footer Sensitivity"/>
    <w:basedOn w:val="Normal"/>
    <w:rsid w:val="00884E8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8"/>
      </w:numPr>
    </w:pPr>
  </w:style>
  <w:style w:type="paragraph" w:customStyle="1" w:styleId="Tiret1">
    <w:name w:val="Tiret 1"/>
    <w:basedOn w:val="Point1"/>
    <w:pPr>
      <w:numPr>
        <w:numId w:val="29"/>
      </w:numPr>
    </w:pPr>
  </w:style>
  <w:style w:type="paragraph" w:customStyle="1" w:styleId="Tiret2">
    <w:name w:val="Tiret 2"/>
    <w:basedOn w:val="Point2"/>
    <w:pPr>
      <w:numPr>
        <w:numId w:val="30"/>
      </w:numPr>
    </w:pPr>
  </w:style>
  <w:style w:type="paragraph" w:customStyle="1" w:styleId="Tiret3">
    <w:name w:val="Tiret 3"/>
    <w:basedOn w:val="Point3"/>
    <w:pPr>
      <w:numPr>
        <w:numId w:val="31"/>
      </w:numPr>
    </w:pPr>
  </w:style>
  <w:style w:type="paragraph" w:customStyle="1" w:styleId="Tiret4">
    <w:name w:val="Tiret 4"/>
    <w:basedOn w:val="Point4"/>
    <w:pPr>
      <w:numPr>
        <w:numId w:val="32"/>
      </w:numPr>
    </w:pPr>
  </w:style>
  <w:style w:type="paragraph" w:customStyle="1" w:styleId="Tiret5">
    <w:name w:val="Tiret 5"/>
    <w:basedOn w:val="Point5"/>
    <w:pPr>
      <w:numPr>
        <w:numId w:val="3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4"/>
      </w:numPr>
    </w:pPr>
  </w:style>
  <w:style w:type="paragraph" w:customStyle="1" w:styleId="NumPar2">
    <w:name w:val="NumPar 2"/>
    <w:basedOn w:val="Normal"/>
    <w:next w:val="Text1"/>
    <w:pPr>
      <w:numPr>
        <w:ilvl w:val="1"/>
        <w:numId w:val="34"/>
      </w:numPr>
    </w:pPr>
  </w:style>
  <w:style w:type="paragraph" w:customStyle="1" w:styleId="NumPar3">
    <w:name w:val="NumPar 3"/>
    <w:basedOn w:val="Normal"/>
    <w:next w:val="Text1"/>
    <w:pPr>
      <w:numPr>
        <w:ilvl w:val="2"/>
        <w:numId w:val="34"/>
      </w:numPr>
    </w:pPr>
  </w:style>
  <w:style w:type="paragraph" w:customStyle="1" w:styleId="NumPar4">
    <w:name w:val="NumPar 4"/>
    <w:basedOn w:val="Normal"/>
    <w:next w:val="Text1"/>
    <w:pPr>
      <w:numPr>
        <w:ilvl w:val="3"/>
        <w:numId w:val="34"/>
      </w:numPr>
    </w:pPr>
  </w:style>
  <w:style w:type="paragraph" w:customStyle="1" w:styleId="NumPar5">
    <w:name w:val="NumPar 5"/>
    <w:basedOn w:val="Normal"/>
    <w:next w:val="Text2"/>
    <w:pPr>
      <w:numPr>
        <w:ilvl w:val="4"/>
        <w:numId w:val="34"/>
      </w:numPr>
    </w:pPr>
  </w:style>
  <w:style w:type="paragraph" w:customStyle="1" w:styleId="NumPar6">
    <w:name w:val="NumPar 6"/>
    <w:basedOn w:val="Normal"/>
    <w:next w:val="Text2"/>
    <w:pPr>
      <w:numPr>
        <w:ilvl w:val="5"/>
        <w:numId w:val="34"/>
      </w:numPr>
    </w:pPr>
  </w:style>
  <w:style w:type="paragraph" w:customStyle="1" w:styleId="NumPar7">
    <w:name w:val="NumPar 7"/>
    <w:basedOn w:val="Normal"/>
    <w:next w:val="Text2"/>
    <w:pPr>
      <w:numPr>
        <w:ilvl w:val="6"/>
        <w:numId w:val="3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sid w:val="00E336FF"/>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6"/>
      </w:numPr>
    </w:pPr>
  </w:style>
  <w:style w:type="paragraph" w:customStyle="1" w:styleId="Point1number">
    <w:name w:val="Point 1 (number)"/>
    <w:basedOn w:val="Normal"/>
    <w:pPr>
      <w:numPr>
        <w:ilvl w:val="2"/>
        <w:numId w:val="36"/>
      </w:numPr>
    </w:pPr>
  </w:style>
  <w:style w:type="paragraph" w:customStyle="1" w:styleId="Point2number">
    <w:name w:val="Point 2 (number)"/>
    <w:basedOn w:val="Normal"/>
    <w:pPr>
      <w:numPr>
        <w:ilvl w:val="4"/>
        <w:numId w:val="36"/>
      </w:numPr>
    </w:pPr>
  </w:style>
  <w:style w:type="paragraph" w:customStyle="1" w:styleId="Point3number">
    <w:name w:val="Point 3 (number)"/>
    <w:basedOn w:val="Normal"/>
    <w:pPr>
      <w:numPr>
        <w:ilvl w:val="6"/>
        <w:numId w:val="36"/>
      </w:numPr>
    </w:pPr>
  </w:style>
  <w:style w:type="paragraph" w:customStyle="1" w:styleId="Point0letter">
    <w:name w:val="Point 0 (letter)"/>
    <w:basedOn w:val="Normal"/>
    <w:pPr>
      <w:numPr>
        <w:ilvl w:val="1"/>
        <w:numId w:val="36"/>
      </w:numPr>
    </w:pPr>
  </w:style>
  <w:style w:type="paragraph" w:customStyle="1" w:styleId="Point1letter">
    <w:name w:val="Point 1 (letter)"/>
    <w:basedOn w:val="Normal"/>
    <w:pPr>
      <w:numPr>
        <w:ilvl w:val="3"/>
        <w:numId w:val="36"/>
      </w:numPr>
    </w:pPr>
  </w:style>
  <w:style w:type="paragraph" w:customStyle="1" w:styleId="Point2letter">
    <w:name w:val="Point 2 (letter)"/>
    <w:basedOn w:val="Normal"/>
    <w:pPr>
      <w:numPr>
        <w:ilvl w:val="5"/>
        <w:numId w:val="36"/>
      </w:numPr>
    </w:pPr>
  </w:style>
  <w:style w:type="paragraph" w:customStyle="1" w:styleId="Point3letter">
    <w:name w:val="Point 3 (letter)"/>
    <w:basedOn w:val="Normal"/>
    <w:pPr>
      <w:numPr>
        <w:ilvl w:val="7"/>
        <w:numId w:val="36"/>
      </w:numPr>
    </w:pPr>
  </w:style>
  <w:style w:type="paragraph" w:customStyle="1" w:styleId="Point4letter">
    <w:name w:val="Point 4 (letter)"/>
    <w:basedOn w:val="Normal"/>
    <w:pPr>
      <w:numPr>
        <w:ilvl w:val="8"/>
        <w:numId w:val="36"/>
      </w:numPr>
    </w:pPr>
  </w:style>
  <w:style w:type="paragraph" w:customStyle="1" w:styleId="Bullet0">
    <w:name w:val="Bullet 0"/>
    <w:basedOn w:val="Normal"/>
    <w:pPr>
      <w:numPr>
        <w:numId w:val="37"/>
      </w:numPr>
    </w:pPr>
  </w:style>
  <w:style w:type="paragraph" w:customStyle="1" w:styleId="Bullet1">
    <w:name w:val="Bullet 1"/>
    <w:basedOn w:val="Normal"/>
    <w:pPr>
      <w:numPr>
        <w:numId w:val="38"/>
      </w:numPr>
    </w:pPr>
  </w:style>
  <w:style w:type="paragraph" w:customStyle="1" w:styleId="Bullet2">
    <w:name w:val="Bullet 2"/>
    <w:basedOn w:val="Normal"/>
    <w:pPr>
      <w:numPr>
        <w:numId w:val="39"/>
      </w:numPr>
    </w:pPr>
  </w:style>
  <w:style w:type="paragraph" w:customStyle="1" w:styleId="Bullet3">
    <w:name w:val="Bullet 3"/>
    <w:basedOn w:val="Normal"/>
    <w:pPr>
      <w:numPr>
        <w:numId w:val="40"/>
      </w:numPr>
    </w:pPr>
  </w:style>
  <w:style w:type="paragraph" w:customStyle="1" w:styleId="Bullet4">
    <w:name w:val="Bullet 4"/>
    <w:basedOn w:val="Normal"/>
    <w:pPr>
      <w:numPr>
        <w:numId w:val="4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11099-CE67-40E6-8315-547E7812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8</TotalTime>
  <Pages>6</Pages>
  <Words>1647</Words>
  <Characters>10498</Characters>
  <Application>Microsoft Office Word</Application>
  <DocSecurity>0</DocSecurity>
  <Lines>181</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51</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