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2F5B19"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2F5B19" w:rsidR="005B3658" w:rsidTr="00C21D94" w14:paraId="3170F2D8" w14:textId="77777777">
            <w:tc>
              <w:tcPr>
                <w:tcW w:w="3969" w:type="dxa"/>
                <w:tcBorders>
                  <w:bottom w:val="single" w:color="A6A6A6" w:themeColor="background1" w:themeShade="A6" w:sz="4" w:space="0"/>
                </w:tcBorders>
                <w:shd w:val="clear" w:color="auto" w:fill="auto"/>
              </w:tcPr>
              <w:p w:rsidRPr="002F5B19" w:rsidR="005B3658" w:rsidP="005B3658" w:rsidRDefault="005B3658" w14:paraId="6AAE07DF" w14:textId="68AAD688">
                <w:r w:rsidRPr="002F5B19">
                  <w:t>EBA/GL/2020/14</w:t>
                </w:r>
                <w:r w:rsidR="00C21D94">
                  <w:t xml:space="preserve"> </w:t>
                </w:r>
                <w:r w:rsidRPr="00C21D94" w:rsidR="00C21D94">
                  <w:t>(tekst skonsolidowany)</w:t>
                </w:r>
              </w:p>
            </w:tc>
          </w:tr>
          <w:tr w:rsidRPr="002F5B19" w:rsidR="005B3658" w:rsidTr="00C21D94"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2F5B19" w:rsidR="005B3658" w:rsidP="005B3658" w:rsidRDefault="005B3658" w14:paraId="55211379" w14:textId="73FFF2EB">
                <w:r w:rsidRPr="002F5B19">
                  <w:rPr>
                    <w:color w:val="000000"/>
                  </w:rPr>
                  <w:t>4 listopada 2020 r.</w:t>
                </w:r>
              </w:p>
            </w:tc>
          </w:tr>
        </w:tbl>
        <w:p w:rsidRPr="002F5B19"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2F5B19"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CF4ED6" w:rsidP="00CF4ED6" w:rsidRDefault="00CF4ED6" w14:paraId="1C24BE56"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2F5B19" w:rsidR="00B43E07" w:rsidP="00721D07" w:rsidRDefault="00A81586" w14:paraId="6E80AD78" w14:textId="4F6E9052">
                <w:pPr>
                  <w:pStyle w:val="Contenttitle"/>
                </w:pPr>
                <w:r w:rsidRPr="002F5B19">
                  <w:t xml:space="preserve">Wytyczne </w:t>
                </w:r>
              </w:p>
            </w:tc>
          </w:tr>
          <w:tr w:rsidRPr="002F5B19" w:rsidR="00B43E07" w:rsidTr="00993B1E" w14:paraId="15A7E3AC" w14:textId="77777777">
            <w:tc>
              <w:tcPr>
                <w:tcW w:w="8781" w:type="dxa"/>
                <w:tcMar>
                  <w:left w:w="0" w:type="dxa"/>
                  <w:right w:w="0" w:type="dxa"/>
                </w:tcMar>
                <w:vAlign w:val="top"/>
              </w:tcPr>
              <w:p w:rsidRPr="00DD05C0" w:rsidR="00B43E07" w:rsidP="00E410F0" w:rsidRDefault="00B43E07" w14:paraId="0720F01B" w14:textId="502EF582">
                <w:pPr>
                  <w:pStyle w:val="Titlelevel4"/>
                  <w:rPr>
                    <w:lang w:val="pl-PL"/>
                  </w:rPr>
                </w:pPr>
                <w:r w:rsidRPr="00DD05C0">
                  <w:rPr>
                    <w:rFonts w:asciiTheme="majorHAnsi" w:hAnsiTheme="majorHAnsi"/>
                    <w:bCs/>
                    <w:color w:val="2F5773" w:themeColor="text2"/>
                    <w:sz w:val="52"/>
                    <w:szCs w:val="52"/>
                    <w:lang w:val="pl-PL"/>
                  </w:rPr>
                  <w:t>w sprawie określania i ujawniania wskaźników znaczenia systemowego</w:t>
                </w:r>
              </w:p>
            </w:tc>
          </w:tr>
        </w:tbl>
        <w:p w:rsidRPr="00C21D94" w:rsidR="00B43E07" w:rsidP="00B43E07" w:rsidRDefault="00B43E07" w14:paraId="41F2A21B" w14:textId="77777777">
          <w:pPr>
            <w:rPr>
              <w:sz w:val="52"/>
              <w:szCs w:val="52"/>
            </w:rPr>
          </w:pPr>
        </w:p>
        <w:p w:rsidRPr="00C21D94" w:rsidR="00B43E07" w:rsidP="00B43E07" w:rsidRDefault="00B43E07" w14:paraId="1441AC18" w14:textId="1E73C309">
          <w:pPr>
            <w:rPr>
              <w:sz w:val="52"/>
              <w:szCs w:val="52"/>
            </w:rPr>
          </w:pPr>
        </w:p>
        <w:p w:rsidRPr="00C21D94" w:rsidR="00C21D94" w:rsidP="00B43E07" w:rsidRDefault="00C21D94" w14:paraId="5A0DF068" w14:textId="63CCB233">
          <w:pPr>
            <w:rPr>
              <w:sz w:val="52"/>
              <w:szCs w:val="52"/>
            </w:rPr>
          </w:pPr>
        </w:p>
        <w:p w:rsidRPr="00C21D94" w:rsidR="00C21D94" w:rsidP="00B43E07" w:rsidRDefault="00C21D94" w14:paraId="3EDD485C" w14:textId="4A2DD899">
          <w:pPr>
            <w:rPr>
              <w:sz w:val="52"/>
              <w:szCs w:val="52"/>
            </w:rPr>
          </w:pPr>
        </w:p>
        <w:p w:rsidR="00C21D94" w:rsidP="00B43E07" w:rsidRDefault="00C21D94" w14:paraId="5BDB43FE" w14:textId="05CC3C05"/>
        <w:tbl>
          <w:tblPr>
            <w:tblStyle w:val="EBAtable"/>
            <w:tblW w:w="9125" w:type="dxa"/>
            <w:tblLook w:val="04A0" w:firstRow="1" w:lastRow="0" w:firstColumn="1" w:lastColumn="0" w:noHBand="0" w:noVBand="1"/>
          </w:tblPr>
          <w:tblGrid>
            <w:gridCol w:w="824"/>
            <w:gridCol w:w="2190"/>
            <w:gridCol w:w="6111"/>
          </w:tblGrid>
          <w:tr w:rsidRPr="00D13DB3" w:rsidR="00C21D94" w:rsidTr="005D18C0" w14:paraId="3377C2FF"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C21D94" w:rsidP="005D18C0" w:rsidRDefault="00C21D94" w14:paraId="3E3A117E" w14:textId="77777777">
                <w:pPr>
                  <w:spacing w:before="240" w:after="120" w:line="276" w:lineRule="auto"/>
                  <w:jc w:val="both"/>
                  <w:rPr>
                    <w:rFonts w:eastAsia="MS PGothic" w:cs="Times New Roman"/>
                    <w:lang w:eastAsia="en-GB"/>
                  </w:rPr>
                </w:pPr>
              </w:p>
              <w:p w:rsidRPr="00D13DB3" w:rsidR="00C21D94" w:rsidP="005D18C0" w:rsidRDefault="00C21D94" w14:paraId="54BDF50D" w14:textId="77777777">
                <w:pPr>
                  <w:rPr>
                    <w:rFonts w:eastAsia="MS PGothic" w:cs="Times New Roman"/>
                    <w:lang w:val="en-GB" w:eastAsia="en-GB"/>
                  </w:rPr>
                </w:pPr>
              </w:p>
            </w:tc>
            <w:tc>
              <w:tcPr>
                <w:tcW w:w="6111" w:type="dxa"/>
                <w:tcBorders>
                  <w:top w:val="single" w:color="auto" w:sz="12" w:space="0"/>
                  <w:right w:val="single" w:color="auto" w:sz="12" w:space="0"/>
                </w:tcBorders>
              </w:tcPr>
              <w:p w:rsidRPr="00C21D94" w:rsidR="00C21D94" w:rsidP="00C21D94" w:rsidRDefault="00C21D94" w14:paraId="166ECB3E" w14:textId="5B2D1899">
                <w:pPr>
                  <w:rPr>
                    <w:rFonts w:ascii="Calibri" w:hAnsi="Calibri" w:cs="Calibri"/>
                    <w:color w:val="000000"/>
                    <w:szCs w:val="22"/>
                  </w:rPr>
                </w:pPr>
                <w:r>
                  <w:rPr>
                    <w:rFonts w:ascii="Calibri" w:hAnsi="Calibri" w:cs="Calibri"/>
                    <w:color w:val="000000"/>
                    <w:szCs w:val="22"/>
                  </w:rPr>
                  <w:t>Data rozpoczęcia stosowania</w:t>
                </w:r>
              </w:p>
            </w:tc>
          </w:tr>
          <w:tr w:rsidRPr="00D13DB3" w:rsidR="00C21D94" w:rsidTr="005D18C0" w14:paraId="3204FCD3" w14:textId="77777777">
            <w:trPr>
              <w:trHeight w:val="300"/>
            </w:trPr>
            <w:tc>
              <w:tcPr>
                <w:tcW w:w="3014" w:type="dxa"/>
                <w:gridSpan w:val="2"/>
                <w:tcBorders>
                  <w:left w:val="single" w:color="auto" w:sz="12" w:space="0"/>
                </w:tcBorders>
              </w:tcPr>
              <w:p w:rsidRPr="00D13DB3" w:rsidR="00C21D94" w:rsidP="005D18C0" w:rsidRDefault="00C21D94" w14:paraId="14807054"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C21D94" w:rsidP="005D18C0" w:rsidRDefault="00C21D94" w14:paraId="1E620921"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C21D94" w:rsidTr="005D18C0" w14:paraId="2390899B" w14:textId="77777777">
            <w:trPr>
              <w:trHeight w:val="300"/>
            </w:trPr>
            <w:tc>
              <w:tcPr>
                <w:tcW w:w="3014" w:type="dxa"/>
                <w:gridSpan w:val="2"/>
                <w:tcBorders>
                  <w:left w:val="single" w:color="auto" w:sz="12" w:space="0"/>
                </w:tcBorders>
              </w:tcPr>
              <w:p w:rsidRPr="00C21D94" w:rsidR="00C21D94" w:rsidP="00C21D94" w:rsidRDefault="00C21D94" w14:paraId="0463E939" w14:textId="7A66D739">
                <w:pPr>
                  <w:rPr>
                    <w:rFonts w:ascii="Calibri" w:hAnsi="Calibri" w:cs="Calibri"/>
                    <w:color w:val="000000"/>
                    <w:szCs w:val="22"/>
                  </w:rPr>
                </w:pPr>
                <w:r>
                  <w:rPr>
                    <w:rFonts w:ascii="Calibri" w:hAnsi="Calibri" w:cs="Calibri"/>
                    <w:color w:val="000000"/>
                    <w:szCs w:val="22"/>
                  </w:rPr>
                  <w:t>zmienione:</w:t>
                </w:r>
              </w:p>
            </w:tc>
            <w:tc>
              <w:tcPr>
                <w:tcW w:w="6111" w:type="dxa"/>
                <w:tcBorders>
                  <w:right w:val="single" w:color="auto" w:sz="12" w:space="0"/>
                </w:tcBorders>
              </w:tcPr>
              <w:p w:rsidRPr="00D13DB3" w:rsidR="00C21D94" w:rsidP="005D18C0" w:rsidRDefault="00C21D94" w14:paraId="07F6D686" w14:textId="77777777">
                <w:pPr>
                  <w:rPr>
                    <w:rFonts w:eastAsia="MS PGothic" w:cs="Times New Roman"/>
                    <w:lang w:val="en-GB" w:eastAsia="en-GB"/>
                  </w:rPr>
                </w:pPr>
              </w:p>
            </w:tc>
          </w:tr>
          <w:tr w:rsidRPr="00D13DB3" w:rsidR="00C21D94" w:rsidTr="005D18C0" w14:paraId="19358034" w14:textId="77777777">
            <w:trPr>
              <w:trHeight w:val="58"/>
            </w:trPr>
            <w:tc>
              <w:tcPr>
                <w:tcW w:w="824" w:type="dxa"/>
                <w:tcBorders>
                  <w:left w:val="single" w:color="auto" w:sz="12" w:space="0"/>
                  <w:bottom w:val="single" w:color="auto" w:sz="12" w:space="0"/>
                </w:tcBorders>
              </w:tcPr>
              <w:p w:rsidRPr="00D13DB3" w:rsidR="00C21D94" w:rsidP="005D18C0" w:rsidRDefault="00C21D94" w14:paraId="7AFBB840"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C21D94" w:rsidP="005D18C0" w:rsidRDefault="00C21D94" w14:paraId="25D87141"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C21D94" w:rsidP="005D18C0" w:rsidRDefault="00C21D94" w14:paraId="7B7D83C8" w14:textId="77777777">
                <w:pPr>
                  <w:rPr>
                    <w:rFonts w:eastAsia="MS PGothic" w:cs="Times New Roman"/>
                    <w:lang w:val="en-GB" w:eastAsia="en-GB"/>
                  </w:rPr>
                </w:pPr>
              </w:p>
            </w:tc>
          </w:tr>
        </w:tbl>
        <w:p w:rsidRPr="002F5B19" w:rsidR="00C21D94" w:rsidP="00B43E07" w:rsidRDefault="00C21D94" w14:paraId="07275001" w14:textId="77777777"/>
        <w:p w:rsidRPr="002F5B19" w:rsidR="00B43E07" w:rsidP="00B43E07" w:rsidRDefault="00B43E07" w14:paraId="3673D6BB" w14:textId="77777777">
          <w:r w:rsidRPr="002F5B19">
            <w:br w:type="page"/>
          </w:r>
        </w:p>
      </w:sdtContent>
    </w:sdt>
    <w:p w:rsidRPr="002F5B19" w:rsidR="00B43E07" w:rsidP="002554C1" w:rsidRDefault="00B43E07" w14:paraId="72D6F5BF" w14:textId="77777777">
      <w:pPr>
        <w:pStyle w:val="Numberedtilelevel1"/>
        <w:numPr>
          <w:ilvl w:val="0"/>
          <w:numId w:val="12"/>
        </w:numPr>
      </w:pPr>
      <w:r w:rsidRPr="002F5B19">
        <w:lastRenderedPageBreak/>
        <w:t>Obowiązki dotyczące zgodności z przepisami i sprawozdawczości</w:t>
      </w:r>
    </w:p>
    <w:p w:rsidRPr="002F5B19" w:rsidR="00B43E07" w:rsidP="00B43E07" w:rsidRDefault="00B43E07" w14:paraId="3B9E826E" w14:textId="5EE3EC56">
      <w:pPr>
        <w:pStyle w:val="Titlelevel2"/>
      </w:pPr>
      <w:r w:rsidRPr="002F5B19">
        <w:t>Status niniejszych wytycznych</w:t>
      </w:r>
    </w:p>
    <w:p w:rsidRPr="002F5B19" w:rsidR="00B43E07" w:rsidP="002554C1" w:rsidRDefault="00B43E07" w14:paraId="4AFE96B1" w14:textId="11059BE4">
      <w:pPr>
        <w:pStyle w:val="body"/>
        <w:numPr>
          <w:ilvl w:val="0"/>
          <w:numId w:val="10"/>
        </w:numPr>
      </w:pPr>
      <w:r w:rsidRPr="002F5B19">
        <w:t xml:space="preserve">Niniejszy dokument zawiera wytyczne wydane na </w:t>
      </w:r>
      <w:r w:rsidR="00A6517B">
        <w:t>podstawie</w:t>
      </w:r>
      <w:r w:rsidRPr="002F5B19" w:rsidR="00A6517B">
        <w:t xml:space="preserve"> </w:t>
      </w:r>
      <w:r w:rsidRPr="002F5B19">
        <w:t>art. 16 rozporządzenia (UE) nr 1093/2010</w:t>
      </w:r>
      <w:r w:rsidRPr="002F5B19">
        <w:rPr>
          <w:rStyle w:val="FootnoteReference"/>
          <w:lang w:val="en-GB"/>
        </w:rPr>
        <w:footnoteReference w:id="2"/>
      </w:r>
      <w:r w:rsidRPr="002F5B19">
        <w:t>. Zgodnie z art. 16 ust. 3 rozporządzenia (UE) nr 1093/2010 właściwe organy i instytucje finansowe muszą dołożyć wszelkich starań, aby zastosować się do tych wytycznych.</w:t>
      </w:r>
    </w:p>
    <w:p w:rsidRPr="002F5B19" w:rsidR="00B43E07" w:rsidP="002554C1" w:rsidRDefault="00B43E07" w14:paraId="23E7F140" w14:textId="3C199993">
      <w:pPr>
        <w:pStyle w:val="body"/>
        <w:numPr>
          <w:ilvl w:val="0"/>
          <w:numId w:val="10"/>
        </w:numPr>
      </w:pPr>
      <w:r w:rsidRPr="002F5B19">
        <w:t>W</w:t>
      </w:r>
      <w:r w:rsidR="00A6517B">
        <w:t xml:space="preserve"> w</w:t>
      </w:r>
      <w:r w:rsidRPr="002F5B19">
        <w:t>ytyczn</w:t>
      </w:r>
      <w:r w:rsidR="00A6517B">
        <w:t>ych</w:t>
      </w:r>
      <w:r w:rsidRPr="002F5B19">
        <w:t xml:space="preserve"> przedstawi</w:t>
      </w:r>
      <w:r w:rsidR="00A6517B">
        <w:t>ono</w:t>
      </w:r>
      <w:r w:rsidRPr="002F5B19">
        <w:t xml:space="preserve"> stanowisko EUNB w sprawie odpowiednich praktyk nadzoru w ramach Europejskiego Systemu Nadzoru Finansowego lub tego, jak należy stosować prawo europejskie w konkretnym obszarze. Właściwe organy w rozumieniu art. 4 ust. 2 rozporządzenia (UE) nr 1093/2010, do których wytyczne mają zastosowanie, powinny stosować się do wytycznych poprzez odpowiednie włączenie ich do swoich praktyk (np. poprzez zmianę swoich ram prawnych lub procesów nadzorczych), również gdy wytyczne są skierowane przede wszystkim do instytucji.</w:t>
      </w:r>
    </w:p>
    <w:p w:rsidRPr="002F5B19" w:rsidR="00B43E07" w:rsidP="00B43E07" w:rsidRDefault="00B43E07" w14:paraId="141EDBC6" w14:textId="77777777">
      <w:pPr>
        <w:pStyle w:val="Titlelevel2"/>
      </w:pPr>
      <w:r w:rsidRPr="002F5B19">
        <w:t>Wymogi dotyczące sprawozdawczości</w:t>
      </w:r>
    </w:p>
    <w:p w:rsidRPr="002F5B19" w:rsidR="00B43E07" w:rsidP="002554C1" w:rsidRDefault="00236329" w14:paraId="7EE20541" w14:textId="00CAD476">
      <w:pPr>
        <w:pStyle w:val="body"/>
        <w:numPr>
          <w:ilvl w:val="0"/>
          <w:numId w:val="10"/>
        </w:numPr>
      </w:pPr>
      <w:r w:rsidRPr="002F5B19">
        <w:t xml:space="preserve">Zgodnie z art. 16 ust. 3 rozporządzenia (UE) nr 1093/2010 w terminie do </w:t>
      </w:r>
      <w:r w:rsidR="00942B48">
        <w:t>16.02.2021</w:t>
      </w:r>
      <w:r w:rsidRPr="002F5B19">
        <w:t xml:space="preserve"> właściwe organy muszą powiadomić EUNB, czy stosują się lub czy zamierzają zastosować się do niniejszych wytycznych, lub podać uzasadnienie niestosowania się do nich. W przypadku </w:t>
      </w:r>
      <w:r w:rsidR="00A6517B">
        <w:t xml:space="preserve">nieprzekazania przez właściwe organy </w:t>
      </w:r>
      <w:r w:rsidRPr="002F5B19">
        <w:t xml:space="preserve">informacji w tym terminie </w:t>
      </w:r>
      <w:r w:rsidR="00A6517B">
        <w:t xml:space="preserve">EUNB uzna, że </w:t>
      </w:r>
      <w:r w:rsidRPr="002F5B19">
        <w:t>właściwe organy nie</w:t>
      </w:r>
      <w:r w:rsidR="00A6517B">
        <w:t xml:space="preserve"> </w:t>
      </w:r>
      <w:r w:rsidRPr="002F5B19">
        <w:t>stosują się do niniejszych wytycznych. Informacje należy przekazać, wysyłając formularz dostępny na stronie internetowej EUNB z oznaczeniem „EBA/GL/2020/14”. Powiadomienia przekazują osoby odpowiednio upoważnione do informowania o stosowaniu się do wytycznych w imieniu swoich właściwych organów. Do EUNB należy również zgłaszać wszelkie zmiany związane ze stosowaniem się do wytycznych.</w:t>
      </w:r>
    </w:p>
    <w:p w:rsidRPr="002F5B19" w:rsidR="00B43E07" w:rsidP="002554C1" w:rsidRDefault="00B43E07" w14:paraId="3FF09602" w14:textId="563622BD">
      <w:pPr>
        <w:pStyle w:val="body"/>
        <w:numPr>
          <w:ilvl w:val="0"/>
          <w:numId w:val="10"/>
        </w:numPr>
      </w:pPr>
      <w:r w:rsidRPr="002F5B19">
        <w:t>Zgodnie z art. 16 ust. 3 przekazywane informacje publikuje się na stronie internetowej EUNB.</w:t>
      </w:r>
    </w:p>
    <w:p w:rsidRPr="002F5B19" w:rsidR="00B43E07" w:rsidP="00B43E07" w:rsidRDefault="00B43E07" w14:paraId="0BB7AD43" w14:textId="77777777">
      <w:pPr>
        <w:pStyle w:val="Titlelevel2"/>
      </w:pPr>
      <w:r w:rsidRPr="002F5B19">
        <w:br w:type="page"/>
      </w:r>
    </w:p>
    <w:p w:rsidRPr="002F5B19" w:rsidR="00B43E07" w:rsidP="00CE3517" w:rsidRDefault="00B43E07" w14:paraId="207E9159" w14:textId="77777777">
      <w:pPr>
        <w:pStyle w:val="Numberedtilelevel1"/>
      </w:pPr>
      <w:r w:rsidRPr="002F5B19">
        <w:lastRenderedPageBreak/>
        <w:t>Przedmiot, zakres stosowania i definicje</w:t>
      </w:r>
    </w:p>
    <w:p w:rsidRPr="002F5B19" w:rsidR="00B43E07" w:rsidP="00B43E07" w:rsidRDefault="00B43E07" w14:paraId="329ACB0A" w14:textId="77777777">
      <w:pPr>
        <w:pStyle w:val="Titlelevel2"/>
      </w:pPr>
      <w:r w:rsidRPr="002F5B19">
        <w:t>Przedmiot</w:t>
      </w:r>
    </w:p>
    <w:p w:rsidRPr="002F5B19" w:rsidR="00DE0FE1" w:rsidP="002554C1" w:rsidRDefault="00DE0FE1" w14:paraId="667A5E79" w14:textId="75DF9FF9">
      <w:pPr>
        <w:pStyle w:val="body"/>
        <w:numPr>
          <w:ilvl w:val="0"/>
          <w:numId w:val="10"/>
        </w:numPr>
      </w:pPr>
      <w:r w:rsidRPr="002F5B19">
        <w:t>Niniejsze wytyczne dotyczą:</w:t>
      </w:r>
    </w:p>
    <w:p w:rsidRPr="002F5B19" w:rsidR="00DE0FE1" w:rsidP="002554C1" w:rsidRDefault="00DE0FE1" w14:paraId="7F872996" w14:textId="017F20C9">
      <w:pPr>
        <w:pStyle w:val="body"/>
        <w:numPr>
          <w:ilvl w:val="1"/>
          <w:numId w:val="13"/>
        </w:numPr>
      </w:pPr>
      <w:r w:rsidRPr="002F5B19">
        <w:t>określania wskaźników stosowanych do identyfikacji globalnych instytucji o znaczeniu systemowym, o których mowa w rozporządzeniu (UE) nr 1222/2014 („wskaźniki”); oraz</w:t>
      </w:r>
    </w:p>
    <w:p w:rsidRPr="002F5B19" w:rsidR="00B43E07" w:rsidP="002554C1" w:rsidRDefault="00DE0FE1" w14:paraId="776C11F3" w14:textId="58E74370">
      <w:pPr>
        <w:pStyle w:val="body"/>
        <w:numPr>
          <w:ilvl w:val="1"/>
          <w:numId w:val="13"/>
        </w:numPr>
      </w:pPr>
      <w:r w:rsidRPr="002F5B19">
        <w:t>przekazywania danych bazowych (wskaźników, danych pomocniczych i pozycji uzupełniających), a także corocznego ujawniania wartości wskaźników stosowanych do identyfikacji globalnych instytucji o znaczeniu systemowym, obliczonych na podstawie tych danych.</w:t>
      </w:r>
    </w:p>
    <w:p w:rsidRPr="002F5B19" w:rsidR="00B43E07" w:rsidP="00B43E07" w:rsidRDefault="00B43E07" w14:paraId="07F996E2" w14:textId="77777777">
      <w:pPr>
        <w:pStyle w:val="Titlelevel2"/>
      </w:pPr>
      <w:r w:rsidRPr="002F5B19">
        <w:t>Zakres stosowania</w:t>
      </w:r>
    </w:p>
    <w:p w:rsidRPr="002F5B19" w:rsidR="00DE0FE1" w:rsidP="002554C1" w:rsidRDefault="00B43E07" w14:paraId="71B629CF" w14:textId="05197A71">
      <w:pPr>
        <w:pStyle w:val="body"/>
        <w:numPr>
          <w:ilvl w:val="0"/>
          <w:numId w:val="10"/>
        </w:numPr>
      </w:pPr>
      <w:r w:rsidRPr="002F5B19">
        <w:t>Niniejsze wytyczne mają zastosowanie do:</w:t>
      </w:r>
    </w:p>
    <w:p w:rsidRPr="002F5B19" w:rsidR="00DE0FE1" w:rsidP="002554C1" w:rsidRDefault="000F3C24" w14:paraId="73EAD676" w14:textId="3140197F">
      <w:pPr>
        <w:pStyle w:val="body"/>
        <w:numPr>
          <w:ilvl w:val="0"/>
          <w:numId w:val="14"/>
        </w:numPr>
      </w:pPr>
      <w:r w:rsidRPr="002F5B19">
        <w:t>grup kierowanych przez unijną instytucję dominującą, unijną dominującą finansową spółkę holdingową lub unijną dominującą finansową spółkę holdingową o działalności mieszanej; oraz</w:t>
      </w:r>
    </w:p>
    <w:p w:rsidRPr="002F5B19" w:rsidR="00B43E07" w:rsidP="002554C1" w:rsidRDefault="00DE0FE1" w14:paraId="0D1E1C78" w14:textId="11D7CA26">
      <w:pPr>
        <w:pStyle w:val="body"/>
        <w:numPr>
          <w:ilvl w:val="0"/>
          <w:numId w:val="14"/>
        </w:numPr>
      </w:pPr>
      <w:r w:rsidRPr="002F5B19">
        <w:t>instytucji, któr</w:t>
      </w:r>
      <w:r w:rsidR="00A6517B">
        <w:t>e</w:t>
      </w:r>
      <w:r w:rsidRPr="002F5B19">
        <w:t xml:space="preserve"> nie są jednostkami zależnymi unijnej instytucji dominującej, unijnej dominującej finansowej spółki holdingowej ani unijnej dominującej finansowej spółki holdingowej o działalności mieszanej,</w:t>
      </w:r>
    </w:p>
    <w:p w:rsidRPr="002F5B19" w:rsidR="00B43E07" w:rsidP="00DE0FE1" w:rsidRDefault="003A2221" w14:paraId="5736DC31" w14:textId="2B63EB58">
      <w:pPr>
        <w:pStyle w:val="body"/>
      </w:pPr>
      <w:r w:rsidRPr="002F5B19">
        <w:t>których miara ekspozycji wskaźnika dźwigni przekracza 200 miliardów EUR odpowiednio w ujęciu skonsolidowanym lub indywidualnym (i włączając jednostki zależne prowadzące działalność ubezpieczeniową), przy zastosowaniu odpowiedniego kursu walutowego uwzględniającego referencyjny kurs walutowy publikowany przez Europejski Bank Centralny, obowiązujący na koniec roku obrachunkowego, oraz standardy międzynarodowe („odpowiednie podmioty”).</w:t>
      </w:r>
    </w:p>
    <w:p w:rsidRPr="002F5B19" w:rsidR="00B43E07" w:rsidP="00B43E07" w:rsidRDefault="00B43E07" w14:paraId="6EAA3145" w14:textId="77777777">
      <w:pPr>
        <w:pStyle w:val="Titlelevel2"/>
      </w:pPr>
      <w:r w:rsidRPr="002F5B19">
        <w:t>Adresaci</w:t>
      </w:r>
    </w:p>
    <w:p w:rsidRPr="002F5B19" w:rsidR="00DE0FE1" w:rsidP="002554C1" w:rsidRDefault="00DE0FE1" w14:paraId="52A8B3D5" w14:textId="2333D308">
      <w:pPr>
        <w:pStyle w:val="body"/>
        <w:numPr>
          <w:ilvl w:val="0"/>
          <w:numId w:val="10"/>
        </w:numPr>
      </w:pPr>
      <w:r w:rsidRPr="002F5B19">
        <w:t>Niniejsze wytyczne są skierowane do właściwych organów określonych w art. 4 ust. 2 ppkt (i) rozporządzenia (UE) nr 1093/2010 oraz do instytucji finansowych, których te wytyczne dotyczą. Do stosowania niniejszych wytycznych zachęca się również wyznaczone organy określone w art. 131 ust. 1 dyrektywy 2013/36/UE niebędące właściwymi organami. W niniejszych wytycznych zarówno właściwe organy, jak i wyznaczone organy są określane terminem „odpowiednie organy”.</w:t>
      </w:r>
      <w:r w:rsidRPr="002F5B19">
        <w:br w:type="page"/>
      </w:r>
    </w:p>
    <w:p w:rsidRPr="002F5B19" w:rsidR="00B43E07" w:rsidP="00CE3517" w:rsidRDefault="00B43E07" w14:paraId="25D099DB" w14:textId="77777777">
      <w:pPr>
        <w:pStyle w:val="Numberedtilelevel1"/>
      </w:pPr>
      <w:r w:rsidRPr="002F5B19">
        <w:lastRenderedPageBreak/>
        <w:t>Wdrożenie</w:t>
      </w:r>
    </w:p>
    <w:p w:rsidRPr="002F5B19" w:rsidR="00B43E07" w:rsidP="00B43E07" w:rsidRDefault="00B43E07" w14:paraId="4EAB2FB0" w14:textId="77777777">
      <w:pPr>
        <w:pStyle w:val="Titlelevel2"/>
      </w:pPr>
      <w:r w:rsidRPr="002F5B19">
        <w:t>Data rozpoczęcia stosowania</w:t>
      </w:r>
    </w:p>
    <w:p w:rsidRPr="002F5B19" w:rsidR="00B43E07" w:rsidP="002554C1" w:rsidRDefault="00DE0FE1" w14:paraId="18515792" w14:textId="2CE005F9">
      <w:pPr>
        <w:pStyle w:val="body"/>
        <w:numPr>
          <w:ilvl w:val="0"/>
          <w:numId w:val="15"/>
        </w:numPr>
      </w:pPr>
      <w:r w:rsidRPr="002F5B19">
        <w:t>Niniejsze wytyczne obowiązują od dnia</w:t>
      </w:r>
      <w:r w:rsidR="00942B48">
        <w:t xml:space="preserve"> 16.12.2020.</w:t>
      </w:r>
    </w:p>
    <w:p w:rsidRPr="002F5B19" w:rsidR="00B43E07" w:rsidP="00B43E07" w:rsidRDefault="00B43E07" w14:paraId="4AB150AF" w14:textId="64BC8239">
      <w:pPr>
        <w:pStyle w:val="Titlelevel2"/>
      </w:pPr>
      <w:r w:rsidRPr="002F5B19">
        <w:t>Uchylenie</w:t>
      </w:r>
    </w:p>
    <w:p w:rsidRPr="002F5B19" w:rsidR="00B43E07" w:rsidP="00A41338" w:rsidRDefault="00BD1538" w14:paraId="0F71334D" w14:textId="1E72E0C2">
      <w:r w:rsidRPr="002F5B19">
        <w:t>Niniejszym uchyla się zmienione wytyczne w sprawie dookreślenia wskaźników globalnego znaczenia systemowego i ujawniania tych wskaźników z dnia 29 lutego 2016 r. (EUNB/GL/2016/01).</w:t>
      </w:r>
    </w:p>
    <w:p w:rsidRPr="002F5B19" w:rsidR="00BD1538" w:rsidP="00B43E07" w:rsidRDefault="00BD1538" w14:paraId="30F30A96" w14:textId="77777777">
      <w:pPr>
        <w:pStyle w:val="body"/>
        <w:sectPr w:rsidRPr="002F5B19" w:rsidR="00BD1538" w:rsidSect="00904DF2">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397" w:gutter="0"/>
          <w:cols w:space="708"/>
          <w:docGrid w:linePitch="299"/>
        </w:sectPr>
      </w:pPr>
    </w:p>
    <w:p w:rsidRPr="002F5B19" w:rsidR="00B43E07" w:rsidP="00BD1538" w:rsidRDefault="00BD1538" w14:paraId="4D344DEC" w14:textId="3CE1317D">
      <w:pPr>
        <w:pStyle w:val="Numberedtilelevel1"/>
        <w:jc w:val="both"/>
      </w:pPr>
      <w:r w:rsidRPr="002F5B19">
        <w:lastRenderedPageBreak/>
        <w:t>Określenie danych bazowych i wskaźników stosowanych do identyfikacji globalnych instytucji o znaczeniu systemowym</w:t>
      </w:r>
    </w:p>
    <w:p w:rsidR="00CF4ED6" w:rsidP="00CF4ED6" w:rsidRDefault="00CF4ED6" w14:paraId="02C6B9B4" w14:textId="1CCED0C9">
      <w:pPr>
        <w:pStyle w:val="body"/>
      </w:pPr>
      <w:r w:rsidRPr="007B541C">
        <w:rPr>
          <w:spacing w:val="-1"/>
          <w:highlight w:val="green"/>
        </w:rPr>
        <w:sym w:font="Wingdings" w:char="F0DA"/>
      </w:r>
      <w:r w:rsidRPr="007B541C">
        <w:rPr>
          <w:spacing w:val="-1"/>
          <w:highlight w:val="green"/>
        </w:rPr>
        <w:t>A1</w:t>
      </w:r>
    </w:p>
    <w:p w:rsidRPr="002554C1" w:rsidR="00B43E07" w:rsidP="002554C1" w:rsidRDefault="002554C1" w14:paraId="50643877" w14:textId="1D0838D9">
      <w:pPr>
        <w:pStyle w:val="body"/>
        <w:numPr>
          <w:ilvl w:val="0"/>
          <w:numId w:val="15"/>
        </w:numPr>
        <w:rPr>
          <w:iCs/>
        </w:rPr>
      </w:pPr>
      <w:r w:rsidRPr="002554C1">
        <w:rPr>
          <w:iCs/>
        </w:rPr>
        <w:t>Odpowiednie organy i odpowiednie podmioty powinny stosować się do instrukcji i specyfikacji dotyczących pozycji danych wymienionych w załączniku, jak określono w linku zwanym »Instrukcjami dotyczącymi sprawozdawczości« na stronie internetowej EUNB w sekcji poświęconej globalnym instytucjom o znaczeniu systemowym</w:t>
      </w:r>
      <w:r w:rsidRPr="002554C1">
        <w:rPr>
          <w:rStyle w:val="FootnoteReference"/>
          <w:iCs/>
        </w:rPr>
        <w:footnoteReference w:id="3"/>
      </w:r>
      <w:r w:rsidRPr="002554C1">
        <w:rPr>
          <w:iCs/>
        </w:rPr>
        <w:t>.</w:t>
      </w:r>
    </w:p>
    <w:p w:rsidRPr="002554C1" w:rsidR="00B43E07" w:rsidP="002554C1" w:rsidRDefault="002554C1" w14:paraId="2FD6FE4E" w14:textId="621BC642">
      <w:pPr>
        <w:pStyle w:val="body"/>
        <w:numPr>
          <w:ilvl w:val="0"/>
          <w:numId w:val="15"/>
        </w:numPr>
        <w:rPr>
          <w:iCs/>
        </w:rPr>
      </w:pPr>
      <w:r w:rsidRPr="002554C1">
        <w:rPr>
          <w:iCs/>
        </w:rPr>
        <w:t>Właściwe organy powinny korzystać z danych pomocniczych (sekcje 15 i 16 załącznika do niniejszych wytycznych) w celu wsparcia swojej oceny nadzorczej zgodnie z art. 131 ust. 10 dyrektywy 2013/36/UE i pozycji uzupełniających (sekcje 17–22 załącznika) w celu poprawy jakości danych oraz jako pomoc w opracowaniu przyszłych udoskonaleń metodyki identyfikacji. W stosownych przypadkach pozycje uzupełniające powinny być opatrzone uwagami odpowiednich podmiotów, dotyczącymi jakości i dostępności danych.</w:t>
      </w:r>
    </w:p>
    <w:p w:rsidRPr="002554C1" w:rsidR="002554C1" w:rsidP="002554C1" w:rsidRDefault="002554C1" w14:paraId="5E91B0FC" w14:textId="552A4625">
      <w:pPr>
        <w:pStyle w:val="body"/>
        <w:numPr>
          <w:ilvl w:val="0"/>
          <w:numId w:val="16"/>
        </w:numPr>
        <w:rPr>
          <w:iCs/>
        </w:rPr>
      </w:pPr>
      <w:r w:rsidRPr="002554C1">
        <w:rPr>
          <w:iCs/>
        </w:rPr>
        <w:t>a. Zgodnie z art. 131 ust. 2a dyrektywy 2013/36/UE wymagającym dodatkowej metody określania, która wyklucza działalność transgraniczną w ramach jednolitego mechanizmu restrukturyzacji i uporządkowanej likwidacji, oraz zgodnie z umową międzynarodową zawartą przez Bazylejski Komitet Nadzoru Bankowego w dniu 31 maja 2022 r. w celu uznania postępów poczynionych w rozwoju europejskiej unii bankowej, pozycje danych istotne do obliczania skorygowanych wskaźników transgranicznych dotyczących instytucji z siedzibą w państwach członkowskich stosujących jednolity mechanizm restrukturyzacji i uporządkowanej likwidacji należy uznać za część wskaźników działalności transgranicznej, i jako takie, ujawniane przez instytucje zgodnie z pkt 12, a nie za pozycje pomocnicze lub uzupełniające w odniesieniu do metody identyfikacji i alokacji podmiotu do podkategorii globalnych instytucji o znaczeniu systemowym.</w:t>
      </w:r>
    </w:p>
    <w:p w:rsidRPr="002F5B19" w:rsidR="00BD1538" w:rsidP="00BD1538" w:rsidRDefault="00BD1538" w14:paraId="6A6FBBAE" w14:textId="77777777">
      <w:pPr>
        <w:pStyle w:val="body"/>
        <w:rPr>
          <w:highlight w:val="yellow"/>
        </w:rPr>
      </w:pPr>
    </w:p>
    <w:p w:rsidRPr="002F5B19" w:rsidR="00BD1538" w:rsidP="00505C64" w:rsidRDefault="00BD1538" w14:paraId="2DFFA9BA" w14:textId="77777777">
      <w:pPr>
        <w:pStyle w:val="Titlelevel2"/>
        <w:sectPr w:rsidRPr="002F5B19" w:rsidR="00BD1538" w:rsidSect="00904DF2">
          <w:pgSz w:w="11900" w:h="16840"/>
          <w:pgMar w:top="2268" w:right="1418" w:bottom="1134" w:left="1701" w:header="709" w:footer="397" w:gutter="0"/>
          <w:cols w:space="708"/>
          <w:docGrid w:linePitch="299"/>
        </w:sectPr>
      </w:pPr>
    </w:p>
    <w:p w:rsidRPr="002F5B19" w:rsidR="00B43E07" w:rsidP="00BD1538" w:rsidRDefault="00BD1538" w14:paraId="6CDBC73A" w14:textId="63126AA5">
      <w:pPr>
        <w:pStyle w:val="Numberedtilelevel1"/>
        <w:jc w:val="both"/>
      </w:pPr>
      <w:r w:rsidRPr="002F5B19">
        <w:lastRenderedPageBreak/>
        <w:t>Wymogi dotyczące sprawozdawczości i ujawniania informacji przez odpowiednie instytucje</w:t>
      </w:r>
    </w:p>
    <w:p w:rsidRPr="00C70355" w:rsidR="0007574B" w:rsidP="002554C1" w:rsidRDefault="00C70355" w14:paraId="107B3895" w14:textId="03C9A6B7">
      <w:pPr>
        <w:pStyle w:val="body"/>
        <w:numPr>
          <w:ilvl w:val="0"/>
          <w:numId w:val="16"/>
        </w:numPr>
        <w:rPr>
          <w:iCs/>
        </w:rPr>
      </w:pPr>
      <w:r w:rsidRPr="00C70355">
        <w:rPr>
          <w:iCs/>
        </w:rPr>
        <w:t>Odpowiednie organy powinny zapewnić gromadzenie wszystkich danych określonych w załączniku do niniejszych wytycznych od odpowiednich podmiotów, które spełniają kryteria określone w pkt 6 niniejszych wytycznych na dzień 31 grudnia każdego roku.</w:t>
      </w:r>
    </w:p>
    <w:p w:rsidR="0007574B" w:rsidP="002554C1" w:rsidRDefault="00C70355" w14:paraId="623657F6" w14:textId="2A18CAFB">
      <w:pPr>
        <w:pStyle w:val="body"/>
        <w:numPr>
          <w:ilvl w:val="0"/>
          <w:numId w:val="16"/>
        </w:numPr>
        <w:rPr>
          <w:iCs/>
        </w:rPr>
      </w:pPr>
      <w:r w:rsidRPr="00C70355">
        <w:rPr>
          <w:iCs/>
        </w:rPr>
        <w:t>Właściwe organy powinny zapewnić, aby odpowiednie podmioty co roku podawały do wiadomości publicznej na swoich stronach internetowych wartości wskaźników określone w sekcjach 1–14 załącznika do niniejszych wytycznych oraz – w przypadku gdy potrzebna jest dodatkowa metoda identyfikacji jednolitego mechanizmu restrukturyzacji i uporządkowanej likwidacji – pozycje e), f) i g) określone w sekcji 21, a także wszelkie inne pozycje sekcji 21 odnoszące się do działalności transgranicznej w ramach jednolitego mechanizmu restrukturyzacji i uporządkowanej likwidacji, które mogą zostać uznane za istotne dla obliczenia takiej metodyki przez odpowiedni właściwy organ</w:t>
      </w:r>
      <w:r w:rsidRPr="00C70355" w:rsidR="003A2221">
        <w:rPr>
          <w:iCs/>
        </w:rPr>
        <w:t>.</w:t>
      </w:r>
    </w:p>
    <w:p w:rsidRPr="00C70355" w:rsidR="00C70355" w:rsidP="00C70355" w:rsidRDefault="00C70355" w14:paraId="142FCCE3" w14:textId="32AB6CF4">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2554C1" w:rsidRDefault="0007574B" w14:paraId="59D95C2C" w14:textId="5FEF2D54">
      <w:pPr>
        <w:pStyle w:val="body"/>
        <w:numPr>
          <w:ilvl w:val="0"/>
          <w:numId w:val="16"/>
        </w:numPr>
      </w:pPr>
      <w:r w:rsidRPr="002F5B19">
        <w:t>Przekazywanie i ujawnianie informacji, o których mowa w pkt 11 i 12 powyżej, powinno być dokonywane przez odpowiednie podmioty przy użyciu elektronicznego formularza i zgodnie z corocznymi instrukcjami publikowanymi w tym celu na stronie internetowej EUNB.</w:t>
      </w:r>
    </w:p>
    <w:p w:rsidRPr="002F5B19" w:rsidR="00C70355" w:rsidP="00C70355" w:rsidRDefault="00C70355" w14:paraId="75AAD1BE" w14:textId="353D6B3F">
      <w:pPr>
        <w:pStyle w:val="body"/>
      </w:pPr>
      <w:r w:rsidRPr="007B541C">
        <w:rPr>
          <w:spacing w:val="-1"/>
          <w:highlight w:val="green"/>
        </w:rPr>
        <w:sym w:font="Wingdings" w:char="F0DA"/>
      </w:r>
      <w:r w:rsidRPr="007B541C">
        <w:rPr>
          <w:spacing w:val="-1"/>
          <w:highlight w:val="green"/>
        </w:rPr>
        <w:t>A1</w:t>
      </w:r>
    </w:p>
    <w:p w:rsidRPr="00C70355" w:rsidR="006C6D8E" w:rsidP="002554C1" w:rsidRDefault="00C70355" w14:paraId="5F511C1E" w14:textId="6E6818A9">
      <w:pPr>
        <w:pStyle w:val="body"/>
        <w:numPr>
          <w:ilvl w:val="0"/>
          <w:numId w:val="16"/>
        </w:numPr>
        <w:rPr>
          <w:iCs/>
        </w:rPr>
      </w:pPr>
      <w:r w:rsidRPr="00C70355">
        <w:rPr>
          <w:iCs/>
        </w:rPr>
        <w:t>Właściwe podmioty powinny przekazywać informacje, o których mowa w pkt 11, odpowiednim organom i co roku podawać do wiadomości publicznej informacje, o których mowa w pkt 12, nie później niż cztery miesiące po każdej dacie zakończenia każdego roku obrotowego, począwszy od daty zakończenia drugiego kolejnego roku obrotowego, w której próg określony w pkt 6 niniejszych wytycznych został przekroczony. W tym celu odpowiednie podmioty powinny identyfikować się za pomocą swoich identyfikatorów podmiotów prawnych (LEI).</w:t>
      </w:r>
    </w:p>
    <w:p w:rsidRPr="002F5B19" w:rsidR="00C70355" w:rsidP="00C70355" w:rsidRDefault="00C70355" w14:paraId="2CC93879" w14:textId="0F07324E">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2F5B19" w:rsidR="0007574B" w:rsidP="002554C1" w:rsidRDefault="003A2221" w14:paraId="02B1DBBB" w14:textId="35B7F7D9">
      <w:pPr>
        <w:pStyle w:val="body"/>
        <w:numPr>
          <w:ilvl w:val="0"/>
          <w:numId w:val="16"/>
        </w:numPr>
      </w:pPr>
      <w:r w:rsidRPr="002F5B19">
        <w:t>Odpowiednie organy mogą zezwolić odpowiednim podmiotom, których koniec roku obrachunkowego nie przypada na 31 grudnia, na zgłaszanie i ujawnianie informacji według ich stanu na dzień jak najbardziej zbliżony do 31 grudnia. W każdym przypadku ujawnienie informacji powinno nastąpić nie później niż 31 lipca.</w:t>
      </w:r>
    </w:p>
    <w:p w:rsidRPr="002F5B19" w:rsidR="006C6D8E" w:rsidP="004E0B93" w:rsidRDefault="003A2221" w14:paraId="304AED26" w14:textId="241143FA">
      <w:pPr>
        <w:pStyle w:val="body"/>
        <w:numPr>
          <w:ilvl w:val="0"/>
          <w:numId w:val="16"/>
        </w:numPr>
      </w:pPr>
      <w:r w:rsidRPr="002F5B19">
        <w:t>Odpowiednie organy powinny w stosownych przypadkach upewnić się, że przekazywane i ujawnione dane są takie same, jak dane zgłoszone Bazylejskiemu Komitetowi Nadzoru Bankowego.</w:t>
      </w:r>
    </w:p>
    <w:p w:rsidRPr="002F5B19" w:rsidR="006C6D8E" w:rsidP="006C6D8E" w:rsidRDefault="006C6D8E" w14:paraId="3653C3DD" w14:textId="77777777">
      <w:pPr>
        <w:pStyle w:val="body"/>
        <w:sectPr w:rsidRPr="002F5B19" w:rsidR="006C6D8E" w:rsidSect="00904DF2">
          <w:pgSz w:w="11900" w:h="16840"/>
          <w:pgMar w:top="2268" w:right="1418" w:bottom="1134" w:left="1701" w:header="709" w:footer="397" w:gutter="0"/>
          <w:cols w:space="708"/>
          <w:docGrid w:linePitch="299"/>
        </w:sectPr>
      </w:pPr>
    </w:p>
    <w:p w:rsidRPr="002F5B19" w:rsidR="00B43E07" w:rsidP="006C6D8E" w:rsidRDefault="006C6D8E" w14:paraId="78D7CAE2" w14:textId="0D9CA5B9">
      <w:pPr>
        <w:pStyle w:val="Numberedtilelevel1"/>
        <w:jc w:val="both"/>
      </w:pPr>
      <w:r w:rsidRPr="002F5B19">
        <w:lastRenderedPageBreak/>
        <w:t>Informacje przekazywane EUNB</w:t>
      </w:r>
    </w:p>
    <w:p w:rsidRPr="002F5B19" w:rsidR="006C6D8E" w:rsidP="002554C1" w:rsidRDefault="003A2221" w14:paraId="0966C959" w14:textId="52E7A3EF">
      <w:pPr>
        <w:pStyle w:val="body"/>
        <w:numPr>
          <w:ilvl w:val="0"/>
          <w:numId w:val="16"/>
        </w:numPr>
      </w:pPr>
      <w:r w:rsidRPr="002F5B19">
        <w:t>Odpowiednie organy powinny przekazać EUNB wszystkie dane zebrane zgodnie z niniejszymi wytycznymi, w tym dane pomocnicze i pozycje uzupełniające, do celów centralizacji na stronie internetowej EUNB. Odpowiednie podmioty powinny stosować oznaczenie za pomocą identyfikatora podmiotu prawnego (LEI). EUNB nie ujawnia przekazywanych danych pomocniczych ani pozycji uzupełniających.</w:t>
      </w:r>
    </w:p>
    <w:p w:rsidRPr="002F5B19" w:rsidR="006C6D8E" w:rsidP="00B43E07" w:rsidRDefault="006C6D8E" w14:paraId="001293F4" w14:textId="77777777">
      <w:pPr>
        <w:pStyle w:val="body"/>
        <w:rPr>
          <w:lang w:val="en-GB" w:eastAsia="en-GB"/>
        </w:rPr>
        <w:sectPr w:rsidRPr="002F5B19" w:rsidR="006C6D8E" w:rsidSect="00904DF2">
          <w:pgSz w:w="11900" w:h="16840"/>
          <w:pgMar w:top="2268" w:right="1418" w:bottom="1134" w:left="1701" w:header="709" w:footer="397" w:gutter="0"/>
          <w:cols w:space="708"/>
          <w:docGrid w:linePitch="299"/>
        </w:sectPr>
      </w:pPr>
    </w:p>
    <w:p w:rsidRPr="002F5B19" w:rsidR="006C6D8E" w:rsidP="006C6D8E" w:rsidRDefault="006C6D8E" w14:paraId="6FBD395E" w14:textId="77777777">
      <w:pPr>
        <w:pStyle w:val="Contenttitle"/>
      </w:pPr>
      <w:r w:rsidRPr="002F5B19">
        <w:lastRenderedPageBreak/>
        <w:t>Załącznik</w:t>
      </w:r>
    </w:p>
    <w:tbl>
      <w:tblPr>
        <w:tblStyle w:val="TableGrid1"/>
        <w:tblW w:w="9549" w:type="dxa"/>
        <w:tblLook w:val="04A0" w:firstRow="1" w:lastRow="0" w:firstColumn="1" w:lastColumn="0" w:noHBand="0" w:noVBand="1"/>
      </w:tblPr>
      <w:tblGrid>
        <w:gridCol w:w="2350"/>
        <w:gridCol w:w="4454"/>
        <w:gridCol w:w="2745"/>
      </w:tblGrid>
      <w:tr w:rsidRPr="004431DE" w:rsidR="0065120A" w:rsidTr="00BC3A1F" w14:paraId="5575B7C2" w14:textId="77777777">
        <w:trPr>
          <w:trHeight w:val="420"/>
        </w:trPr>
        <w:tc>
          <w:tcPr>
            <w:tcW w:w="2350" w:type="dxa"/>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65120A" w:rsidP="00BC3A1F" w:rsidRDefault="0065120A" w14:paraId="4E793356" w14:textId="1AB358D7">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4431DE" w:rsidR="0065120A" w:rsidP="00BC3A1F" w:rsidRDefault="0065120A" w14:paraId="29FDA51E" w14:textId="1AD091E1">
            <w:pPr>
              <w:keepNext/>
              <w:keepLines/>
              <w:spacing w:before="47"/>
              <w:outlineLvl w:val="5"/>
              <w:rPr>
                <w:rFonts w:asciiTheme="majorHAnsi" w:hAnsiTheme="majorHAnsi" w:eastAsiaTheme="majorEastAsia" w:cstheme="majorBidi"/>
                <w:b/>
                <w:bCs/>
                <w:i/>
                <w:iCs/>
                <w:caps/>
                <w:color w:val="172B39" w:themeColor="accent1" w:themeShade="80"/>
              </w:rPr>
            </w:pPr>
            <w:r w:rsidRPr="004431DE">
              <w:rPr>
                <w:rFonts w:ascii="Arial" w:hAnsi="Arial"/>
                <w:b/>
                <w:i/>
                <w:caps/>
                <w:color w:val="172B39" w:themeColor="accent1" w:themeShade="80"/>
                <w:sz w:val="24"/>
              </w:rPr>
              <w:t> </w:t>
            </w:r>
            <w:r w:rsidRPr="004431DE">
              <w:rPr>
                <w:rFonts w:asciiTheme="majorHAnsi" w:hAnsiTheme="majorHAnsi"/>
                <w:b/>
                <w:i/>
                <w:caps/>
              </w:rPr>
              <w:t>Ogólne dane banku</w:t>
            </w:r>
            <w:r w:rsidRPr="004431DE">
              <w:rPr>
                <w:rFonts w:ascii="Arial" w:hAnsi="Arial"/>
                <w:i/>
                <w:caps/>
                <w:color w:val="172B39" w:themeColor="accent1" w:themeShade="80"/>
                <w:sz w:val="20"/>
              </w:rPr>
              <w:t> </w:t>
            </w:r>
          </w:p>
        </w:tc>
        <w:tc>
          <w:tcPr>
            <w:tcW w:w="7199" w:type="dxa"/>
            <w:gridSpan w:val="2"/>
            <w:tcBorders>
              <w:top w:val="nil"/>
              <w:left w:val="nil"/>
              <w:bottom w:val="nil"/>
              <w:right w:val="nil"/>
            </w:tcBorders>
          </w:tcPr>
          <w:p w:rsidRPr="004431DE" w:rsidR="0065120A" w:rsidP="00BC3A1F" w:rsidRDefault="0065120A" w14:paraId="02B42ED8" w14:textId="77777777">
            <w:pPr>
              <w:rPr>
                <w:rFonts w:ascii="Arial" w:hAnsi="Arial" w:eastAsia="Times New Roman" w:cs="Arial"/>
                <w:b/>
                <w:bCs/>
                <w:sz w:val="24"/>
                <w:szCs w:val="24"/>
              </w:rPr>
            </w:pPr>
          </w:p>
        </w:tc>
      </w:tr>
      <w:tr w:rsidRPr="004431DE" w:rsidR="0065120A" w:rsidTr="00BC3A1F" w14:paraId="6533FFD3" w14:textId="77777777">
        <w:trPr>
          <w:trHeight w:val="300"/>
        </w:trPr>
        <w:tc>
          <w:tcPr>
            <w:tcW w:w="6804" w:type="dxa"/>
            <w:gridSpan w:val="2"/>
            <w:tcBorders>
              <w:top w:val="nil"/>
              <w:left w:val="nil"/>
              <w:bottom w:val="single" w:color="auto" w:sz="4" w:space="0"/>
              <w:right w:val="nil"/>
            </w:tcBorders>
            <w:noWrap/>
          </w:tcPr>
          <w:p w:rsidRPr="004431DE" w:rsidR="0065120A" w:rsidP="00BC3A1F" w:rsidRDefault="0065120A" w14:paraId="20177C86"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4431DE" w:rsidR="0065120A" w:rsidP="00BC3A1F" w:rsidRDefault="0065120A" w14:paraId="4010F280" w14:textId="77777777">
            <w:pPr>
              <w:jc w:val="center"/>
              <w:rPr>
                <w:rFonts w:ascii="Arial" w:hAnsi="Arial" w:eastAsia="Times New Roman" w:cs="Arial"/>
                <w:b/>
                <w:bCs/>
                <w:sz w:val="20"/>
                <w:szCs w:val="20"/>
                <w:lang w:eastAsia="en-GB"/>
              </w:rPr>
            </w:pPr>
          </w:p>
        </w:tc>
      </w:tr>
      <w:tr w:rsidRPr="004431DE" w:rsidR="0065120A" w:rsidTr="00BC3A1F" w14:paraId="08E253CD" w14:textId="77777777">
        <w:trPr>
          <w:trHeight w:val="300"/>
        </w:trPr>
        <w:tc>
          <w:tcPr>
            <w:tcW w:w="6804" w:type="dxa"/>
            <w:gridSpan w:val="2"/>
            <w:tcBorders>
              <w:top w:val="single" w:color="auto" w:sz="4" w:space="0"/>
              <w:left w:val="nil"/>
              <w:bottom w:val="single" w:color="auto" w:sz="4" w:space="0"/>
              <w:right w:val="nil"/>
            </w:tcBorders>
            <w:noWrap/>
            <w:hideMark/>
          </w:tcPr>
          <w:p w:rsidRPr="004431DE" w:rsidR="0065120A" w:rsidP="00BC3A1F" w:rsidRDefault="0065120A" w14:paraId="16EA2E00" w14:textId="77777777">
            <w:pPr>
              <w:rPr>
                <w:rFonts w:ascii="Arial" w:hAnsi="Arial" w:eastAsia="Times New Roman" w:cs="Arial"/>
                <w:b/>
                <w:bCs/>
                <w:sz w:val="20"/>
                <w:szCs w:val="20"/>
              </w:rPr>
            </w:pPr>
            <w:r w:rsidRPr="004431DE">
              <w:rPr>
                <w:rFonts w:ascii="Arial" w:hAnsi="Arial"/>
                <w:b/>
                <w:sz w:val="20"/>
              </w:rPr>
              <w:t>Sekcja 1 – Informacje ogólne</w:t>
            </w:r>
          </w:p>
        </w:tc>
        <w:tc>
          <w:tcPr>
            <w:tcW w:w="2745" w:type="dxa"/>
            <w:tcBorders>
              <w:top w:val="single" w:color="auto" w:sz="4" w:space="0"/>
              <w:left w:val="nil"/>
              <w:right w:val="nil"/>
            </w:tcBorders>
            <w:noWrap/>
            <w:hideMark/>
          </w:tcPr>
          <w:p w:rsidRPr="004431DE" w:rsidR="0065120A" w:rsidP="00BC3A1F" w:rsidRDefault="0065120A" w14:paraId="30F38281" w14:textId="77777777">
            <w:pPr>
              <w:jc w:val="center"/>
              <w:rPr>
                <w:rFonts w:ascii="Arial" w:hAnsi="Arial" w:eastAsia="Times New Roman" w:cs="Arial"/>
                <w:b/>
                <w:bCs/>
                <w:sz w:val="20"/>
                <w:szCs w:val="20"/>
              </w:rPr>
            </w:pPr>
            <w:r w:rsidRPr="004431DE">
              <w:rPr>
                <w:rFonts w:ascii="Arial" w:hAnsi="Arial"/>
                <w:b/>
                <w:sz w:val="20"/>
              </w:rPr>
              <w:t>Odpowiedź</w:t>
            </w:r>
          </w:p>
        </w:tc>
      </w:tr>
      <w:tr w:rsidRPr="004431DE" w:rsidR="0065120A" w:rsidTr="00BC3A1F" w14:paraId="6A743EB4" w14:textId="77777777">
        <w:trPr>
          <w:gridAfter w:val="1"/>
          <w:wAfter w:w="2745" w:type="dxa"/>
          <w:trHeight w:val="300"/>
        </w:trPr>
        <w:tc>
          <w:tcPr>
            <w:tcW w:w="6804" w:type="dxa"/>
            <w:gridSpan w:val="2"/>
            <w:tcBorders>
              <w:top w:val="single" w:color="auto" w:sz="4" w:space="0"/>
              <w:left w:val="nil"/>
              <w:bottom w:val="single" w:color="auto" w:sz="4" w:space="0"/>
              <w:right w:val="nil"/>
            </w:tcBorders>
            <w:noWrap/>
            <w:hideMark/>
          </w:tcPr>
          <w:p w:rsidRPr="004431DE" w:rsidR="0065120A" w:rsidP="00BC3A1F" w:rsidRDefault="0065120A" w14:paraId="6DB59724" w14:textId="77777777">
            <w:pPr>
              <w:ind w:firstLine="200" w:firstLineChars="100"/>
              <w:rPr>
                <w:rFonts w:ascii="Arial" w:hAnsi="Arial" w:eastAsia="Times New Roman" w:cs="Arial"/>
                <w:sz w:val="20"/>
                <w:szCs w:val="20"/>
              </w:rPr>
            </w:pPr>
            <w:r w:rsidRPr="004431DE">
              <w:rPr>
                <w:rFonts w:ascii="Arial" w:hAnsi="Arial"/>
                <w:sz w:val="20"/>
              </w:rPr>
              <w:t>a. Ogólne informacje przekazywane przez odpowiedni organ nadzoru:</w:t>
            </w:r>
          </w:p>
        </w:tc>
      </w:tr>
      <w:tr w:rsidRPr="004431DE" w:rsidR="0065120A" w:rsidTr="00BC3A1F" w14:paraId="2F4CFC88" w14:textId="77777777">
        <w:trPr>
          <w:trHeight w:val="300"/>
        </w:trPr>
        <w:tc>
          <w:tcPr>
            <w:tcW w:w="6804" w:type="dxa"/>
            <w:gridSpan w:val="2"/>
            <w:tcBorders>
              <w:left w:val="nil"/>
              <w:right w:val="nil"/>
            </w:tcBorders>
            <w:noWrap/>
            <w:hideMark/>
          </w:tcPr>
          <w:p w:rsidRPr="004431DE" w:rsidR="0065120A" w:rsidP="00BC3A1F" w:rsidRDefault="0065120A" w14:paraId="08967EB3"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Kod kraju</w:t>
            </w:r>
          </w:p>
        </w:tc>
        <w:tc>
          <w:tcPr>
            <w:tcW w:w="2745" w:type="dxa"/>
            <w:tcBorders>
              <w:left w:val="nil"/>
              <w:bottom w:val="single" w:color="auto" w:sz="4" w:space="0"/>
              <w:right w:val="nil"/>
            </w:tcBorders>
            <w:noWrap/>
            <w:hideMark/>
          </w:tcPr>
          <w:p w:rsidRPr="004431DE" w:rsidR="0065120A" w:rsidP="00BC3A1F" w:rsidRDefault="0065120A" w14:paraId="10873D72"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42E891D9" w14:textId="77777777">
        <w:trPr>
          <w:trHeight w:val="300"/>
        </w:trPr>
        <w:tc>
          <w:tcPr>
            <w:tcW w:w="6804" w:type="dxa"/>
            <w:gridSpan w:val="2"/>
            <w:tcBorders>
              <w:left w:val="nil"/>
              <w:right w:val="nil"/>
            </w:tcBorders>
            <w:noWrap/>
            <w:hideMark/>
          </w:tcPr>
          <w:p w:rsidRPr="004431DE" w:rsidR="0065120A" w:rsidP="00BC3A1F" w:rsidRDefault="0065120A" w14:paraId="3780B723"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Nazwa banku</w:t>
            </w:r>
          </w:p>
        </w:tc>
        <w:tc>
          <w:tcPr>
            <w:tcW w:w="2745" w:type="dxa"/>
            <w:tcBorders>
              <w:left w:val="nil"/>
              <w:bottom w:val="single" w:color="auto" w:sz="4" w:space="0"/>
              <w:right w:val="nil"/>
            </w:tcBorders>
            <w:hideMark/>
          </w:tcPr>
          <w:p w:rsidRPr="004431DE" w:rsidR="0065120A" w:rsidP="00BC3A1F" w:rsidRDefault="0065120A" w14:paraId="5FFE895D"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6FD67D71" w14:textId="77777777">
        <w:trPr>
          <w:trHeight w:val="300"/>
        </w:trPr>
        <w:tc>
          <w:tcPr>
            <w:tcW w:w="6804" w:type="dxa"/>
            <w:gridSpan w:val="2"/>
            <w:tcBorders>
              <w:left w:val="nil"/>
              <w:right w:val="nil"/>
            </w:tcBorders>
            <w:noWrap/>
            <w:hideMark/>
          </w:tcPr>
          <w:p w:rsidRPr="004431DE" w:rsidR="0065120A" w:rsidP="00BC3A1F" w:rsidRDefault="0065120A" w14:paraId="6F2FFC3C" w14:textId="77777777">
            <w:pPr>
              <w:ind w:firstLine="400" w:firstLineChars="200"/>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Data sprawozdania (rrrr-mm-dd)</w:t>
            </w:r>
          </w:p>
        </w:tc>
        <w:tc>
          <w:tcPr>
            <w:tcW w:w="2745" w:type="dxa"/>
            <w:tcBorders>
              <w:left w:val="nil"/>
              <w:bottom w:val="single" w:color="auto" w:sz="4" w:space="0"/>
              <w:right w:val="nil"/>
            </w:tcBorders>
            <w:noWrap/>
            <w:hideMark/>
          </w:tcPr>
          <w:p w:rsidRPr="004431DE" w:rsidR="0065120A" w:rsidP="00BC3A1F" w:rsidRDefault="0065120A" w14:paraId="1EEC71CD" w14:textId="77777777">
            <w:pPr>
              <w:jc w:val="center"/>
              <w:rPr>
                <w:rFonts w:ascii="Arial" w:hAnsi="Arial" w:eastAsia="Times New Roman" w:cs="Arial"/>
                <w:sz w:val="20"/>
                <w:szCs w:val="20"/>
                <w:lang w:eastAsia="en-GB"/>
              </w:rPr>
            </w:pPr>
          </w:p>
        </w:tc>
      </w:tr>
      <w:tr w:rsidRPr="004431DE" w:rsidR="0065120A" w:rsidTr="00BC3A1F" w14:paraId="6E0CFC40" w14:textId="77777777">
        <w:trPr>
          <w:trHeight w:val="300"/>
        </w:trPr>
        <w:tc>
          <w:tcPr>
            <w:tcW w:w="6804" w:type="dxa"/>
            <w:gridSpan w:val="2"/>
            <w:tcBorders>
              <w:left w:val="nil"/>
              <w:right w:val="nil"/>
            </w:tcBorders>
            <w:noWrap/>
            <w:hideMark/>
          </w:tcPr>
          <w:p w:rsidRPr="004431DE" w:rsidR="0065120A" w:rsidP="00BC3A1F" w:rsidRDefault="0065120A" w14:paraId="12974C31" w14:textId="77777777">
            <w:pPr>
              <w:ind w:firstLine="400" w:firstLineChars="200"/>
              <w:rPr>
                <w:rFonts w:ascii="Arial" w:hAnsi="Arial" w:eastAsia="Times New Roman" w:cs="Arial"/>
                <w:sz w:val="20"/>
                <w:szCs w:val="20"/>
              </w:rPr>
            </w:pPr>
            <w:r w:rsidRPr="004431DE">
              <w:rPr>
                <w:rFonts w:ascii="Arial" w:hAnsi="Arial"/>
                <w:sz w:val="20"/>
                <w:lang w:eastAsia="en-GB"/>
              </w:rPr>
              <w:t xml:space="preserve">(4) </w:t>
            </w:r>
            <w:r w:rsidRPr="004431DE">
              <w:rPr>
                <w:rFonts w:ascii="Arial" w:hAnsi="Arial"/>
                <w:sz w:val="20"/>
              </w:rPr>
              <w:t>Waluta sprawozdawcza</w:t>
            </w:r>
          </w:p>
        </w:tc>
        <w:tc>
          <w:tcPr>
            <w:tcW w:w="2745" w:type="dxa"/>
            <w:tcBorders>
              <w:left w:val="nil"/>
              <w:bottom w:val="single" w:color="auto" w:sz="4" w:space="0"/>
              <w:right w:val="nil"/>
            </w:tcBorders>
            <w:noWrap/>
            <w:hideMark/>
          </w:tcPr>
          <w:p w:rsidRPr="004431DE" w:rsidR="0065120A" w:rsidP="00BC3A1F" w:rsidRDefault="0065120A" w14:paraId="5152BC41" w14:textId="77777777">
            <w:pPr>
              <w:jc w:val="center"/>
              <w:rPr>
                <w:rFonts w:ascii="Arial" w:hAnsi="Arial" w:eastAsia="Times New Roman" w:cs="Arial"/>
                <w:sz w:val="20"/>
                <w:szCs w:val="20"/>
                <w:lang w:eastAsia="en-GB"/>
              </w:rPr>
            </w:pPr>
          </w:p>
        </w:tc>
      </w:tr>
      <w:tr w:rsidRPr="004431DE" w:rsidR="0065120A" w:rsidTr="00BC3A1F" w14:paraId="3A6ADFDB" w14:textId="77777777">
        <w:trPr>
          <w:trHeight w:val="300"/>
        </w:trPr>
        <w:tc>
          <w:tcPr>
            <w:tcW w:w="6804" w:type="dxa"/>
            <w:gridSpan w:val="2"/>
            <w:tcBorders>
              <w:left w:val="nil"/>
              <w:right w:val="nil"/>
            </w:tcBorders>
            <w:noWrap/>
            <w:hideMark/>
          </w:tcPr>
          <w:p w:rsidRPr="004431DE" w:rsidR="0065120A" w:rsidP="00BC3A1F" w:rsidRDefault="0065120A" w14:paraId="03362002" w14:textId="77777777">
            <w:pPr>
              <w:ind w:firstLine="400" w:firstLineChars="200"/>
              <w:rPr>
                <w:rFonts w:ascii="Arial" w:hAnsi="Arial" w:eastAsia="Times New Roman" w:cs="Arial"/>
                <w:sz w:val="20"/>
                <w:szCs w:val="20"/>
              </w:rPr>
            </w:pPr>
            <w:r w:rsidRPr="004431DE">
              <w:rPr>
                <w:rFonts w:ascii="Arial" w:hAnsi="Arial"/>
                <w:sz w:val="20"/>
                <w:lang w:eastAsia="en-GB"/>
              </w:rPr>
              <w:t xml:space="preserve">(5) </w:t>
            </w:r>
            <w:r w:rsidRPr="004431DE">
              <w:rPr>
                <w:rFonts w:ascii="Arial" w:hAnsi="Arial"/>
                <w:sz w:val="20"/>
              </w:rPr>
              <w:t>Kurs przeliczeniowy euro</w:t>
            </w:r>
          </w:p>
        </w:tc>
        <w:tc>
          <w:tcPr>
            <w:tcW w:w="2745" w:type="dxa"/>
            <w:tcBorders>
              <w:left w:val="nil"/>
              <w:bottom w:val="single" w:color="auto" w:sz="4" w:space="0"/>
              <w:right w:val="nil"/>
            </w:tcBorders>
            <w:noWrap/>
            <w:hideMark/>
          </w:tcPr>
          <w:p w:rsidRPr="004431DE" w:rsidR="0065120A" w:rsidP="00BC3A1F" w:rsidRDefault="0065120A" w14:paraId="4E76B0D6" w14:textId="77777777">
            <w:pPr>
              <w:rPr>
                <w:rFonts w:ascii="Arial" w:hAnsi="Arial" w:eastAsia="Times New Roman" w:cs="Arial"/>
                <w:sz w:val="20"/>
                <w:szCs w:val="20"/>
              </w:rPr>
            </w:pPr>
            <w:r w:rsidRPr="004431DE">
              <w:rPr>
                <w:rFonts w:ascii="Arial" w:hAnsi="Arial"/>
                <w:sz w:val="20"/>
              </w:rPr>
              <w:t> </w:t>
            </w:r>
          </w:p>
        </w:tc>
      </w:tr>
      <w:tr w:rsidRPr="004431DE" w:rsidR="0065120A" w:rsidTr="00BC3A1F" w14:paraId="680DC580" w14:textId="77777777">
        <w:trPr>
          <w:trHeight w:val="300"/>
        </w:trPr>
        <w:tc>
          <w:tcPr>
            <w:tcW w:w="6804" w:type="dxa"/>
            <w:gridSpan w:val="2"/>
            <w:tcBorders>
              <w:left w:val="nil"/>
              <w:right w:val="nil"/>
            </w:tcBorders>
            <w:noWrap/>
            <w:hideMark/>
          </w:tcPr>
          <w:p w:rsidRPr="004431DE" w:rsidR="0065120A" w:rsidP="00BC3A1F" w:rsidRDefault="0065120A" w14:paraId="311AA46F" w14:textId="77777777">
            <w:pPr>
              <w:ind w:firstLine="400" w:firstLineChars="200"/>
              <w:rPr>
                <w:rFonts w:ascii="Arial" w:hAnsi="Arial" w:eastAsia="Times New Roman" w:cs="Arial"/>
                <w:sz w:val="20"/>
                <w:szCs w:val="20"/>
              </w:rPr>
            </w:pPr>
            <w:r w:rsidRPr="004431DE">
              <w:rPr>
                <w:rFonts w:ascii="Arial" w:hAnsi="Arial"/>
                <w:sz w:val="20"/>
                <w:lang w:eastAsia="en-GB"/>
              </w:rPr>
              <w:t xml:space="preserve">(6) </w:t>
            </w:r>
            <w:r w:rsidRPr="004431DE">
              <w:rPr>
                <w:rFonts w:ascii="Arial" w:hAnsi="Arial"/>
                <w:sz w:val="20"/>
              </w:rPr>
              <w:t>Data zgłoszenia (rrrr-mm-dd)</w:t>
            </w:r>
          </w:p>
        </w:tc>
        <w:tc>
          <w:tcPr>
            <w:tcW w:w="2745" w:type="dxa"/>
            <w:tcBorders>
              <w:left w:val="nil"/>
              <w:bottom w:val="single" w:color="auto" w:sz="4" w:space="0"/>
              <w:right w:val="nil"/>
            </w:tcBorders>
            <w:noWrap/>
            <w:hideMark/>
          </w:tcPr>
          <w:p w:rsidRPr="004431DE" w:rsidR="0065120A" w:rsidP="00BC3A1F" w:rsidRDefault="0065120A" w14:paraId="662301ED"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3D558F07" w14:textId="77777777">
        <w:trPr>
          <w:trHeight w:val="300"/>
        </w:trPr>
        <w:tc>
          <w:tcPr>
            <w:tcW w:w="6804" w:type="dxa"/>
            <w:gridSpan w:val="2"/>
            <w:tcBorders>
              <w:left w:val="nil"/>
              <w:right w:val="nil"/>
            </w:tcBorders>
            <w:noWrap/>
            <w:hideMark/>
          </w:tcPr>
          <w:p w:rsidRPr="004431DE" w:rsidR="0065120A" w:rsidP="00BC3A1F" w:rsidRDefault="0065120A" w14:paraId="735EA89F" w14:textId="77777777">
            <w:pPr>
              <w:ind w:firstLine="200" w:firstLineChars="100"/>
              <w:rPr>
                <w:rFonts w:ascii="Arial" w:hAnsi="Arial" w:eastAsia="Times New Roman" w:cs="Arial"/>
                <w:sz w:val="20"/>
                <w:szCs w:val="20"/>
              </w:rPr>
            </w:pPr>
            <w:r w:rsidRPr="004431DE">
              <w:rPr>
                <w:rFonts w:ascii="Arial" w:hAnsi="Arial"/>
                <w:sz w:val="20"/>
              </w:rPr>
              <w:t>b. Ogólne informacje przekazywane przez instytucję sprawozdającą:</w:t>
            </w:r>
          </w:p>
        </w:tc>
        <w:tc>
          <w:tcPr>
            <w:tcW w:w="2745" w:type="dxa"/>
            <w:tcBorders>
              <w:left w:val="nil"/>
              <w:bottom w:val="single" w:color="auto" w:sz="4" w:space="0"/>
              <w:right w:val="nil"/>
            </w:tcBorders>
            <w:noWrap/>
            <w:hideMark/>
          </w:tcPr>
          <w:p w:rsidRPr="004431DE" w:rsidR="0065120A" w:rsidP="00BC3A1F" w:rsidRDefault="0065120A" w14:paraId="1177D5E6" w14:textId="77777777">
            <w:pPr>
              <w:ind w:firstLine="200" w:firstLineChars="100"/>
              <w:rPr>
                <w:rFonts w:ascii="Arial" w:hAnsi="Arial" w:eastAsia="Times New Roman" w:cs="Arial"/>
                <w:sz w:val="20"/>
                <w:szCs w:val="20"/>
              </w:rPr>
            </w:pPr>
            <w:r w:rsidRPr="004431DE">
              <w:rPr>
                <w:rFonts w:ascii="Arial" w:hAnsi="Arial"/>
                <w:sz w:val="20"/>
              </w:rPr>
              <w:t> </w:t>
            </w:r>
          </w:p>
        </w:tc>
      </w:tr>
      <w:tr w:rsidRPr="004431DE" w:rsidR="0065120A" w:rsidTr="00BC3A1F" w14:paraId="2CC3BFDE" w14:textId="77777777">
        <w:trPr>
          <w:trHeight w:val="300"/>
        </w:trPr>
        <w:tc>
          <w:tcPr>
            <w:tcW w:w="6804" w:type="dxa"/>
            <w:gridSpan w:val="2"/>
            <w:tcBorders>
              <w:left w:val="nil"/>
              <w:right w:val="nil"/>
            </w:tcBorders>
            <w:noWrap/>
            <w:hideMark/>
          </w:tcPr>
          <w:p w:rsidRPr="004431DE" w:rsidR="0065120A" w:rsidP="00BC3A1F" w:rsidRDefault="0065120A" w14:paraId="165CDB68"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Jednostka sprawozdawcza</w:t>
            </w:r>
          </w:p>
        </w:tc>
        <w:tc>
          <w:tcPr>
            <w:tcW w:w="2745" w:type="dxa"/>
            <w:tcBorders>
              <w:left w:val="nil"/>
              <w:bottom w:val="single" w:color="auto" w:sz="4" w:space="0"/>
              <w:right w:val="nil"/>
            </w:tcBorders>
            <w:noWrap/>
            <w:hideMark/>
          </w:tcPr>
          <w:p w:rsidRPr="004431DE" w:rsidR="0065120A" w:rsidP="00BC3A1F" w:rsidRDefault="0065120A" w14:paraId="0359F2C9"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065A3B5C" w14:textId="77777777">
        <w:trPr>
          <w:trHeight w:val="300"/>
        </w:trPr>
        <w:tc>
          <w:tcPr>
            <w:tcW w:w="6804" w:type="dxa"/>
            <w:gridSpan w:val="2"/>
            <w:tcBorders>
              <w:left w:val="nil"/>
              <w:right w:val="nil"/>
            </w:tcBorders>
            <w:noWrap/>
            <w:hideMark/>
          </w:tcPr>
          <w:p w:rsidRPr="004431DE" w:rsidR="0065120A" w:rsidP="00BC3A1F" w:rsidRDefault="0065120A" w14:paraId="6CA47FFD"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Standard rachunkowości</w:t>
            </w:r>
          </w:p>
        </w:tc>
        <w:tc>
          <w:tcPr>
            <w:tcW w:w="2745" w:type="dxa"/>
            <w:tcBorders>
              <w:left w:val="nil"/>
              <w:bottom w:val="single" w:color="auto" w:sz="4" w:space="0"/>
              <w:right w:val="nil"/>
            </w:tcBorders>
            <w:hideMark/>
          </w:tcPr>
          <w:p w:rsidRPr="004431DE" w:rsidR="0065120A" w:rsidP="00BC3A1F" w:rsidRDefault="0065120A" w14:paraId="7DCEECAA"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4D9771E5" w14:textId="77777777">
        <w:trPr>
          <w:trHeight w:val="300"/>
        </w:trPr>
        <w:tc>
          <w:tcPr>
            <w:tcW w:w="6804" w:type="dxa"/>
            <w:gridSpan w:val="2"/>
            <w:tcBorders>
              <w:left w:val="nil"/>
              <w:right w:val="nil"/>
            </w:tcBorders>
            <w:noWrap/>
            <w:hideMark/>
          </w:tcPr>
          <w:p w:rsidRPr="004431DE" w:rsidR="0065120A" w:rsidP="00BC3A1F" w:rsidRDefault="0065120A" w14:paraId="4EA3E6CD" w14:textId="77777777">
            <w:pPr>
              <w:ind w:firstLine="400" w:firstLineChars="200"/>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Data publicznego ujawnienia informacji (rrrr-mm-dd)</w:t>
            </w:r>
          </w:p>
        </w:tc>
        <w:tc>
          <w:tcPr>
            <w:tcW w:w="2745" w:type="dxa"/>
            <w:tcBorders>
              <w:left w:val="nil"/>
              <w:bottom w:val="single" w:color="auto" w:sz="4" w:space="0"/>
              <w:right w:val="nil"/>
            </w:tcBorders>
            <w:noWrap/>
            <w:hideMark/>
          </w:tcPr>
          <w:p w:rsidRPr="004431DE" w:rsidR="0065120A" w:rsidP="00BC3A1F" w:rsidRDefault="0065120A" w14:paraId="00DA3106"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0F3C4783" w14:textId="77777777">
        <w:trPr>
          <w:trHeight w:val="300"/>
        </w:trPr>
        <w:tc>
          <w:tcPr>
            <w:tcW w:w="6804" w:type="dxa"/>
            <w:gridSpan w:val="2"/>
            <w:tcBorders>
              <w:left w:val="nil"/>
              <w:right w:val="nil"/>
            </w:tcBorders>
            <w:noWrap/>
            <w:hideMark/>
          </w:tcPr>
          <w:p w:rsidRPr="004431DE" w:rsidR="0065120A" w:rsidP="00BC3A1F" w:rsidRDefault="0065120A" w14:paraId="45F9394E" w14:textId="77777777">
            <w:pPr>
              <w:ind w:firstLine="400" w:firstLineChars="200"/>
              <w:rPr>
                <w:rFonts w:ascii="Arial" w:hAnsi="Arial" w:eastAsia="Times New Roman" w:cs="Arial"/>
                <w:sz w:val="20"/>
                <w:szCs w:val="20"/>
              </w:rPr>
            </w:pPr>
            <w:r w:rsidRPr="004431DE">
              <w:rPr>
                <w:rFonts w:ascii="Arial" w:hAnsi="Arial"/>
                <w:sz w:val="20"/>
                <w:lang w:eastAsia="en-GB"/>
              </w:rPr>
              <w:t xml:space="preserve">(4) </w:t>
            </w:r>
            <w:r w:rsidRPr="004431DE">
              <w:rPr>
                <w:rFonts w:ascii="Arial" w:hAnsi="Arial"/>
                <w:sz w:val="20"/>
              </w:rPr>
              <w:t>Język publicznego ujawnienia informacji</w:t>
            </w:r>
          </w:p>
        </w:tc>
        <w:tc>
          <w:tcPr>
            <w:tcW w:w="2745" w:type="dxa"/>
            <w:tcBorders>
              <w:left w:val="nil"/>
              <w:bottom w:val="single" w:color="auto" w:sz="4" w:space="0"/>
              <w:right w:val="nil"/>
            </w:tcBorders>
            <w:hideMark/>
          </w:tcPr>
          <w:p w:rsidRPr="004431DE" w:rsidR="0065120A" w:rsidP="00BC3A1F" w:rsidRDefault="0065120A" w14:paraId="051845D9"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0C95DD48"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1690307A" w14:textId="77777777">
            <w:pPr>
              <w:ind w:firstLine="400" w:firstLineChars="200"/>
              <w:rPr>
                <w:rFonts w:ascii="Arial" w:hAnsi="Arial" w:eastAsia="Times New Roman" w:cs="Arial"/>
                <w:sz w:val="20"/>
                <w:szCs w:val="20"/>
              </w:rPr>
            </w:pPr>
            <w:r w:rsidRPr="004431DE">
              <w:rPr>
                <w:rFonts w:ascii="Arial" w:hAnsi="Arial"/>
                <w:sz w:val="20"/>
                <w:lang w:eastAsia="en-GB"/>
              </w:rPr>
              <w:t xml:space="preserve">(5) </w:t>
            </w:r>
            <w:r w:rsidRPr="004431DE">
              <w:rPr>
                <w:rFonts w:ascii="Arial" w:hAnsi="Arial"/>
                <w:sz w:val="20"/>
              </w:rPr>
              <w:t>Adres internetowy publicznego ujawnienia informacji</w:t>
            </w:r>
          </w:p>
        </w:tc>
        <w:tc>
          <w:tcPr>
            <w:tcW w:w="2745" w:type="dxa"/>
            <w:tcBorders>
              <w:left w:val="nil"/>
              <w:bottom w:val="single" w:color="auto" w:sz="4" w:space="0"/>
              <w:right w:val="nil"/>
            </w:tcBorders>
            <w:noWrap/>
            <w:hideMark/>
          </w:tcPr>
          <w:p w:rsidRPr="004431DE" w:rsidR="0065120A" w:rsidP="00BC3A1F" w:rsidRDefault="0065120A" w14:paraId="34A08187" w14:textId="77777777">
            <w:pPr>
              <w:jc w:val="center"/>
              <w:rPr>
                <w:rFonts w:ascii="Arial" w:hAnsi="Arial" w:eastAsia="Times New Roman" w:cs="Arial"/>
                <w:color w:val="0000FF"/>
                <w:sz w:val="20"/>
                <w:szCs w:val="20"/>
                <w:u w:val="single"/>
                <w:lang w:eastAsia="en-GB"/>
              </w:rPr>
            </w:pPr>
          </w:p>
        </w:tc>
      </w:tr>
      <w:tr w:rsidRPr="004431DE" w:rsidR="0065120A" w:rsidTr="00BC3A1F" w14:paraId="245F5D68"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6C56C056" w14:textId="77777777">
            <w:pPr>
              <w:ind w:firstLine="400" w:firstLineChars="200"/>
              <w:rPr>
                <w:rFonts w:ascii="Arial" w:hAnsi="Arial" w:eastAsia="Times New Roman" w:cs="Arial"/>
                <w:sz w:val="20"/>
                <w:szCs w:val="20"/>
              </w:rPr>
            </w:pPr>
            <w:r w:rsidRPr="004431DE">
              <w:rPr>
                <w:rFonts w:ascii="Arial" w:hAnsi="Arial"/>
                <w:sz w:val="20"/>
                <w:lang w:eastAsia="en-GB"/>
              </w:rPr>
              <w:t xml:space="preserve">(6) </w:t>
            </w:r>
            <w:r w:rsidRPr="004431DE">
              <w:rPr>
                <w:rFonts w:ascii="Arial" w:hAnsi="Arial"/>
                <w:sz w:val="20"/>
              </w:rPr>
              <w:t>Kod LEI</w:t>
            </w:r>
          </w:p>
        </w:tc>
        <w:tc>
          <w:tcPr>
            <w:tcW w:w="2745" w:type="dxa"/>
            <w:tcBorders>
              <w:left w:val="nil"/>
              <w:bottom w:val="single" w:color="auto" w:sz="4" w:space="0"/>
              <w:right w:val="nil"/>
            </w:tcBorders>
            <w:hideMark/>
          </w:tcPr>
          <w:p w:rsidRPr="004431DE" w:rsidR="0065120A" w:rsidP="00BC3A1F" w:rsidRDefault="0065120A" w14:paraId="571D9163" w14:textId="77777777">
            <w:pPr>
              <w:jc w:val="center"/>
              <w:rPr>
                <w:rFonts w:ascii="Arial" w:hAnsi="Arial" w:eastAsia="Times New Roman" w:cs="Arial"/>
                <w:sz w:val="20"/>
                <w:szCs w:val="20"/>
              </w:rPr>
            </w:pPr>
            <w:r w:rsidRPr="004431DE">
              <w:rPr>
                <w:rFonts w:ascii="Arial" w:hAnsi="Arial"/>
                <w:sz w:val="20"/>
              </w:rPr>
              <w:t> </w:t>
            </w:r>
          </w:p>
        </w:tc>
      </w:tr>
      <w:tr w:rsidRPr="004431DE" w:rsidR="0065120A" w:rsidTr="00BC3A1F" w14:paraId="4CB77D52" w14:textId="77777777">
        <w:trPr>
          <w:trHeight w:val="300"/>
        </w:trPr>
        <w:tc>
          <w:tcPr>
            <w:tcW w:w="6804" w:type="dxa"/>
            <w:gridSpan w:val="2"/>
            <w:tcBorders>
              <w:left w:val="nil"/>
              <w:bottom w:val="nil"/>
              <w:right w:val="nil"/>
            </w:tcBorders>
            <w:noWrap/>
          </w:tcPr>
          <w:p w:rsidRPr="004431DE" w:rsidR="0065120A" w:rsidP="00BC3A1F" w:rsidRDefault="0065120A" w14:paraId="798F1B78"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4431DE" w:rsidR="0065120A" w:rsidP="00BC3A1F" w:rsidRDefault="0065120A" w14:paraId="021DCFBF" w14:textId="77777777">
            <w:pPr>
              <w:jc w:val="center"/>
              <w:rPr>
                <w:rFonts w:ascii="Arial" w:hAnsi="Arial" w:eastAsia="Times New Roman" w:cs="Arial"/>
                <w:sz w:val="20"/>
                <w:szCs w:val="20"/>
                <w:lang w:eastAsia="en-GB"/>
              </w:rPr>
            </w:pPr>
          </w:p>
        </w:tc>
      </w:tr>
      <w:tr w:rsidRPr="004431DE" w:rsidR="0065120A" w:rsidTr="00BC3A1F" w14:paraId="72F54218" w14:textId="77777777">
        <w:trPr>
          <w:trHeight w:val="300"/>
        </w:trPr>
        <w:tc>
          <w:tcPr>
            <w:tcW w:w="6804" w:type="dxa"/>
            <w:gridSpan w:val="2"/>
            <w:tcBorders>
              <w:top w:val="nil"/>
              <w:left w:val="nil"/>
              <w:bottom w:val="nil"/>
              <w:right w:val="nil"/>
            </w:tcBorders>
            <w:noWrap/>
          </w:tcPr>
          <w:p w:rsidRPr="004431DE" w:rsidR="0065120A" w:rsidP="00BC3A1F" w:rsidRDefault="0065120A" w14:paraId="364F8FB4" w14:textId="77777777">
            <w:pPr>
              <w:keepNext/>
              <w:keepLines/>
              <w:spacing w:before="47"/>
              <w:outlineLvl w:val="5"/>
              <w:rPr>
                <w:rFonts w:ascii="Arial" w:hAnsi="Arial" w:eastAsia="Times New Roman" w:cs="Arial"/>
                <w:i/>
                <w:iCs/>
                <w:caps/>
                <w:color w:val="172B39" w:themeColor="accent1" w:themeShade="80"/>
                <w:sz w:val="20"/>
                <w:szCs w:val="20"/>
              </w:rPr>
            </w:pPr>
            <w:r w:rsidRPr="004431DE">
              <w:rPr>
                <w:rFonts w:asciiTheme="majorHAnsi" w:hAnsiTheme="majorHAnsi"/>
                <w:b/>
                <w:i/>
                <w:caps/>
              </w:rPr>
              <w:t>Wskaźniki wielkości</w:t>
            </w:r>
          </w:p>
        </w:tc>
        <w:tc>
          <w:tcPr>
            <w:tcW w:w="2745" w:type="dxa"/>
            <w:tcBorders>
              <w:top w:val="nil"/>
              <w:left w:val="nil"/>
              <w:bottom w:val="nil"/>
              <w:right w:val="nil"/>
            </w:tcBorders>
          </w:tcPr>
          <w:p w:rsidRPr="004431DE" w:rsidR="0065120A" w:rsidP="00BC3A1F" w:rsidRDefault="0065120A" w14:paraId="2548BFDD" w14:textId="77777777">
            <w:pPr>
              <w:jc w:val="center"/>
              <w:rPr>
                <w:rFonts w:ascii="Arial" w:hAnsi="Arial" w:eastAsia="Times New Roman" w:cs="Arial"/>
                <w:sz w:val="20"/>
                <w:szCs w:val="20"/>
                <w:lang w:eastAsia="en-GB"/>
              </w:rPr>
            </w:pPr>
          </w:p>
        </w:tc>
      </w:tr>
      <w:tr w:rsidRPr="004431DE" w:rsidR="0065120A" w:rsidTr="00BC3A1F" w14:paraId="11F85F81" w14:textId="77777777">
        <w:trPr>
          <w:trHeight w:val="300"/>
        </w:trPr>
        <w:tc>
          <w:tcPr>
            <w:tcW w:w="6804" w:type="dxa"/>
            <w:gridSpan w:val="2"/>
            <w:tcBorders>
              <w:top w:val="nil"/>
              <w:left w:val="nil"/>
              <w:bottom w:val="single" w:color="auto" w:sz="4" w:space="0"/>
              <w:right w:val="nil"/>
            </w:tcBorders>
            <w:noWrap/>
          </w:tcPr>
          <w:p w:rsidRPr="004431DE" w:rsidR="0065120A" w:rsidP="00BC3A1F" w:rsidRDefault="0065120A" w14:paraId="45F5977E"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4431DE" w:rsidR="0065120A" w:rsidP="00BC3A1F" w:rsidRDefault="0065120A" w14:paraId="79C19184" w14:textId="77777777">
            <w:pPr>
              <w:jc w:val="center"/>
              <w:rPr>
                <w:rFonts w:ascii="Arial" w:hAnsi="Arial" w:eastAsia="Times New Roman" w:cs="Arial"/>
                <w:sz w:val="20"/>
                <w:szCs w:val="20"/>
                <w:lang w:eastAsia="en-GB"/>
              </w:rPr>
            </w:pPr>
          </w:p>
        </w:tc>
      </w:tr>
      <w:tr w:rsidRPr="004431DE" w:rsidR="0065120A" w:rsidTr="00BC3A1F" w14:paraId="5EED0E90" w14:textId="77777777">
        <w:trPr>
          <w:trHeight w:val="300"/>
        </w:trPr>
        <w:tc>
          <w:tcPr>
            <w:tcW w:w="6804" w:type="dxa"/>
            <w:gridSpan w:val="2"/>
            <w:tcBorders>
              <w:left w:val="nil"/>
              <w:right w:val="nil"/>
            </w:tcBorders>
            <w:noWrap/>
          </w:tcPr>
          <w:p w:rsidRPr="004431DE" w:rsidR="0065120A" w:rsidP="00BC3A1F" w:rsidRDefault="0065120A" w14:paraId="007496BB" w14:textId="77777777">
            <w:pPr>
              <w:rPr>
                <w:rFonts w:ascii="Arial" w:hAnsi="Arial" w:eastAsia="Times New Roman" w:cs="Arial"/>
                <w:sz w:val="20"/>
                <w:szCs w:val="20"/>
              </w:rPr>
            </w:pPr>
            <w:r w:rsidRPr="004431DE">
              <w:rPr>
                <w:rFonts w:ascii="Arial" w:hAnsi="Arial"/>
                <w:b/>
                <w:sz w:val="20"/>
              </w:rPr>
              <w:t>Sekcja 2 – Łączna wartość ekspozycji</w:t>
            </w:r>
          </w:p>
        </w:tc>
        <w:tc>
          <w:tcPr>
            <w:tcW w:w="2745" w:type="dxa"/>
            <w:tcBorders>
              <w:left w:val="nil"/>
              <w:right w:val="nil"/>
            </w:tcBorders>
            <w:noWrap/>
          </w:tcPr>
          <w:p w:rsidRPr="004431DE" w:rsidR="0065120A" w:rsidP="00BC3A1F" w:rsidRDefault="0065120A" w14:paraId="13C7469F" w14:textId="77777777">
            <w:pPr>
              <w:ind w:firstLine="201" w:firstLineChars="100"/>
              <w:jc w:val="center"/>
              <w:rPr>
                <w:rFonts w:ascii="Arial" w:hAnsi="Arial" w:eastAsia="Times New Roman" w:cs="Arial"/>
                <w:sz w:val="20"/>
                <w:szCs w:val="20"/>
              </w:rPr>
            </w:pPr>
            <w:r w:rsidRPr="004431DE">
              <w:rPr>
                <w:rFonts w:ascii="Arial" w:hAnsi="Arial"/>
                <w:b/>
                <w:sz w:val="20"/>
              </w:rPr>
              <w:t>Kwota</w:t>
            </w:r>
          </w:p>
        </w:tc>
      </w:tr>
      <w:tr w:rsidRPr="004431DE" w:rsidR="0065120A" w:rsidTr="00BC3A1F" w14:paraId="47A5A09C" w14:textId="77777777">
        <w:trPr>
          <w:trHeight w:val="300"/>
        </w:trPr>
        <w:tc>
          <w:tcPr>
            <w:tcW w:w="6804" w:type="dxa"/>
            <w:gridSpan w:val="2"/>
            <w:tcBorders>
              <w:left w:val="nil"/>
              <w:right w:val="nil"/>
            </w:tcBorders>
            <w:noWrap/>
            <w:hideMark/>
          </w:tcPr>
          <w:p w:rsidRPr="004431DE" w:rsidR="0065120A" w:rsidP="00BC3A1F" w:rsidRDefault="0065120A" w14:paraId="4754969F" w14:textId="77777777">
            <w:pPr>
              <w:ind w:firstLine="200" w:firstLineChars="100"/>
              <w:rPr>
                <w:rFonts w:ascii="Arial" w:hAnsi="Arial" w:eastAsia="Times New Roman" w:cs="Arial"/>
                <w:sz w:val="20"/>
                <w:szCs w:val="20"/>
              </w:rPr>
            </w:pPr>
            <w:r w:rsidRPr="004431DE">
              <w:rPr>
                <w:rFonts w:ascii="Arial" w:hAnsi="Arial"/>
                <w:sz w:val="20"/>
              </w:rPr>
              <w:t>a. Instrumenty pochodne</w:t>
            </w:r>
          </w:p>
        </w:tc>
        <w:tc>
          <w:tcPr>
            <w:tcW w:w="2745" w:type="dxa"/>
            <w:tcBorders>
              <w:left w:val="nil"/>
              <w:right w:val="nil"/>
            </w:tcBorders>
            <w:noWrap/>
            <w:hideMark/>
          </w:tcPr>
          <w:p w:rsidRPr="004431DE" w:rsidR="0065120A" w:rsidP="00BC3A1F" w:rsidRDefault="0065120A" w14:paraId="13232DED" w14:textId="77777777">
            <w:pPr>
              <w:ind w:firstLine="200" w:firstLineChars="100"/>
              <w:rPr>
                <w:rFonts w:ascii="Arial" w:hAnsi="Arial" w:eastAsia="Times New Roman" w:cs="Arial"/>
                <w:sz w:val="20"/>
                <w:szCs w:val="20"/>
              </w:rPr>
            </w:pPr>
            <w:r w:rsidRPr="004431DE">
              <w:rPr>
                <w:rFonts w:ascii="Arial" w:hAnsi="Arial"/>
                <w:sz w:val="20"/>
              </w:rPr>
              <w:t> </w:t>
            </w:r>
          </w:p>
        </w:tc>
      </w:tr>
      <w:tr w:rsidRPr="004431DE" w:rsidR="0065120A" w:rsidTr="00BC3A1F" w14:paraId="644FF1DD" w14:textId="77777777">
        <w:trPr>
          <w:trHeight w:val="300"/>
        </w:trPr>
        <w:tc>
          <w:tcPr>
            <w:tcW w:w="6804" w:type="dxa"/>
            <w:gridSpan w:val="2"/>
            <w:tcBorders>
              <w:left w:val="nil"/>
              <w:right w:val="nil"/>
            </w:tcBorders>
            <w:noWrap/>
            <w:hideMark/>
          </w:tcPr>
          <w:p w:rsidRPr="004431DE" w:rsidR="0065120A" w:rsidP="00BC3A1F" w:rsidRDefault="0065120A" w14:paraId="380F4D66"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Ekspozycje kontrahentów z tytułu instrumentów pochodnych</w:t>
            </w:r>
          </w:p>
        </w:tc>
        <w:tc>
          <w:tcPr>
            <w:tcW w:w="2745" w:type="dxa"/>
            <w:tcBorders>
              <w:left w:val="nil"/>
              <w:right w:val="nil"/>
            </w:tcBorders>
            <w:noWrap/>
            <w:hideMark/>
          </w:tcPr>
          <w:p w:rsidRPr="004431DE" w:rsidR="0065120A" w:rsidP="00BC3A1F" w:rsidRDefault="0065120A" w14:paraId="3E191BE5"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42D37A7" w14:textId="77777777">
        <w:trPr>
          <w:trHeight w:val="300"/>
        </w:trPr>
        <w:tc>
          <w:tcPr>
            <w:tcW w:w="6804" w:type="dxa"/>
            <w:gridSpan w:val="2"/>
            <w:tcBorders>
              <w:left w:val="nil"/>
              <w:right w:val="nil"/>
            </w:tcBorders>
            <w:noWrap/>
            <w:hideMark/>
          </w:tcPr>
          <w:p w:rsidRPr="004431DE" w:rsidR="0065120A" w:rsidP="00BC3A1F" w:rsidRDefault="0065120A" w14:paraId="69FE84AC"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Maksymalna wartość kredytowych instrumentów pochodnych</w:t>
            </w:r>
          </w:p>
        </w:tc>
        <w:tc>
          <w:tcPr>
            <w:tcW w:w="2745" w:type="dxa"/>
            <w:tcBorders>
              <w:left w:val="nil"/>
              <w:right w:val="nil"/>
            </w:tcBorders>
            <w:noWrap/>
            <w:hideMark/>
          </w:tcPr>
          <w:p w:rsidRPr="004431DE" w:rsidR="0065120A" w:rsidP="00BC3A1F" w:rsidRDefault="0065120A" w14:paraId="6434AF12"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11B2231" w14:textId="77777777">
        <w:trPr>
          <w:trHeight w:val="300"/>
        </w:trPr>
        <w:tc>
          <w:tcPr>
            <w:tcW w:w="6804" w:type="dxa"/>
            <w:gridSpan w:val="2"/>
            <w:tcBorders>
              <w:left w:val="nil"/>
              <w:right w:val="nil"/>
            </w:tcBorders>
            <w:noWrap/>
            <w:hideMark/>
          </w:tcPr>
          <w:p w:rsidRPr="004431DE" w:rsidR="0065120A" w:rsidP="00BC3A1F" w:rsidRDefault="0065120A" w14:paraId="65BCF402" w14:textId="77777777">
            <w:pPr>
              <w:ind w:firstLine="400" w:firstLineChars="200"/>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Potencjalna przyszła ekspozycja z tytułu instrumentów pochodnych</w:t>
            </w:r>
          </w:p>
        </w:tc>
        <w:tc>
          <w:tcPr>
            <w:tcW w:w="2745" w:type="dxa"/>
            <w:tcBorders>
              <w:left w:val="nil"/>
              <w:right w:val="nil"/>
            </w:tcBorders>
            <w:noWrap/>
            <w:hideMark/>
          </w:tcPr>
          <w:p w:rsidRPr="004431DE" w:rsidR="0065120A" w:rsidP="00BC3A1F" w:rsidRDefault="0065120A" w14:paraId="1CE9D19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D621AC3" w14:textId="77777777">
        <w:trPr>
          <w:trHeight w:val="300"/>
        </w:trPr>
        <w:tc>
          <w:tcPr>
            <w:tcW w:w="6804" w:type="dxa"/>
            <w:gridSpan w:val="2"/>
            <w:tcBorders>
              <w:left w:val="nil"/>
              <w:right w:val="nil"/>
            </w:tcBorders>
            <w:noWrap/>
            <w:hideMark/>
          </w:tcPr>
          <w:p w:rsidRPr="004431DE" w:rsidR="0065120A" w:rsidP="00BC3A1F" w:rsidRDefault="0065120A" w14:paraId="18FB8772" w14:textId="77777777">
            <w:pPr>
              <w:ind w:firstLine="200" w:firstLineChars="100"/>
              <w:rPr>
                <w:rFonts w:ascii="Arial" w:hAnsi="Arial" w:eastAsia="Times New Roman" w:cs="Arial"/>
                <w:sz w:val="20"/>
                <w:szCs w:val="20"/>
              </w:rPr>
            </w:pPr>
            <w:r w:rsidRPr="004431DE">
              <w:rPr>
                <w:rFonts w:ascii="Arial" w:hAnsi="Arial"/>
                <w:sz w:val="20"/>
              </w:rPr>
              <w:t>b. Transakcje finansowane z użyciem papierów wartościowych (SFT)</w:t>
            </w:r>
          </w:p>
        </w:tc>
        <w:tc>
          <w:tcPr>
            <w:tcW w:w="2745" w:type="dxa"/>
            <w:tcBorders>
              <w:left w:val="nil"/>
              <w:right w:val="nil"/>
            </w:tcBorders>
            <w:noWrap/>
            <w:hideMark/>
          </w:tcPr>
          <w:p w:rsidRPr="004431DE" w:rsidR="0065120A" w:rsidP="00BC3A1F" w:rsidRDefault="0065120A" w14:paraId="0487EB7F" w14:textId="77777777">
            <w:pPr>
              <w:ind w:firstLine="200" w:firstLineChars="100"/>
              <w:rPr>
                <w:rFonts w:ascii="Arial" w:hAnsi="Arial" w:eastAsia="Times New Roman" w:cs="Arial"/>
                <w:sz w:val="20"/>
                <w:szCs w:val="20"/>
              </w:rPr>
            </w:pPr>
            <w:r w:rsidRPr="004431DE">
              <w:rPr>
                <w:rFonts w:ascii="Arial" w:hAnsi="Arial"/>
                <w:sz w:val="20"/>
              </w:rPr>
              <w:t> </w:t>
            </w:r>
          </w:p>
        </w:tc>
      </w:tr>
      <w:tr w:rsidRPr="004431DE" w:rsidR="0065120A" w:rsidTr="00BC3A1F" w14:paraId="6FE20912" w14:textId="77777777">
        <w:trPr>
          <w:trHeight w:val="300"/>
        </w:trPr>
        <w:tc>
          <w:tcPr>
            <w:tcW w:w="6804" w:type="dxa"/>
            <w:gridSpan w:val="2"/>
            <w:tcBorders>
              <w:left w:val="nil"/>
              <w:right w:val="nil"/>
            </w:tcBorders>
            <w:noWrap/>
            <w:hideMark/>
          </w:tcPr>
          <w:p w:rsidRPr="004431DE" w:rsidR="0065120A" w:rsidP="00BC3A1F" w:rsidRDefault="0065120A" w14:paraId="67A98A72"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Skorygowana wartość brutto SFT</w:t>
            </w:r>
          </w:p>
        </w:tc>
        <w:tc>
          <w:tcPr>
            <w:tcW w:w="2745" w:type="dxa"/>
            <w:tcBorders>
              <w:left w:val="nil"/>
              <w:right w:val="nil"/>
            </w:tcBorders>
            <w:noWrap/>
            <w:hideMark/>
          </w:tcPr>
          <w:p w:rsidRPr="004431DE" w:rsidR="0065120A" w:rsidP="00BC3A1F" w:rsidRDefault="0065120A" w14:paraId="6E312EE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251658A" w14:textId="77777777">
        <w:trPr>
          <w:trHeight w:val="300"/>
        </w:trPr>
        <w:tc>
          <w:tcPr>
            <w:tcW w:w="6804" w:type="dxa"/>
            <w:gridSpan w:val="2"/>
            <w:tcBorders>
              <w:left w:val="nil"/>
              <w:right w:val="nil"/>
            </w:tcBorders>
            <w:noWrap/>
            <w:hideMark/>
          </w:tcPr>
          <w:p w:rsidRPr="004431DE" w:rsidR="0065120A" w:rsidP="00BC3A1F" w:rsidRDefault="0065120A" w14:paraId="4D82E2C3"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Ekspozycje kontrahentów z tytułu SFT</w:t>
            </w:r>
          </w:p>
        </w:tc>
        <w:tc>
          <w:tcPr>
            <w:tcW w:w="2745" w:type="dxa"/>
            <w:tcBorders>
              <w:left w:val="nil"/>
              <w:right w:val="nil"/>
            </w:tcBorders>
            <w:noWrap/>
            <w:hideMark/>
          </w:tcPr>
          <w:p w:rsidRPr="004431DE" w:rsidR="0065120A" w:rsidP="00BC3A1F" w:rsidRDefault="0065120A" w14:paraId="314229F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5768178" w14:textId="77777777">
        <w:trPr>
          <w:trHeight w:val="300"/>
        </w:trPr>
        <w:tc>
          <w:tcPr>
            <w:tcW w:w="6804" w:type="dxa"/>
            <w:gridSpan w:val="2"/>
            <w:tcBorders>
              <w:left w:val="nil"/>
              <w:right w:val="nil"/>
            </w:tcBorders>
            <w:noWrap/>
            <w:hideMark/>
          </w:tcPr>
          <w:p w:rsidRPr="004431DE" w:rsidR="0065120A" w:rsidP="00BC3A1F" w:rsidRDefault="0065120A" w14:paraId="17B1336E" w14:textId="77777777">
            <w:pPr>
              <w:ind w:firstLine="200" w:firstLineChars="100"/>
              <w:rPr>
                <w:rFonts w:ascii="Arial" w:hAnsi="Arial" w:eastAsia="Times New Roman" w:cs="Arial"/>
                <w:sz w:val="20"/>
                <w:szCs w:val="20"/>
              </w:rPr>
            </w:pPr>
            <w:r w:rsidRPr="004431DE">
              <w:rPr>
                <w:rFonts w:ascii="Arial" w:hAnsi="Arial"/>
                <w:sz w:val="20"/>
              </w:rPr>
              <w:t>c. Pozostałe aktywa</w:t>
            </w:r>
          </w:p>
        </w:tc>
        <w:tc>
          <w:tcPr>
            <w:tcW w:w="2745" w:type="dxa"/>
            <w:tcBorders>
              <w:left w:val="nil"/>
              <w:right w:val="nil"/>
            </w:tcBorders>
            <w:noWrap/>
            <w:hideMark/>
          </w:tcPr>
          <w:p w:rsidRPr="004431DE" w:rsidR="0065120A" w:rsidP="00BC3A1F" w:rsidRDefault="0065120A" w14:paraId="040EC3B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6F33885" w14:textId="77777777">
        <w:trPr>
          <w:trHeight w:val="300"/>
        </w:trPr>
        <w:tc>
          <w:tcPr>
            <w:tcW w:w="6804" w:type="dxa"/>
            <w:gridSpan w:val="2"/>
            <w:tcBorders>
              <w:left w:val="nil"/>
              <w:right w:val="nil"/>
            </w:tcBorders>
            <w:noWrap/>
            <w:hideMark/>
          </w:tcPr>
          <w:p w:rsidRPr="004431DE" w:rsidR="0065120A" w:rsidP="00BC3A1F" w:rsidRDefault="0065120A" w14:paraId="6E51B175" w14:textId="77777777">
            <w:pPr>
              <w:ind w:firstLine="200" w:firstLineChars="100"/>
              <w:rPr>
                <w:rFonts w:ascii="Arial" w:hAnsi="Arial" w:eastAsia="Times New Roman" w:cs="Arial"/>
                <w:sz w:val="20"/>
                <w:szCs w:val="20"/>
              </w:rPr>
            </w:pPr>
            <w:r w:rsidRPr="004431DE">
              <w:rPr>
                <w:rFonts w:ascii="Arial" w:hAnsi="Arial"/>
                <w:sz w:val="20"/>
              </w:rPr>
              <w:t>d. Wartość nominalna brutto pozycji pozabilansowych</w:t>
            </w:r>
          </w:p>
        </w:tc>
        <w:tc>
          <w:tcPr>
            <w:tcW w:w="2745" w:type="dxa"/>
            <w:tcBorders>
              <w:left w:val="nil"/>
              <w:right w:val="nil"/>
            </w:tcBorders>
            <w:noWrap/>
            <w:hideMark/>
          </w:tcPr>
          <w:p w:rsidRPr="004431DE" w:rsidR="0065120A" w:rsidP="00BC3A1F" w:rsidRDefault="0065120A" w14:paraId="4F11BFAD" w14:textId="77777777">
            <w:pPr>
              <w:ind w:firstLine="200" w:firstLineChars="100"/>
              <w:rPr>
                <w:rFonts w:ascii="Arial" w:hAnsi="Arial" w:eastAsia="Times New Roman" w:cs="Arial"/>
                <w:sz w:val="20"/>
                <w:szCs w:val="20"/>
              </w:rPr>
            </w:pPr>
            <w:r w:rsidRPr="004431DE">
              <w:rPr>
                <w:rFonts w:ascii="Arial" w:hAnsi="Arial"/>
                <w:sz w:val="20"/>
              </w:rPr>
              <w:t> </w:t>
            </w:r>
          </w:p>
        </w:tc>
      </w:tr>
      <w:tr w:rsidRPr="004431DE" w:rsidR="0065120A" w:rsidTr="00BC3A1F" w14:paraId="4A949443" w14:textId="77777777">
        <w:trPr>
          <w:trHeight w:val="300"/>
        </w:trPr>
        <w:tc>
          <w:tcPr>
            <w:tcW w:w="6804" w:type="dxa"/>
            <w:gridSpan w:val="2"/>
            <w:tcBorders>
              <w:left w:val="nil"/>
              <w:right w:val="nil"/>
            </w:tcBorders>
            <w:noWrap/>
            <w:hideMark/>
          </w:tcPr>
          <w:p w:rsidRPr="004431DE" w:rsidR="0065120A" w:rsidP="00BC3A1F" w:rsidRDefault="0065120A" w14:paraId="6BCC3D00"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Pozycje, którym przypisano współczynnik konwersji kredytowej (CCF) na poziomie 0%</w:t>
            </w:r>
          </w:p>
        </w:tc>
        <w:tc>
          <w:tcPr>
            <w:tcW w:w="2745" w:type="dxa"/>
            <w:tcBorders>
              <w:left w:val="nil"/>
              <w:right w:val="nil"/>
            </w:tcBorders>
            <w:noWrap/>
            <w:hideMark/>
          </w:tcPr>
          <w:p w:rsidRPr="004431DE" w:rsidR="0065120A" w:rsidP="00BC3A1F" w:rsidRDefault="0065120A" w14:paraId="154D1E6A"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93A0937" w14:textId="77777777">
        <w:trPr>
          <w:trHeight w:val="300"/>
        </w:trPr>
        <w:tc>
          <w:tcPr>
            <w:tcW w:w="6804" w:type="dxa"/>
            <w:gridSpan w:val="2"/>
            <w:tcBorders>
              <w:left w:val="nil"/>
              <w:right w:val="nil"/>
            </w:tcBorders>
            <w:noWrap/>
            <w:hideMark/>
          </w:tcPr>
          <w:p w:rsidRPr="004431DE" w:rsidR="0065120A" w:rsidP="00BC3A1F" w:rsidRDefault="0065120A" w14:paraId="41089A51"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Pozycje, którym przypisano CCF na poziomie 20%</w:t>
            </w:r>
          </w:p>
        </w:tc>
        <w:tc>
          <w:tcPr>
            <w:tcW w:w="2745" w:type="dxa"/>
            <w:tcBorders>
              <w:left w:val="nil"/>
              <w:right w:val="nil"/>
            </w:tcBorders>
            <w:noWrap/>
            <w:hideMark/>
          </w:tcPr>
          <w:p w:rsidRPr="004431DE" w:rsidR="0065120A" w:rsidP="00BC3A1F" w:rsidRDefault="0065120A" w14:paraId="0214F650"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CB18E33" w14:textId="77777777">
        <w:trPr>
          <w:trHeight w:val="300"/>
        </w:trPr>
        <w:tc>
          <w:tcPr>
            <w:tcW w:w="6804" w:type="dxa"/>
            <w:gridSpan w:val="2"/>
            <w:tcBorders>
              <w:left w:val="nil"/>
              <w:right w:val="nil"/>
            </w:tcBorders>
            <w:noWrap/>
            <w:hideMark/>
          </w:tcPr>
          <w:p w:rsidRPr="004431DE" w:rsidR="0065120A" w:rsidP="00BC3A1F" w:rsidRDefault="0065120A" w14:paraId="42807EFD" w14:textId="77777777">
            <w:pPr>
              <w:ind w:firstLine="400" w:firstLineChars="200"/>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Pozycje, którym przypisano CCF na poziomie 50 %</w:t>
            </w:r>
          </w:p>
        </w:tc>
        <w:tc>
          <w:tcPr>
            <w:tcW w:w="2745" w:type="dxa"/>
            <w:tcBorders>
              <w:left w:val="nil"/>
              <w:right w:val="nil"/>
            </w:tcBorders>
            <w:noWrap/>
            <w:hideMark/>
          </w:tcPr>
          <w:p w:rsidRPr="004431DE" w:rsidR="0065120A" w:rsidP="00BC3A1F" w:rsidRDefault="0065120A" w14:paraId="569491FE"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4218F0B" w14:textId="77777777">
        <w:trPr>
          <w:trHeight w:val="300"/>
        </w:trPr>
        <w:tc>
          <w:tcPr>
            <w:tcW w:w="6804" w:type="dxa"/>
            <w:gridSpan w:val="2"/>
            <w:tcBorders>
              <w:left w:val="nil"/>
              <w:right w:val="nil"/>
            </w:tcBorders>
            <w:noWrap/>
            <w:hideMark/>
          </w:tcPr>
          <w:p w:rsidRPr="004431DE" w:rsidR="0065120A" w:rsidP="00BC3A1F" w:rsidRDefault="0065120A" w14:paraId="62A8F498" w14:textId="77777777">
            <w:pPr>
              <w:ind w:firstLine="400" w:firstLineChars="200"/>
              <w:rPr>
                <w:rFonts w:ascii="Arial" w:hAnsi="Arial" w:eastAsia="Times New Roman" w:cs="Arial"/>
                <w:sz w:val="20"/>
                <w:szCs w:val="20"/>
              </w:rPr>
            </w:pPr>
            <w:r w:rsidRPr="004431DE">
              <w:rPr>
                <w:rFonts w:ascii="Arial" w:hAnsi="Arial"/>
                <w:sz w:val="20"/>
                <w:lang w:eastAsia="en-GB"/>
              </w:rPr>
              <w:t xml:space="preserve">(4) </w:t>
            </w:r>
            <w:r w:rsidRPr="004431DE">
              <w:rPr>
                <w:rFonts w:ascii="Arial" w:hAnsi="Arial"/>
                <w:sz w:val="20"/>
              </w:rPr>
              <w:t>Pozycje, którym przypisano CCF na poziomie 100 %</w:t>
            </w:r>
          </w:p>
        </w:tc>
        <w:tc>
          <w:tcPr>
            <w:tcW w:w="2745" w:type="dxa"/>
            <w:tcBorders>
              <w:left w:val="nil"/>
              <w:right w:val="nil"/>
            </w:tcBorders>
            <w:noWrap/>
            <w:hideMark/>
          </w:tcPr>
          <w:p w:rsidRPr="004431DE" w:rsidR="0065120A" w:rsidP="00BC3A1F" w:rsidRDefault="0065120A" w14:paraId="06BC62A9"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B5E07B3" w14:textId="77777777">
        <w:trPr>
          <w:trHeight w:val="300"/>
        </w:trPr>
        <w:tc>
          <w:tcPr>
            <w:tcW w:w="6804" w:type="dxa"/>
            <w:gridSpan w:val="2"/>
            <w:tcBorders>
              <w:left w:val="nil"/>
              <w:right w:val="nil"/>
            </w:tcBorders>
            <w:noWrap/>
            <w:hideMark/>
          </w:tcPr>
          <w:p w:rsidRPr="004431DE" w:rsidR="0065120A" w:rsidP="00BC3A1F" w:rsidRDefault="0065120A" w14:paraId="16793B77" w14:textId="77777777">
            <w:pPr>
              <w:ind w:firstLine="200" w:firstLineChars="100"/>
              <w:rPr>
                <w:rFonts w:ascii="Arial" w:hAnsi="Arial" w:eastAsia="Times New Roman" w:cs="Arial"/>
                <w:sz w:val="20"/>
                <w:szCs w:val="20"/>
              </w:rPr>
            </w:pPr>
            <w:r w:rsidRPr="004431DE">
              <w:rPr>
                <w:rFonts w:ascii="Arial" w:hAnsi="Arial"/>
                <w:sz w:val="20"/>
              </w:rPr>
              <w:t>e. Korekty regulacyjne</w:t>
            </w:r>
          </w:p>
        </w:tc>
        <w:tc>
          <w:tcPr>
            <w:tcW w:w="2745" w:type="dxa"/>
            <w:tcBorders>
              <w:left w:val="nil"/>
              <w:right w:val="nil"/>
            </w:tcBorders>
            <w:noWrap/>
            <w:hideMark/>
          </w:tcPr>
          <w:p w:rsidRPr="004431DE" w:rsidR="0065120A" w:rsidP="00BC3A1F" w:rsidRDefault="0065120A" w14:paraId="43EB0CF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0614943" w14:textId="77777777">
        <w:trPr>
          <w:trHeight w:val="300"/>
        </w:trPr>
        <w:tc>
          <w:tcPr>
            <w:tcW w:w="6804" w:type="dxa"/>
            <w:gridSpan w:val="2"/>
            <w:tcBorders>
              <w:left w:val="nil"/>
              <w:right w:val="nil"/>
            </w:tcBorders>
            <w:noWrap/>
          </w:tcPr>
          <w:p w:rsidRPr="004431DE" w:rsidR="0065120A" w:rsidP="00BC3A1F" w:rsidRDefault="0065120A" w14:paraId="515A23EF" w14:textId="77777777">
            <w:pPr>
              <w:ind w:left="171" w:firstLine="28" w:firstLineChars="14"/>
              <w:rPr>
                <w:rFonts w:ascii="Arial" w:hAnsi="Arial" w:eastAsia="Times New Roman" w:cs="Arial"/>
                <w:sz w:val="20"/>
                <w:szCs w:val="20"/>
              </w:rPr>
            </w:pPr>
            <w:r w:rsidRPr="004431DE">
              <w:rPr>
                <w:rFonts w:ascii="Arial" w:hAnsi="Arial"/>
                <w:sz w:val="20"/>
              </w:rPr>
              <w:lastRenderedPageBreak/>
              <w:t>f. Łączna wartość ekspozycji przed korektami regulacyjnymi (suma pozycji 2.a.(1)–2.c., 0,1 razy 2.d.(1), 0,2 razy 2.d.(2), 0,5 razy 2.d.(3), i 2.d.(4))</w:t>
            </w:r>
          </w:p>
        </w:tc>
        <w:tc>
          <w:tcPr>
            <w:tcW w:w="2745" w:type="dxa"/>
            <w:tcBorders>
              <w:left w:val="nil"/>
              <w:right w:val="nil"/>
            </w:tcBorders>
            <w:noWrap/>
          </w:tcPr>
          <w:p w:rsidRPr="004431DE" w:rsidR="0065120A" w:rsidP="00BC3A1F" w:rsidRDefault="0065120A" w14:paraId="0A2173B9" w14:textId="77777777">
            <w:pPr>
              <w:jc w:val="right"/>
              <w:rPr>
                <w:rFonts w:ascii="Arial" w:hAnsi="Arial" w:eastAsia="Times New Roman" w:cs="Arial"/>
                <w:sz w:val="20"/>
                <w:szCs w:val="20"/>
                <w:lang w:eastAsia="en-GB"/>
              </w:rPr>
            </w:pPr>
          </w:p>
        </w:tc>
      </w:tr>
      <w:tr w:rsidRPr="004431DE" w:rsidR="0065120A" w:rsidTr="00BC3A1F" w14:paraId="0B8B307E" w14:textId="77777777">
        <w:trPr>
          <w:trHeight w:val="300"/>
        </w:trPr>
        <w:tc>
          <w:tcPr>
            <w:tcW w:w="6804" w:type="dxa"/>
            <w:gridSpan w:val="2"/>
            <w:tcBorders>
              <w:left w:val="nil"/>
              <w:right w:val="nil"/>
            </w:tcBorders>
            <w:noWrap/>
          </w:tcPr>
          <w:p w:rsidRPr="004431DE" w:rsidR="0065120A" w:rsidP="00BC3A1F" w:rsidRDefault="0065120A" w14:paraId="6F446CFF" w14:textId="77777777">
            <w:pPr>
              <w:ind w:left="171" w:firstLine="28" w:firstLineChars="14"/>
              <w:rPr>
                <w:rFonts w:ascii="Arial" w:hAnsi="Arial" w:eastAsia="Times New Roman" w:cs="Arial"/>
                <w:sz w:val="20"/>
                <w:szCs w:val="20"/>
              </w:rPr>
            </w:pPr>
            <w:r w:rsidRPr="004431DE">
              <w:rPr>
                <w:rFonts w:ascii="Arial" w:hAnsi="Arial"/>
                <w:sz w:val="20"/>
              </w:rPr>
              <w:t>g. Ekspozycje jednostek zależnych prowadzących działalność ubezpieczeniową, nieujęte w pozycji 2.f., z wyłączeniem wewnątrzgrupowych:</w:t>
            </w:r>
          </w:p>
        </w:tc>
        <w:tc>
          <w:tcPr>
            <w:tcW w:w="2745" w:type="dxa"/>
            <w:tcBorders>
              <w:left w:val="nil"/>
              <w:right w:val="nil"/>
            </w:tcBorders>
            <w:noWrap/>
          </w:tcPr>
          <w:p w:rsidRPr="004431DE" w:rsidR="0065120A" w:rsidP="00BC3A1F" w:rsidRDefault="0065120A" w14:paraId="2F1674CA" w14:textId="77777777">
            <w:pPr>
              <w:jc w:val="right"/>
              <w:rPr>
                <w:rFonts w:ascii="Arial" w:hAnsi="Arial" w:eastAsia="Times New Roman" w:cs="Arial"/>
                <w:sz w:val="20"/>
                <w:szCs w:val="20"/>
                <w:lang w:eastAsia="en-GB"/>
              </w:rPr>
            </w:pPr>
          </w:p>
        </w:tc>
      </w:tr>
      <w:tr w:rsidRPr="004431DE" w:rsidR="0065120A" w:rsidTr="00BC3A1F" w14:paraId="37DEC119" w14:textId="77777777">
        <w:trPr>
          <w:trHeight w:val="300"/>
        </w:trPr>
        <w:tc>
          <w:tcPr>
            <w:tcW w:w="6804" w:type="dxa"/>
            <w:gridSpan w:val="2"/>
            <w:tcBorders>
              <w:left w:val="nil"/>
              <w:right w:val="nil"/>
            </w:tcBorders>
            <w:noWrap/>
          </w:tcPr>
          <w:p w:rsidRPr="004431DE" w:rsidR="0065120A" w:rsidP="00BC3A1F" w:rsidRDefault="0065120A" w14:paraId="75D013B5" w14:textId="77777777">
            <w:pPr>
              <w:ind w:left="720" w:firstLine="28" w:firstLineChars="14"/>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Aktywa bilansowe i pozabilansowe jednostek zależnych prowadzących działalność ubezpieczeniową</w:t>
            </w:r>
          </w:p>
        </w:tc>
        <w:tc>
          <w:tcPr>
            <w:tcW w:w="2745" w:type="dxa"/>
            <w:tcBorders>
              <w:left w:val="nil"/>
              <w:right w:val="nil"/>
            </w:tcBorders>
            <w:noWrap/>
          </w:tcPr>
          <w:p w:rsidRPr="004431DE" w:rsidR="0065120A" w:rsidP="00BC3A1F" w:rsidRDefault="0065120A" w14:paraId="4A9100F6" w14:textId="77777777">
            <w:pPr>
              <w:jc w:val="right"/>
              <w:rPr>
                <w:rFonts w:ascii="Arial" w:hAnsi="Arial" w:eastAsia="Times New Roman" w:cs="Arial"/>
                <w:sz w:val="20"/>
                <w:szCs w:val="20"/>
                <w:lang w:eastAsia="en-GB"/>
              </w:rPr>
            </w:pPr>
          </w:p>
        </w:tc>
      </w:tr>
      <w:tr w:rsidRPr="004431DE" w:rsidR="0065120A" w:rsidTr="00BC3A1F" w14:paraId="1CB0927A" w14:textId="77777777">
        <w:trPr>
          <w:trHeight w:val="300"/>
        </w:trPr>
        <w:tc>
          <w:tcPr>
            <w:tcW w:w="6804" w:type="dxa"/>
            <w:gridSpan w:val="2"/>
            <w:tcBorders>
              <w:left w:val="nil"/>
              <w:right w:val="nil"/>
            </w:tcBorders>
            <w:noWrap/>
          </w:tcPr>
          <w:p w:rsidRPr="004431DE" w:rsidR="0065120A" w:rsidP="00BC3A1F" w:rsidRDefault="0065120A" w14:paraId="77A2ACDA" w14:textId="77777777">
            <w:pPr>
              <w:ind w:left="720" w:firstLine="28" w:firstLineChars="14"/>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Potencjalna przyszła ekspozycja z tytułu instrumentów pochodnych jednostek zależnych prowadzących działalność ubezpieczeniową</w:t>
            </w:r>
          </w:p>
        </w:tc>
        <w:tc>
          <w:tcPr>
            <w:tcW w:w="2745" w:type="dxa"/>
            <w:tcBorders>
              <w:left w:val="nil"/>
              <w:right w:val="nil"/>
            </w:tcBorders>
            <w:noWrap/>
          </w:tcPr>
          <w:p w:rsidRPr="004431DE" w:rsidR="0065120A" w:rsidP="00BC3A1F" w:rsidRDefault="0065120A" w14:paraId="36CE200E" w14:textId="77777777">
            <w:pPr>
              <w:jc w:val="right"/>
              <w:rPr>
                <w:rFonts w:ascii="Arial" w:hAnsi="Arial" w:eastAsia="Times New Roman" w:cs="Arial"/>
                <w:sz w:val="20"/>
                <w:szCs w:val="20"/>
                <w:lang w:eastAsia="en-GB"/>
              </w:rPr>
            </w:pPr>
          </w:p>
        </w:tc>
      </w:tr>
      <w:tr w:rsidRPr="004431DE" w:rsidR="0065120A" w:rsidTr="00BC3A1F" w14:paraId="79F66102" w14:textId="77777777">
        <w:trPr>
          <w:trHeight w:val="300"/>
        </w:trPr>
        <w:tc>
          <w:tcPr>
            <w:tcW w:w="6804" w:type="dxa"/>
            <w:gridSpan w:val="2"/>
            <w:tcBorders>
              <w:left w:val="nil"/>
              <w:right w:val="nil"/>
            </w:tcBorders>
            <w:noWrap/>
          </w:tcPr>
          <w:p w:rsidRPr="004431DE" w:rsidR="0065120A" w:rsidP="00BC3A1F" w:rsidRDefault="0065120A" w14:paraId="3CF0208C" w14:textId="77777777">
            <w:pPr>
              <w:ind w:left="720" w:firstLine="28" w:firstLineChars="14"/>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Wartość inwestycji w jednostkach objętych konsolidacją</w:t>
            </w:r>
          </w:p>
        </w:tc>
        <w:tc>
          <w:tcPr>
            <w:tcW w:w="2745" w:type="dxa"/>
            <w:tcBorders>
              <w:left w:val="nil"/>
              <w:right w:val="nil"/>
            </w:tcBorders>
            <w:noWrap/>
          </w:tcPr>
          <w:p w:rsidRPr="004431DE" w:rsidR="0065120A" w:rsidP="00BC3A1F" w:rsidRDefault="0065120A" w14:paraId="631D669C" w14:textId="77777777">
            <w:pPr>
              <w:jc w:val="right"/>
              <w:rPr>
                <w:rFonts w:ascii="Arial" w:hAnsi="Arial" w:eastAsia="Times New Roman" w:cs="Arial"/>
                <w:sz w:val="20"/>
                <w:szCs w:val="20"/>
                <w:lang w:eastAsia="en-GB"/>
              </w:rPr>
            </w:pPr>
          </w:p>
        </w:tc>
      </w:tr>
      <w:tr w:rsidRPr="004431DE" w:rsidR="0065120A" w:rsidTr="00BC3A1F" w14:paraId="3F195069" w14:textId="77777777">
        <w:trPr>
          <w:trHeight w:val="300"/>
        </w:trPr>
        <w:tc>
          <w:tcPr>
            <w:tcW w:w="6804" w:type="dxa"/>
            <w:gridSpan w:val="2"/>
            <w:tcBorders>
              <w:left w:val="nil"/>
              <w:right w:val="nil"/>
            </w:tcBorders>
            <w:noWrap/>
          </w:tcPr>
          <w:p w:rsidRPr="004431DE" w:rsidR="0065120A" w:rsidP="00BC3A1F" w:rsidRDefault="0065120A" w14:paraId="7BF490F8" w14:textId="77777777">
            <w:pPr>
              <w:ind w:left="171"/>
              <w:rPr>
                <w:rFonts w:ascii="Arial" w:hAnsi="Arial" w:eastAsia="Times New Roman" w:cs="Arial"/>
                <w:sz w:val="20"/>
                <w:szCs w:val="20"/>
              </w:rPr>
            </w:pPr>
            <w:r w:rsidRPr="004431DE">
              <w:rPr>
                <w:rFonts w:ascii="Arial" w:hAnsi="Arial"/>
                <w:sz w:val="20"/>
              </w:rPr>
              <w:t>h. Ekspozycje wewnątrzgrupowe ujęte w pozycji 2.f. wobec jednostek zależnych prowadzących działalność ubezpieczeniową, zgłoszone w pozycji 2.g.</w:t>
            </w:r>
          </w:p>
        </w:tc>
        <w:tc>
          <w:tcPr>
            <w:tcW w:w="2745" w:type="dxa"/>
            <w:tcBorders>
              <w:left w:val="nil"/>
              <w:right w:val="nil"/>
            </w:tcBorders>
            <w:noWrap/>
          </w:tcPr>
          <w:p w:rsidRPr="004431DE" w:rsidR="0065120A" w:rsidP="00BC3A1F" w:rsidRDefault="0065120A" w14:paraId="706A750C" w14:textId="77777777">
            <w:pPr>
              <w:jc w:val="right"/>
              <w:rPr>
                <w:rFonts w:ascii="Arial" w:hAnsi="Arial" w:eastAsia="Times New Roman" w:cs="Arial"/>
                <w:sz w:val="20"/>
                <w:szCs w:val="20"/>
                <w:lang w:eastAsia="en-GB"/>
              </w:rPr>
            </w:pPr>
          </w:p>
        </w:tc>
      </w:tr>
      <w:tr w:rsidRPr="004431DE" w:rsidR="0065120A" w:rsidTr="00BC3A1F" w14:paraId="6F8E9101"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92E9A25" w14:textId="77777777">
            <w:pPr>
              <w:ind w:left="171"/>
              <w:rPr>
                <w:rFonts w:ascii="Arial" w:hAnsi="Arial" w:eastAsia="Times New Roman" w:cs="Arial"/>
                <w:sz w:val="20"/>
                <w:szCs w:val="20"/>
              </w:rPr>
            </w:pPr>
            <w:r w:rsidRPr="004431DE">
              <w:rPr>
                <w:rFonts w:ascii="Arial" w:hAnsi="Arial"/>
                <w:sz w:val="20"/>
              </w:rPr>
              <w:t>i. Wskaźnik łącznej ekspozycji, w tym jednostek zależnych prowadzących działalność ubezpieczeniową (suma pozycji 2.f., 2.g.(1)–2.g.(2) minus 2.g.(3)–2.h.)</w:t>
            </w:r>
          </w:p>
        </w:tc>
        <w:tc>
          <w:tcPr>
            <w:tcW w:w="2745" w:type="dxa"/>
            <w:tcBorders>
              <w:left w:val="nil"/>
              <w:bottom w:val="single" w:color="auto" w:sz="4" w:space="0"/>
              <w:right w:val="nil"/>
            </w:tcBorders>
            <w:noWrap/>
          </w:tcPr>
          <w:p w:rsidRPr="004431DE" w:rsidR="0065120A" w:rsidP="00BC3A1F" w:rsidRDefault="0065120A" w14:paraId="1BDC5AA8" w14:textId="77777777">
            <w:pPr>
              <w:jc w:val="right"/>
              <w:rPr>
                <w:rFonts w:ascii="Arial" w:hAnsi="Arial" w:eastAsia="Times New Roman" w:cs="Arial"/>
                <w:sz w:val="20"/>
                <w:szCs w:val="20"/>
                <w:lang w:eastAsia="en-GB"/>
              </w:rPr>
            </w:pPr>
          </w:p>
        </w:tc>
      </w:tr>
      <w:tr w:rsidRPr="004431DE" w:rsidR="0065120A" w:rsidTr="00BC3A1F" w14:paraId="29E8393C" w14:textId="77777777">
        <w:trPr>
          <w:trHeight w:val="403"/>
        </w:trPr>
        <w:tc>
          <w:tcPr>
            <w:tcW w:w="9549" w:type="dxa"/>
            <w:gridSpan w:val="3"/>
            <w:tcBorders>
              <w:left w:val="nil"/>
              <w:right w:val="nil"/>
            </w:tcBorders>
            <w:noWrap/>
            <w:hideMark/>
          </w:tcPr>
          <w:p w:rsidRPr="004431DE" w:rsidR="0065120A" w:rsidP="00BC3A1F" w:rsidRDefault="0065120A" w14:paraId="4B5DD97C"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4431DE" w:rsidR="0065120A" w:rsidP="00BC3A1F" w:rsidRDefault="0065120A" w14:paraId="6A6D4947" w14:textId="77777777">
            <w:pPr>
              <w:keepNext/>
              <w:keepLines/>
              <w:spacing w:before="47"/>
              <w:outlineLvl w:val="5"/>
              <w:rPr>
                <w:rFonts w:ascii="Arial" w:hAnsi="Arial" w:eastAsia="Times New Roman" w:cs="Arial"/>
                <w:i/>
                <w:iCs/>
                <w:caps/>
                <w:color w:val="172B39" w:themeColor="accent1" w:themeShade="80"/>
                <w:sz w:val="20"/>
                <w:szCs w:val="20"/>
              </w:rPr>
            </w:pPr>
            <w:r w:rsidRPr="004431DE">
              <w:rPr>
                <w:rFonts w:ascii="Arial" w:hAnsi="Arial"/>
                <w:b/>
                <w:i/>
                <w:caps/>
                <w:color w:val="172B39" w:themeColor="accent1" w:themeShade="80"/>
                <w:sz w:val="24"/>
              </w:rPr>
              <w:t> </w:t>
            </w:r>
            <w:r w:rsidRPr="004431DE">
              <w:rPr>
                <w:rFonts w:asciiTheme="majorHAnsi" w:hAnsiTheme="majorHAnsi"/>
                <w:b/>
                <w:i/>
                <w:caps/>
              </w:rPr>
              <w:t>Wskaźniki wzajemnych powiązań</w:t>
            </w:r>
          </w:p>
          <w:p w:rsidRPr="004431DE" w:rsidR="0065120A" w:rsidP="00BC3A1F" w:rsidRDefault="0065120A" w14:paraId="7DA123D2" w14:textId="77777777">
            <w:pPr>
              <w:rPr>
                <w:rFonts w:ascii="Arial" w:hAnsi="Arial" w:eastAsia="Times New Roman" w:cs="Arial"/>
                <w:b/>
                <w:bCs/>
                <w:sz w:val="24"/>
                <w:szCs w:val="24"/>
              </w:rPr>
            </w:pPr>
            <w:r w:rsidRPr="004431DE">
              <w:rPr>
                <w:rFonts w:ascii="Arial" w:hAnsi="Arial"/>
                <w:b/>
                <w:sz w:val="24"/>
              </w:rPr>
              <w:t> </w:t>
            </w:r>
          </w:p>
        </w:tc>
      </w:tr>
      <w:tr w:rsidRPr="004431DE" w:rsidR="0065120A" w:rsidTr="00BC3A1F" w14:paraId="34B1BD50"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4CE875B5" w14:textId="77777777">
            <w:pPr>
              <w:rPr>
                <w:rFonts w:ascii="Arial" w:hAnsi="Arial" w:eastAsia="Times New Roman" w:cs="Arial"/>
                <w:b/>
                <w:bCs/>
                <w:sz w:val="20"/>
                <w:szCs w:val="20"/>
              </w:rPr>
            </w:pPr>
            <w:r w:rsidRPr="004431DE">
              <w:rPr>
                <w:rFonts w:ascii="Arial" w:hAnsi="Arial"/>
                <w:b/>
                <w:sz w:val="20"/>
              </w:rPr>
              <w:t>Sekcja 3 – Aktywa wewnątrz systemu finansowego</w:t>
            </w:r>
          </w:p>
        </w:tc>
        <w:tc>
          <w:tcPr>
            <w:tcW w:w="2745" w:type="dxa"/>
            <w:tcBorders>
              <w:left w:val="nil"/>
              <w:bottom w:val="single" w:color="auto" w:sz="4" w:space="0"/>
              <w:right w:val="nil"/>
            </w:tcBorders>
            <w:hideMark/>
          </w:tcPr>
          <w:p w:rsidRPr="004431DE" w:rsidR="0065120A" w:rsidP="00BC3A1F" w:rsidRDefault="0065120A" w14:paraId="0CF88277"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477BE289" w14:textId="77777777">
        <w:trPr>
          <w:trHeight w:val="300"/>
        </w:trPr>
        <w:tc>
          <w:tcPr>
            <w:tcW w:w="6804" w:type="dxa"/>
            <w:gridSpan w:val="2"/>
            <w:tcBorders>
              <w:left w:val="nil"/>
              <w:right w:val="nil"/>
            </w:tcBorders>
            <w:noWrap/>
            <w:hideMark/>
          </w:tcPr>
          <w:p w:rsidRPr="004431DE" w:rsidR="0065120A" w:rsidP="00BC3A1F" w:rsidRDefault="0065120A" w14:paraId="21B874BD" w14:textId="77777777">
            <w:pPr>
              <w:ind w:firstLine="200" w:firstLineChars="100"/>
              <w:rPr>
                <w:rFonts w:ascii="Arial" w:hAnsi="Arial" w:eastAsia="Times New Roman" w:cs="Arial"/>
                <w:sz w:val="20"/>
                <w:szCs w:val="20"/>
              </w:rPr>
            </w:pPr>
            <w:r w:rsidRPr="004431DE">
              <w:rPr>
                <w:rFonts w:ascii="Arial" w:hAnsi="Arial"/>
                <w:sz w:val="20"/>
              </w:rPr>
              <w:t>a. Fundusze zdeponowane w innych instytucjach finansowych lub pożyczone innym instytucjom finansowym</w:t>
            </w:r>
          </w:p>
        </w:tc>
        <w:tc>
          <w:tcPr>
            <w:tcW w:w="2745" w:type="dxa"/>
            <w:tcBorders>
              <w:left w:val="nil"/>
              <w:right w:val="nil"/>
            </w:tcBorders>
            <w:noWrap/>
            <w:hideMark/>
          </w:tcPr>
          <w:p w:rsidRPr="004431DE" w:rsidR="0065120A" w:rsidP="00BC3A1F" w:rsidRDefault="0065120A" w14:paraId="3C6345D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59510F4"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76AE84E6"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 xml:space="preserve">Certyfikaty depozytowe </w:t>
            </w:r>
          </w:p>
        </w:tc>
        <w:tc>
          <w:tcPr>
            <w:tcW w:w="2745" w:type="dxa"/>
            <w:tcBorders>
              <w:left w:val="nil"/>
              <w:right w:val="nil"/>
            </w:tcBorders>
            <w:noWrap/>
            <w:hideMark/>
          </w:tcPr>
          <w:p w:rsidRPr="004431DE" w:rsidR="0065120A" w:rsidP="00BC3A1F" w:rsidRDefault="0065120A" w14:paraId="202D514F"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C782298" w14:textId="77777777">
        <w:trPr>
          <w:gridAfter w:val="1"/>
          <w:wAfter w:w="2745" w:type="dxa"/>
          <w:trHeight w:val="300"/>
        </w:trPr>
        <w:tc>
          <w:tcPr>
            <w:tcW w:w="6804" w:type="dxa"/>
            <w:gridSpan w:val="2"/>
            <w:tcBorders>
              <w:left w:val="nil"/>
              <w:right w:val="nil"/>
            </w:tcBorders>
            <w:noWrap/>
            <w:hideMark/>
          </w:tcPr>
          <w:p w:rsidRPr="004431DE" w:rsidR="0065120A" w:rsidP="00BC3A1F" w:rsidRDefault="0065120A" w14:paraId="42B81E88" w14:textId="77777777">
            <w:pPr>
              <w:ind w:left="171" w:firstLine="28" w:firstLineChars="14"/>
              <w:rPr>
                <w:rFonts w:ascii="Arial" w:hAnsi="Arial" w:eastAsia="Times New Roman" w:cs="Arial"/>
                <w:sz w:val="20"/>
                <w:szCs w:val="20"/>
              </w:rPr>
            </w:pPr>
            <w:r w:rsidRPr="004431DE">
              <w:rPr>
                <w:rFonts w:ascii="Arial" w:hAnsi="Arial"/>
                <w:sz w:val="20"/>
              </w:rPr>
              <w:t>b. Niewykorzystana część linii kredytowych przyznanych innym instytucjom finansowym</w:t>
            </w:r>
          </w:p>
        </w:tc>
      </w:tr>
      <w:tr w:rsidRPr="004431DE" w:rsidR="0065120A" w:rsidTr="00BC3A1F" w14:paraId="24C9BD7B" w14:textId="77777777">
        <w:trPr>
          <w:trHeight w:val="300"/>
        </w:trPr>
        <w:tc>
          <w:tcPr>
            <w:tcW w:w="6804" w:type="dxa"/>
            <w:gridSpan w:val="2"/>
            <w:tcBorders>
              <w:left w:val="nil"/>
              <w:right w:val="nil"/>
            </w:tcBorders>
            <w:noWrap/>
            <w:hideMark/>
          </w:tcPr>
          <w:p w:rsidRPr="004431DE" w:rsidR="0065120A" w:rsidP="00BC3A1F" w:rsidRDefault="0065120A" w14:paraId="17D3FD3C" w14:textId="77777777">
            <w:pPr>
              <w:ind w:firstLine="200" w:firstLineChars="100"/>
              <w:rPr>
                <w:rFonts w:ascii="Arial" w:hAnsi="Arial" w:eastAsia="Times New Roman" w:cs="Arial"/>
                <w:sz w:val="20"/>
                <w:szCs w:val="20"/>
              </w:rPr>
            </w:pPr>
            <w:r w:rsidRPr="004431DE">
              <w:rPr>
                <w:rFonts w:ascii="Arial" w:hAnsi="Arial"/>
                <w:sz w:val="20"/>
              </w:rPr>
              <w:t>c. Inwestycje w papiery wartościowe wyemitowane przez inne instytucje finansowe</w:t>
            </w:r>
          </w:p>
        </w:tc>
        <w:tc>
          <w:tcPr>
            <w:tcW w:w="2745" w:type="dxa"/>
            <w:tcBorders>
              <w:left w:val="nil"/>
              <w:right w:val="nil"/>
            </w:tcBorders>
            <w:noWrap/>
            <w:hideMark/>
          </w:tcPr>
          <w:p w:rsidRPr="004431DE" w:rsidR="0065120A" w:rsidP="00BC3A1F" w:rsidRDefault="0065120A" w14:paraId="3AA69C5F" w14:textId="77777777">
            <w:pPr>
              <w:ind w:firstLine="200" w:firstLineChars="100"/>
              <w:rPr>
                <w:rFonts w:ascii="Arial" w:hAnsi="Arial" w:eastAsia="Times New Roman" w:cs="Arial"/>
                <w:sz w:val="20"/>
                <w:szCs w:val="20"/>
              </w:rPr>
            </w:pPr>
            <w:r w:rsidRPr="004431DE">
              <w:rPr>
                <w:rFonts w:ascii="Arial" w:hAnsi="Arial"/>
                <w:sz w:val="20"/>
              </w:rPr>
              <w:t> </w:t>
            </w:r>
          </w:p>
        </w:tc>
      </w:tr>
      <w:tr w:rsidRPr="004431DE" w:rsidR="0065120A" w:rsidTr="00BC3A1F" w14:paraId="3FC1FA2E" w14:textId="77777777">
        <w:trPr>
          <w:trHeight w:val="300"/>
        </w:trPr>
        <w:tc>
          <w:tcPr>
            <w:tcW w:w="6804" w:type="dxa"/>
            <w:gridSpan w:val="2"/>
            <w:tcBorders>
              <w:left w:val="nil"/>
              <w:right w:val="nil"/>
            </w:tcBorders>
            <w:noWrap/>
            <w:hideMark/>
          </w:tcPr>
          <w:p w:rsidRPr="004431DE" w:rsidR="0065120A" w:rsidP="00BC3A1F" w:rsidRDefault="0065120A" w14:paraId="6A76F0C5"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Zabezpieczone dłużne papiery wartościowe</w:t>
            </w:r>
          </w:p>
        </w:tc>
        <w:tc>
          <w:tcPr>
            <w:tcW w:w="2745" w:type="dxa"/>
            <w:tcBorders>
              <w:left w:val="nil"/>
              <w:right w:val="nil"/>
            </w:tcBorders>
            <w:noWrap/>
            <w:hideMark/>
          </w:tcPr>
          <w:p w:rsidRPr="004431DE" w:rsidR="0065120A" w:rsidP="00BC3A1F" w:rsidRDefault="0065120A" w14:paraId="6FFFB4A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033C2E4" w14:textId="77777777">
        <w:trPr>
          <w:trHeight w:val="300"/>
        </w:trPr>
        <w:tc>
          <w:tcPr>
            <w:tcW w:w="6804" w:type="dxa"/>
            <w:gridSpan w:val="2"/>
            <w:tcBorders>
              <w:left w:val="nil"/>
              <w:right w:val="nil"/>
            </w:tcBorders>
            <w:noWrap/>
            <w:hideMark/>
          </w:tcPr>
          <w:p w:rsidRPr="004431DE" w:rsidR="0065120A" w:rsidP="00BC3A1F" w:rsidRDefault="0065120A" w14:paraId="0FA78145"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Niezabezpieczone obligacje uprzywilejowane</w:t>
            </w:r>
          </w:p>
        </w:tc>
        <w:tc>
          <w:tcPr>
            <w:tcW w:w="2745" w:type="dxa"/>
            <w:tcBorders>
              <w:left w:val="nil"/>
              <w:right w:val="nil"/>
            </w:tcBorders>
            <w:noWrap/>
            <w:hideMark/>
          </w:tcPr>
          <w:p w:rsidRPr="004431DE" w:rsidR="0065120A" w:rsidP="00BC3A1F" w:rsidRDefault="0065120A" w14:paraId="2816DD4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4FD02A0" w14:textId="77777777">
        <w:trPr>
          <w:trHeight w:val="300"/>
        </w:trPr>
        <w:tc>
          <w:tcPr>
            <w:tcW w:w="6804" w:type="dxa"/>
            <w:gridSpan w:val="2"/>
            <w:tcBorders>
              <w:left w:val="nil"/>
              <w:right w:val="nil"/>
            </w:tcBorders>
            <w:noWrap/>
            <w:hideMark/>
          </w:tcPr>
          <w:p w:rsidRPr="004431DE" w:rsidR="0065120A" w:rsidP="00BC3A1F" w:rsidRDefault="0065120A" w14:paraId="2CC84CFE" w14:textId="77777777">
            <w:pPr>
              <w:ind w:firstLine="400" w:firstLineChars="200"/>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Obligacje podporządkowane</w:t>
            </w:r>
          </w:p>
        </w:tc>
        <w:tc>
          <w:tcPr>
            <w:tcW w:w="2745" w:type="dxa"/>
            <w:tcBorders>
              <w:left w:val="nil"/>
              <w:right w:val="nil"/>
            </w:tcBorders>
            <w:noWrap/>
            <w:hideMark/>
          </w:tcPr>
          <w:p w:rsidRPr="004431DE" w:rsidR="0065120A" w:rsidP="00BC3A1F" w:rsidRDefault="0065120A" w14:paraId="1B3E6D8A"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2618659" w14:textId="77777777">
        <w:trPr>
          <w:trHeight w:val="300"/>
        </w:trPr>
        <w:tc>
          <w:tcPr>
            <w:tcW w:w="6804" w:type="dxa"/>
            <w:gridSpan w:val="2"/>
            <w:tcBorders>
              <w:left w:val="nil"/>
              <w:right w:val="nil"/>
            </w:tcBorders>
            <w:noWrap/>
            <w:hideMark/>
          </w:tcPr>
          <w:p w:rsidRPr="004431DE" w:rsidR="0065120A" w:rsidP="00BC3A1F" w:rsidRDefault="0065120A" w14:paraId="395A9682" w14:textId="77777777">
            <w:pPr>
              <w:ind w:firstLine="400" w:firstLineChars="200"/>
              <w:rPr>
                <w:rFonts w:ascii="Arial" w:hAnsi="Arial" w:eastAsia="Times New Roman" w:cs="Arial"/>
                <w:sz w:val="20"/>
                <w:szCs w:val="20"/>
              </w:rPr>
            </w:pPr>
            <w:r w:rsidRPr="004431DE">
              <w:rPr>
                <w:rFonts w:ascii="Arial" w:hAnsi="Arial"/>
                <w:sz w:val="20"/>
                <w:lang w:eastAsia="en-GB"/>
              </w:rPr>
              <w:t xml:space="preserve">(4) </w:t>
            </w:r>
            <w:r w:rsidRPr="004431DE">
              <w:rPr>
                <w:rFonts w:ascii="Arial" w:hAnsi="Arial"/>
                <w:sz w:val="20"/>
              </w:rPr>
              <w:t xml:space="preserve">Papiery komercyjne </w:t>
            </w:r>
          </w:p>
        </w:tc>
        <w:tc>
          <w:tcPr>
            <w:tcW w:w="2745" w:type="dxa"/>
            <w:tcBorders>
              <w:left w:val="nil"/>
              <w:right w:val="nil"/>
            </w:tcBorders>
            <w:noWrap/>
            <w:hideMark/>
          </w:tcPr>
          <w:p w:rsidRPr="004431DE" w:rsidR="0065120A" w:rsidP="00BC3A1F" w:rsidRDefault="0065120A" w14:paraId="634CBFA8"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8DE9201"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426BB08A" w14:textId="77777777">
            <w:pPr>
              <w:ind w:firstLine="400" w:firstLineChars="200"/>
              <w:rPr>
                <w:rFonts w:ascii="Arial" w:hAnsi="Arial" w:eastAsia="Times New Roman" w:cs="Arial"/>
                <w:sz w:val="20"/>
                <w:szCs w:val="20"/>
              </w:rPr>
            </w:pPr>
            <w:r w:rsidRPr="004431DE">
              <w:rPr>
                <w:rFonts w:ascii="Arial" w:hAnsi="Arial"/>
                <w:sz w:val="20"/>
                <w:lang w:eastAsia="en-GB"/>
              </w:rPr>
              <w:t xml:space="preserve">(5) </w:t>
            </w:r>
            <w:r w:rsidRPr="004431DE">
              <w:rPr>
                <w:rFonts w:ascii="Arial" w:hAnsi="Arial"/>
                <w:sz w:val="20"/>
              </w:rPr>
              <w:t>Udziałowe papiery wartościowe</w:t>
            </w:r>
          </w:p>
        </w:tc>
        <w:tc>
          <w:tcPr>
            <w:tcW w:w="2745" w:type="dxa"/>
            <w:tcBorders>
              <w:left w:val="nil"/>
              <w:right w:val="nil"/>
            </w:tcBorders>
            <w:noWrap/>
            <w:hideMark/>
          </w:tcPr>
          <w:p w:rsidRPr="004431DE" w:rsidR="0065120A" w:rsidP="00BC3A1F" w:rsidRDefault="0065120A" w14:paraId="38607E6B"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503C9B8"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D9426FA" w14:textId="77777777">
            <w:pPr>
              <w:ind w:left="313" w:firstLine="86" w:firstLineChars="43"/>
              <w:rPr>
                <w:rFonts w:ascii="Arial" w:hAnsi="Arial" w:eastAsia="Times New Roman" w:cs="Arial"/>
                <w:sz w:val="20"/>
                <w:szCs w:val="20"/>
              </w:rPr>
            </w:pPr>
            <w:r w:rsidRPr="004431DE">
              <w:rPr>
                <w:rFonts w:ascii="Arial" w:hAnsi="Arial"/>
                <w:sz w:val="20"/>
                <w:lang w:eastAsia="en-GB"/>
              </w:rPr>
              <w:t xml:space="preserve">(6) </w:t>
            </w:r>
            <w:r w:rsidRPr="004431DE">
              <w:rPr>
                <w:rFonts w:ascii="Arial" w:hAnsi="Arial"/>
                <w:sz w:val="20"/>
              </w:rPr>
              <w:t>Kompensowanie pozycji krótkich w odniesieniu do konkretnego portfela udziałowych papierów wartościowych ujętych w pozycji 3.c.(5)</w:t>
            </w:r>
          </w:p>
        </w:tc>
        <w:tc>
          <w:tcPr>
            <w:tcW w:w="2745" w:type="dxa"/>
            <w:tcBorders>
              <w:left w:val="nil"/>
              <w:right w:val="nil"/>
            </w:tcBorders>
            <w:noWrap/>
          </w:tcPr>
          <w:p w:rsidRPr="004431DE" w:rsidR="0065120A" w:rsidP="00BC3A1F" w:rsidRDefault="0065120A" w14:paraId="77A80CE6" w14:textId="77777777">
            <w:pPr>
              <w:jc w:val="right"/>
              <w:rPr>
                <w:rFonts w:ascii="Arial" w:hAnsi="Arial" w:eastAsia="Times New Roman" w:cs="Arial"/>
                <w:sz w:val="20"/>
                <w:szCs w:val="20"/>
                <w:lang w:eastAsia="en-GB"/>
              </w:rPr>
            </w:pPr>
          </w:p>
        </w:tc>
      </w:tr>
      <w:tr w:rsidRPr="004431DE" w:rsidR="0065120A" w:rsidTr="00BC3A1F" w14:paraId="41EA5D1C"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D5E5C8D" w14:textId="77777777">
            <w:pPr>
              <w:ind w:firstLine="171"/>
              <w:rPr>
                <w:rFonts w:ascii="Arial" w:hAnsi="Arial" w:eastAsia="Times New Roman" w:cs="Arial"/>
                <w:sz w:val="20"/>
                <w:szCs w:val="20"/>
              </w:rPr>
            </w:pPr>
            <w:r w:rsidRPr="004431DE">
              <w:rPr>
                <w:rFonts w:ascii="Arial" w:hAnsi="Arial"/>
                <w:sz w:val="20"/>
              </w:rPr>
              <w:t>d. Dodatnia wartość netto bieżącej ekspozycji transakcji finansowanych z użyciem papierów wartościowych zawartych z innymi instytucjami finansowym</w:t>
            </w:r>
          </w:p>
        </w:tc>
        <w:tc>
          <w:tcPr>
            <w:tcW w:w="2745" w:type="dxa"/>
            <w:tcBorders>
              <w:left w:val="nil"/>
              <w:right w:val="nil"/>
            </w:tcBorders>
            <w:noWrap/>
          </w:tcPr>
          <w:p w:rsidRPr="004431DE" w:rsidR="0065120A" w:rsidP="00BC3A1F" w:rsidRDefault="0065120A" w14:paraId="28117CB8" w14:textId="77777777">
            <w:pPr>
              <w:jc w:val="right"/>
              <w:rPr>
                <w:rFonts w:ascii="Arial" w:hAnsi="Arial" w:eastAsia="Times New Roman" w:cs="Arial"/>
                <w:sz w:val="20"/>
                <w:szCs w:val="20"/>
                <w:lang w:eastAsia="en-GB"/>
              </w:rPr>
            </w:pPr>
          </w:p>
        </w:tc>
      </w:tr>
      <w:tr w:rsidRPr="004431DE" w:rsidR="0065120A" w:rsidTr="00BC3A1F" w14:paraId="3C940467"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5702D2D6" w14:textId="77777777">
            <w:pPr>
              <w:ind w:left="171"/>
              <w:rPr>
                <w:rFonts w:ascii="Arial" w:hAnsi="Arial" w:eastAsia="Times New Roman" w:cs="Arial"/>
                <w:sz w:val="20"/>
                <w:szCs w:val="20"/>
              </w:rPr>
            </w:pPr>
            <w:r w:rsidRPr="004431DE">
              <w:rPr>
                <w:rFonts w:ascii="Arial" w:hAnsi="Arial"/>
                <w:sz w:val="20"/>
              </w:rPr>
              <w:t>e. Kontrakty na instrumenty pochodne poza rynkiem regulowanym zawarte z innymi instytucjami finansowymi, które mają dodatnią wartość godziwą netto</w:t>
            </w:r>
          </w:p>
        </w:tc>
        <w:tc>
          <w:tcPr>
            <w:tcW w:w="2745" w:type="dxa"/>
            <w:tcBorders>
              <w:left w:val="nil"/>
              <w:right w:val="nil"/>
            </w:tcBorders>
            <w:noWrap/>
          </w:tcPr>
          <w:p w:rsidRPr="004431DE" w:rsidR="0065120A" w:rsidP="00BC3A1F" w:rsidRDefault="0065120A" w14:paraId="225F4984" w14:textId="77777777">
            <w:pPr>
              <w:jc w:val="right"/>
              <w:rPr>
                <w:rFonts w:ascii="Arial" w:hAnsi="Arial" w:eastAsia="Times New Roman" w:cs="Arial"/>
                <w:sz w:val="20"/>
                <w:szCs w:val="20"/>
                <w:lang w:eastAsia="en-GB"/>
              </w:rPr>
            </w:pPr>
          </w:p>
        </w:tc>
      </w:tr>
      <w:tr w:rsidRPr="004431DE" w:rsidR="0065120A" w:rsidTr="00BC3A1F" w14:paraId="56DDC87E"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579A6C8" w14:textId="77777777">
            <w:pPr>
              <w:ind w:left="313" w:firstLine="86" w:firstLineChars="43"/>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Dodatnia wartość godziwa netto</w:t>
            </w:r>
          </w:p>
        </w:tc>
        <w:tc>
          <w:tcPr>
            <w:tcW w:w="2745" w:type="dxa"/>
            <w:tcBorders>
              <w:left w:val="nil"/>
              <w:right w:val="nil"/>
            </w:tcBorders>
            <w:noWrap/>
          </w:tcPr>
          <w:p w:rsidRPr="004431DE" w:rsidR="0065120A" w:rsidP="00BC3A1F" w:rsidRDefault="0065120A" w14:paraId="77000571" w14:textId="77777777">
            <w:pPr>
              <w:jc w:val="right"/>
              <w:rPr>
                <w:rFonts w:ascii="Arial" w:hAnsi="Arial" w:eastAsia="Times New Roman" w:cs="Arial"/>
                <w:sz w:val="20"/>
                <w:szCs w:val="20"/>
                <w:lang w:eastAsia="en-GB"/>
              </w:rPr>
            </w:pPr>
          </w:p>
        </w:tc>
      </w:tr>
      <w:tr w:rsidRPr="004431DE" w:rsidR="0065120A" w:rsidTr="00BC3A1F" w14:paraId="2158A511"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5618123" w14:textId="77777777">
            <w:pPr>
              <w:ind w:left="313" w:firstLine="86" w:firstLineChars="43"/>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Potencjalne przyszłe ekspozycje kredytowe</w:t>
            </w:r>
          </w:p>
        </w:tc>
        <w:tc>
          <w:tcPr>
            <w:tcW w:w="2745" w:type="dxa"/>
            <w:tcBorders>
              <w:left w:val="nil"/>
              <w:right w:val="nil"/>
            </w:tcBorders>
            <w:noWrap/>
          </w:tcPr>
          <w:p w:rsidRPr="004431DE" w:rsidR="0065120A" w:rsidP="00BC3A1F" w:rsidRDefault="0065120A" w14:paraId="58A3DCC0" w14:textId="77777777">
            <w:pPr>
              <w:jc w:val="right"/>
              <w:rPr>
                <w:rFonts w:ascii="Arial" w:hAnsi="Arial" w:eastAsia="Times New Roman" w:cs="Arial"/>
                <w:sz w:val="20"/>
                <w:szCs w:val="20"/>
                <w:lang w:eastAsia="en-GB"/>
              </w:rPr>
            </w:pPr>
          </w:p>
        </w:tc>
      </w:tr>
      <w:tr w:rsidRPr="004431DE" w:rsidR="0065120A" w:rsidTr="00BC3A1F" w14:paraId="71964441" w14:textId="77777777">
        <w:trPr>
          <w:gridAfter w:val="1"/>
          <w:wAfter w:w="2745" w:type="dxa"/>
          <w:trHeight w:val="450"/>
        </w:trPr>
        <w:tc>
          <w:tcPr>
            <w:tcW w:w="6804" w:type="dxa"/>
            <w:gridSpan w:val="2"/>
            <w:vMerge w:val="restart"/>
            <w:tcBorders>
              <w:left w:val="nil"/>
              <w:right w:val="nil"/>
            </w:tcBorders>
            <w:hideMark/>
          </w:tcPr>
          <w:p w:rsidRPr="004431DE" w:rsidR="0065120A" w:rsidP="00BC3A1F" w:rsidRDefault="0065120A" w14:paraId="60C1458E" w14:textId="77777777">
            <w:pPr>
              <w:ind w:left="171" w:firstLine="28" w:firstLineChars="14"/>
              <w:rPr>
                <w:rFonts w:ascii="Arial" w:hAnsi="Arial" w:eastAsia="Times New Roman" w:cs="Arial"/>
                <w:sz w:val="20"/>
                <w:szCs w:val="20"/>
              </w:rPr>
            </w:pPr>
            <w:r w:rsidRPr="004431DE">
              <w:rPr>
                <w:rFonts w:ascii="Arial" w:hAnsi="Arial"/>
                <w:sz w:val="20"/>
              </w:rPr>
              <w:t>f. Wskaźnik aktywów wewnątrz systemu finansowego, w tym jednostek zależnych prowadzących działalność ubezpieczeniową (suma pozycji 3.a, 3.b–3.c.(5), 3.d, 3.e.(1) i 3.e.(2), pomniejszona o pozycję 3.c.(6))</w:t>
            </w:r>
          </w:p>
        </w:tc>
      </w:tr>
      <w:tr w:rsidRPr="004431DE" w:rsidR="0065120A" w:rsidTr="00BC3A1F" w14:paraId="2DC60F6F" w14:textId="77777777">
        <w:trPr>
          <w:gridAfter w:val="1"/>
          <w:wAfter w:w="2745" w:type="dxa"/>
          <w:trHeight w:val="450"/>
        </w:trPr>
        <w:tc>
          <w:tcPr>
            <w:tcW w:w="6804" w:type="dxa"/>
            <w:gridSpan w:val="2"/>
            <w:vMerge/>
            <w:tcBorders>
              <w:left w:val="nil"/>
              <w:right w:val="nil"/>
            </w:tcBorders>
            <w:hideMark/>
          </w:tcPr>
          <w:p w:rsidRPr="004431DE" w:rsidR="0065120A" w:rsidP="00BC3A1F" w:rsidRDefault="0065120A" w14:paraId="2CC5727E" w14:textId="77777777">
            <w:pPr>
              <w:rPr>
                <w:rFonts w:ascii="Arial" w:hAnsi="Arial" w:eastAsia="Times New Roman" w:cs="Arial"/>
                <w:sz w:val="20"/>
                <w:szCs w:val="20"/>
                <w:lang w:eastAsia="en-GB"/>
              </w:rPr>
            </w:pPr>
          </w:p>
        </w:tc>
      </w:tr>
      <w:tr w:rsidRPr="004431DE" w:rsidR="0065120A" w:rsidTr="00BC3A1F" w14:paraId="1498E3A7" w14:textId="77777777">
        <w:trPr>
          <w:trHeight w:val="300"/>
        </w:trPr>
        <w:tc>
          <w:tcPr>
            <w:tcW w:w="6804" w:type="dxa"/>
            <w:gridSpan w:val="2"/>
            <w:tcBorders>
              <w:left w:val="nil"/>
              <w:bottom w:val="nil"/>
              <w:right w:val="nil"/>
            </w:tcBorders>
            <w:noWrap/>
          </w:tcPr>
          <w:p w:rsidRPr="004431DE" w:rsidR="0065120A" w:rsidP="00BC3A1F" w:rsidRDefault="0065120A" w14:paraId="224AEFF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2FE58E82" w14:textId="77777777">
            <w:pPr>
              <w:jc w:val="center"/>
              <w:rPr>
                <w:rFonts w:ascii="Arial" w:hAnsi="Arial" w:eastAsia="Times New Roman" w:cs="Arial"/>
                <w:b/>
                <w:bCs/>
                <w:sz w:val="20"/>
                <w:szCs w:val="20"/>
                <w:lang w:eastAsia="en-GB"/>
              </w:rPr>
            </w:pPr>
          </w:p>
        </w:tc>
      </w:tr>
      <w:tr w:rsidRPr="004431DE" w:rsidR="0065120A" w:rsidTr="00BC3A1F" w14:paraId="794F16DB" w14:textId="77777777">
        <w:trPr>
          <w:trHeight w:val="300"/>
        </w:trPr>
        <w:tc>
          <w:tcPr>
            <w:tcW w:w="6804" w:type="dxa"/>
            <w:gridSpan w:val="2"/>
            <w:tcBorders>
              <w:top w:val="nil"/>
              <w:left w:val="nil"/>
              <w:bottom w:val="single" w:color="auto" w:sz="4" w:space="0"/>
              <w:right w:val="nil"/>
            </w:tcBorders>
            <w:noWrap/>
            <w:hideMark/>
          </w:tcPr>
          <w:p w:rsidRPr="004431DE" w:rsidR="0065120A" w:rsidP="00BC3A1F" w:rsidRDefault="0065120A" w14:paraId="486229A7" w14:textId="77777777">
            <w:pPr>
              <w:rPr>
                <w:rFonts w:ascii="Arial" w:hAnsi="Arial" w:eastAsia="Times New Roman" w:cs="Arial"/>
                <w:b/>
                <w:bCs/>
                <w:sz w:val="20"/>
                <w:szCs w:val="20"/>
              </w:rPr>
            </w:pPr>
            <w:r w:rsidRPr="004431DE">
              <w:rPr>
                <w:rFonts w:ascii="Arial" w:hAnsi="Arial"/>
                <w:b/>
                <w:sz w:val="20"/>
              </w:rPr>
              <w:t>Sekcja 4 – Zobowiązania wewnątrz systemu finansowego</w:t>
            </w:r>
          </w:p>
        </w:tc>
        <w:tc>
          <w:tcPr>
            <w:tcW w:w="2745" w:type="dxa"/>
            <w:tcBorders>
              <w:top w:val="nil"/>
              <w:left w:val="nil"/>
              <w:right w:val="nil"/>
            </w:tcBorders>
            <w:hideMark/>
          </w:tcPr>
          <w:p w:rsidRPr="004431DE" w:rsidR="0065120A" w:rsidP="00BC3A1F" w:rsidRDefault="0065120A" w14:paraId="78E4B70B"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52930FF3" w14:textId="77777777">
        <w:trPr>
          <w:gridAfter w:val="1"/>
          <w:wAfter w:w="2745" w:type="dxa"/>
          <w:trHeight w:val="300"/>
        </w:trPr>
        <w:tc>
          <w:tcPr>
            <w:tcW w:w="6804" w:type="dxa"/>
            <w:gridSpan w:val="2"/>
            <w:tcBorders>
              <w:left w:val="nil"/>
              <w:right w:val="nil"/>
            </w:tcBorders>
            <w:noWrap/>
            <w:hideMark/>
          </w:tcPr>
          <w:p w:rsidRPr="004431DE" w:rsidR="0065120A" w:rsidP="00BC3A1F" w:rsidRDefault="0065120A" w14:paraId="6A2CC51E" w14:textId="77777777">
            <w:pPr>
              <w:ind w:left="171" w:firstLine="28" w:firstLineChars="14"/>
              <w:rPr>
                <w:rFonts w:ascii="Arial" w:hAnsi="Arial" w:eastAsia="Times New Roman" w:cs="Arial"/>
                <w:sz w:val="20"/>
                <w:szCs w:val="20"/>
              </w:rPr>
            </w:pPr>
            <w:r w:rsidRPr="004431DE">
              <w:rPr>
                <w:rFonts w:ascii="Arial" w:hAnsi="Arial"/>
                <w:sz w:val="20"/>
              </w:rPr>
              <w:t>a. Fundusze zdeponowane przez inne instytucje finansowe lub pożyczone od innych instytucji finansowych</w:t>
            </w:r>
          </w:p>
        </w:tc>
      </w:tr>
      <w:tr w:rsidRPr="004431DE" w:rsidR="0065120A" w:rsidTr="00BC3A1F" w14:paraId="4E763BC7" w14:textId="77777777">
        <w:trPr>
          <w:trHeight w:val="300"/>
        </w:trPr>
        <w:tc>
          <w:tcPr>
            <w:tcW w:w="6804" w:type="dxa"/>
            <w:gridSpan w:val="2"/>
            <w:tcBorders>
              <w:left w:val="nil"/>
              <w:right w:val="nil"/>
            </w:tcBorders>
            <w:noWrap/>
            <w:hideMark/>
          </w:tcPr>
          <w:p w:rsidRPr="004431DE" w:rsidR="0065120A" w:rsidP="00BC3A1F" w:rsidRDefault="0065120A" w14:paraId="6ED7C760" w14:textId="77777777">
            <w:pPr>
              <w:ind w:firstLine="400" w:firstLineChars="200"/>
              <w:rPr>
                <w:rFonts w:ascii="Arial" w:hAnsi="Arial" w:eastAsia="Times New Roman" w:cs="Arial"/>
                <w:sz w:val="20"/>
                <w:szCs w:val="20"/>
              </w:rPr>
            </w:pPr>
            <w:r w:rsidRPr="004431DE">
              <w:rPr>
                <w:rFonts w:ascii="Arial" w:hAnsi="Arial"/>
                <w:sz w:val="20"/>
                <w:lang w:eastAsia="en-GB"/>
              </w:rPr>
              <w:lastRenderedPageBreak/>
              <w:t xml:space="preserve">(1) </w:t>
            </w:r>
            <w:r w:rsidRPr="004431DE">
              <w:rPr>
                <w:rFonts w:ascii="Arial" w:hAnsi="Arial"/>
                <w:sz w:val="20"/>
              </w:rPr>
              <w:t>Depozyty należne instytucjom depozytowym</w:t>
            </w:r>
          </w:p>
        </w:tc>
        <w:tc>
          <w:tcPr>
            <w:tcW w:w="2745" w:type="dxa"/>
            <w:tcBorders>
              <w:left w:val="nil"/>
              <w:right w:val="nil"/>
            </w:tcBorders>
            <w:noWrap/>
            <w:hideMark/>
          </w:tcPr>
          <w:p w:rsidRPr="004431DE" w:rsidR="0065120A" w:rsidP="00BC3A1F" w:rsidRDefault="0065120A" w14:paraId="67088F81"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BE98AAD" w14:textId="77777777">
        <w:trPr>
          <w:trHeight w:val="300"/>
        </w:trPr>
        <w:tc>
          <w:tcPr>
            <w:tcW w:w="6804" w:type="dxa"/>
            <w:gridSpan w:val="2"/>
            <w:tcBorders>
              <w:left w:val="nil"/>
              <w:right w:val="nil"/>
            </w:tcBorders>
            <w:noWrap/>
            <w:hideMark/>
          </w:tcPr>
          <w:p w:rsidRPr="004431DE" w:rsidR="0065120A" w:rsidP="00BC3A1F" w:rsidRDefault="0065120A" w14:paraId="28E01B0F"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Depozyty należne niedepozytowym instytucjom finansowym</w:t>
            </w:r>
          </w:p>
        </w:tc>
        <w:tc>
          <w:tcPr>
            <w:tcW w:w="2745" w:type="dxa"/>
            <w:tcBorders>
              <w:left w:val="nil"/>
              <w:right w:val="nil"/>
            </w:tcBorders>
            <w:noWrap/>
            <w:hideMark/>
          </w:tcPr>
          <w:p w:rsidRPr="004431DE" w:rsidR="0065120A" w:rsidP="00BC3A1F" w:rsidRDefault="0065120A" w14:paraId="387AD92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377C894" w14:textId="77777777">
        <w:trPr>
          <w:trHeight w:val="300"/>
        </w:trPr>
        <w:tc>
          <w:tcPr>
            <w:tcW w:w="6804" w:type="dxa"/>
            <w:gridSpan w:val="2"/>
            <w:tcBorders>
              <w:left w:val="nil"/>
              <w:right w:val="nil"/>
            </w:tcBorders>
            <w:noWrap/>
            <w:hideMark/>
          </w:tcPr>
          <w:p w:rsidRPr="004431DE" w:rsidR="0065120A" w:rsidP="00BC3A1F" w:rsidRDefault="0065120A" w14:paraId="297A0310" w14:textId="77777777">
            <w:pPr>
              <w:ind w:firstLine="400" w:firstLineChars="200"/>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Pożyczki uzyskane w innych instytucjach finansowych</w:t>
            </w:r>
          </w:p>
        </w:tc>
        <w:tc>
          <w:tcPr>
            <w:tcW w:w="2745" w:type="dxa"/>
            <w:tcBorders>
              <w:left w:val="nil"/>
              <w:right w:val="nil"/>
            </w:tcBorders>
            <w:noWrap/>
            <w:hideMark/>
          </w:tcPr>
          <w:p w:rsidRPr="004431DE" w:rsidR="0065120A" w:rsidP="00BC3A1F" w:rsidRDefault="0065120A" w14:paraId="48D44C16"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E559F16" w14:textId="77777777">
        <w:trPr>
          <w:trHeight w:val="300"/>
        </w:trPr>
        <w:tc>
          <w:tcPr>
            <w:tcW w:w="6804" w:type="dxa"/>
            <w:gridSpan w:val="2"/>
            <w:tcBorders>
              <w:left w:val="nil"/>
              <w:right w:val="nil"/>
            </w:tcBorders>
            <w:noWrap/>
          </w:tcPr>
          <w:p w:rsidRPr="004431DE" w:rsidR="0065120A" w:rsidP="00BC3A1F" w:rsidRDefault="0065120A" w14:paraId="75568E69" w14:textId="77777777">
            <w:pPr>
              <w:ind w:left="171"/>
              <w:rPr>
                <w:rFonts w:ascii="Arial" w:hAnsi="Arial" w:eastAsia="Times New Roman" w:cs="Arial"/>
                <w:sz w:val="20"/>
                <w:szCs w:val="20"/>
              </w:rPr>
            </w:pPr>
            <w:r w:rsidRPr="004431DE">
              <w:rPr>
                <w:rFonts w:ascii="Arial" w:hAnsi="Arial"/>
                <w:sz w:val="20"/>
              </w:rPr>
              <w:t>b. Niewykorzystana część linii kredytowych uzyskanych od innych instytucji finansowych</w:t>
            </w:r>
          </w:p>
        </w:tc>
        <w:tc>
          <w:tcPr>
            <w:tcW w:w="2745" w:type="dxa"/>
            <w:tcBorders>
              <w:left w:val="nil"/>
              <w:right w:val="nil"/>
            </w:tcBorders>
            <w:noWrap/>
          </w:tcPr>
          <w:p w:rsidRPr="004431DE" w:rsidR="0065120A" w:rsidP="00BC3A1F" w:rsidRDefault="0065120A" w14:paraId="14A23846" w14:textId="77777777">
            <w:pPr>
              <w:jc w:val="right"/>
              <w:rPr>
                <w:rFonts w:ascii="Arial" w:hAnsi="Arial" w:eastAsia="Times New Roman" w:cs="Arial"/>
                <w:sz w:val="20"/>
                <w:szCs w:val="20"/>
                <w:lang w:eastAsia="en-GB"/>
              </w:rPr>
            </w:pPr>
          </w:p>
        </w:tc>
      </w:tr>
      <w:tr w:rsidRPr="004431DE" w:rsidR="0065120A" w:rsidTr="00BC3A1F" w14:paraId="1842E427" w14:textId="77777777">
        <w:trPr>
          <w:trHeight w:val="300"/>
        </w:trPr>
        <w:tc>
          <w:tcPr>
            <w:tcW w:w="6804" w:type="dxa"/>
            <w:gridSpan w:val="2"/>
            <w:tcBorders>
              <w:left w:val="nil"/>
              <w:right w:val="nil"/>
            </w:tcBorders>
            <w:noWrap/>
          </w:tcPr>
          <w:p w:rsidRPr="004431DE" w:rsidR="0065120A" w:rsidP="00BC3A1F" w:rsidRDefault="0065120A" w14:paraId="25C4D7AD" w14:textId="77777777">
            <w:pPr>
              <w:ind w:left="171"/>
              <w:rPr>
                <w:rFonts w:ascii="Arial" w:hAnsi="Arial" w:eastAsia="Times New Roman" w:cs="Arial"/>
                <w:sz w:val="20"/>
                <w:szCs w:val="20"/>
              </w:rPr>
            </w:pPr>
            <w:r w:rsidRPr="004431DE">
              <w:rPr>
                <w:rFonts w:ascii="Arial" w:hAnsi="Arial"/>
                <w:sz w:val="20"/>
              </w:rPr>
              <w:t>c. Ujemna wartość netto bieżącej ekspozycji transakcji finansowanych z użyciem papierów wartościowych zawartych z innymi instytucjami finansowymi</w:t>
            </w:r>
          </w:p>
        </w:tc>
        <w:tc>
          <w:tcPr>
            <w:tcW w:w="2745" w:type="dxa"/>
            <w:tcBorders>
              <w:left w:val="nil"/>
              <w:right w:val="nil"/>
            </w:tcBorders>
            <w:noWrap/>
          </w:tcPr>
          <w:p w:rsidRPr="004431DE" w:rsidR="0065120A" w:rsidP="00BC3A1F" w:rsidRDefault="0065120A" w14:paraId="0B92C2AB" w14:textId="77777777">
            <w:pPr>
              <w:jc w:val="right"/>
              <w:rPr>
                <w:rFonts w:ascii="Arial" w:hAnsi="Arial" w:eastAsia="Times New Roman" w:cs="Arial"/>
                <w:sz w:val="20"/>
                <w:szCs w:val="20"/>
                <w:lang w:eastAsia="en-GB"/>
              </w:rPr>
            </w:pPr>
          </w:p>
        </w:tc>
      </w:tr>
      <w:tr w:rsidRPr="004431DE" w:rsidR="0065120A" w:rsidTr="00BC3A1F" w14:paraId="01F014A0"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59377153" w14:textId="77777777">
            <w:pPr>
              <w:ind w:left="171"/>
              <w:rPr>
                <w:rFonts w:ascii="Arial" w:hAnsi="Arial" w:eastAsia="Times New Roman" w:cs="Arial"/>
                <w:sz w:val="20"/>
                <w:szCs w:val="20"/>
              </w:rPr>
            </w:pPr>
            <w:r w:rsidRPr="004431DE">
              <w:rPr>
                <w:rFonts w:ascii="Arial" w:hAnsi="Arial"/>
                <w:sz w:val="20"/>
              </w:rPr>
              <w:t>d. Kontrakty na instrumenty pochodne poza rynkiem regulowanym zawarte z innymi instytucjami finansowymi, które mają ujemną wartość godziwą netto</w:t>
            </w:r>
          </w:p>
        </w:tc>
        <w:tc>
          <w:tcPr>
            <w:tcW w:w="2745" w:type="dxa"/>
            <w:tcBorders>
              <w:left w:val="nil"/>
              <w:bottom w:val="single" w:color="auto" w:sz="4" w:space="0"/>
              <w:right w:val="nil"/>
            </w:tcBorders>
            <w:noWrap/>
          </w:tcPr>
          <w:p w:rsidRPr="004431DE" w:rsidR="0065120A" w:rsidP="00BC3A1F" w:rsidRDefault="0065120A" w14:paraId="3F037018" w14:textId="77777777">
            <w:pPr>
              <w:jc w:val="right"/>
              <w:rPr>
                <w:rFonts w:ascii="Arial" w:hAnsi="Arial" w:eastAsia="Times New Roman" w:cs="Arial"/>
                <w:sz w:val="20"/>
                <w:szCs w:val="20"/>
                <w:lang w:eastAsia="en-GB"/>
              </w:rPr>
            </w:pPr>
          </w:p>
        </w:tc>
      </w:tr>
      <w:tr w:rsidRPr="004431DE" w:rsidR="0065120A" w:rsidTr="00BC3A1F" w14:paraId="454871AE" w14:textId="77777777">
        <w:trPr>
          <w:trHeight w:val="300"/>
        </w:trPr>
        <w:tc>
          <w:tcPr>
            <w:tcW w:w="6804" w:type="dxa"/>
            <w:gridSpan w:val="2"/>
            <w:tcBorders>
              <w:left w:val="nil"/>
              <w:right w:val="nil"/>
            </w:tcBorders>
            <w:noWrap/>
            <w:hideMark/>
          </w:tcPr>
          <w:p w:rsidRPr="004431DE" w:rsidR="0065120A" w:rsidP="00BC3A1F" w:rsidRDefault="0065120A" w14:paraId="7253F1AC" w14:textId="77777777">
            <w:pPr>
              <w:ind w:firstLine="400" w:firstLineChars="200"/>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Ujemna wartość godziwa netto</w:t>
            </w:r>
          </w:p>
        </w:tc>
        <w:tc>
          <w:tcPr>
            <w:tcW w:w="2745" w:type="dxa"/>
            <w:tcBorders>
              <w:left w:val="nil"/>
              <w:right w:val="nil"/>
            </w:tcBorders>
            <w:noWrap/>
            <w:hideMark/>
          </w:tcPr>
          <w:p w:rsidRPr="004431DE" w:rsidR="0065120A" w:rsidP="00BC3A1F" w:rsidRDefault="0065120A" w14:paraId="196B527E"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81629BB" w14:textId="77777777">
        <w:trPr>
          <w:trHeight w:val="300"/>
        </w:trPr>
        <w:tc>
          <w:tcPr>
            <w:tcW w:w="6804" w:type="dxa"/>
            <w:gridSpan w:val="2"/>
            <w:tcBorders>
              <w:left w:val="nil"/>
              <w:right w:val="nil"/>
            </w:tcBorders>
            <w:noWrap/>
            <w:hideMark/>
          </w:tcPr>
          <w:p w:rsidRPr="004431DE" w:rsidR="0065120A" w:rsidP="00BC3A1F" w:rsidRDefault="0065120A" w14:paraId="073E0C1D"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Potencjalne przyszłe ekspozycje</w:t>
            </w:r>
          </w:p>
        </w:tc>
        <w:tc>
          <w:tcPr>
            <w:tcW w:w="2745" w:type="dxa"/>
            <w:tcBorders>
              <w:left w:val="nil"/>
              <w:right w:val="nil"/>
            </w:tcBorders>
            <w:noWrap/>
            <w:hideMark/>
          </w:tcPr>
          <w:p w:rsidRPr="004431DE" w:rsidR="0065120A" w:rsidP="00BC3A1F" w:rsidRDefault="0065120A" w14:paraId="72635739"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C05CF46"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54BC6DF" w14:textId="77777777">
            <w:pPr>
              <w:ind w:left="171"/>
              <w:rPr>
                <w:rFonts w:ascii="Arial" w:hAnsi="Arial" w:eastAsia="Times New Roman" w:cs="Arial"/>
                <w:sz w:val="20"/>
                <w:szCs w:val="20"/>
              </w:rPr>
            </w:pPr>
            <w:r w:rsidRPr="004431DE">
              <w:rPr>
                <w:rFonts w:ascii="Arial" w:hAnsi="Arial"/>
                <w:sz w:val="20"/>
              </w:rPr>
              <w:t>e. Wskaźnik zobowiązań wewnątrz systemu finansowego (suma pozycji 4.a.(1)–4.d.(2))</w:t>
            </w:r>
          </w:p>
        </w:tc>
        <w:tc>
          <w:tcPr>
            <w:tcW w:w="2745" w:type="dxa"/>
            <w:tcBorders>
              <w:left w:val="nil"/>
              <w:bottom w:val="single" w:color="auto" w:sz="4" w:space="0"/>
              <w:right w:val="nil"/>
            </w:tcBorders>
            <w:noWrap/>
          </w:tcPr>
          <w:p w:rsidRPr="004431DE" w:rsidR="0065120A" w:rsidP="00BC3A1F" w:rsidRDefault="0065120A" w14:paraId="37192DFB" w14:textId="77777777">
            <w:pPr>
              <w:jc w:val="right"/>
              <w:rPr>
                <w:rFonts w:ascii="Arial" w:hAnsi="Arial" w:eastAsia="Times New Roman" w:cs="Arial"/>
                <w:sz w:val="20"/>
                <w:szCs w:val="20"/>
                <w:lang w:eastAsia="en-GB"/>
              </w:rPr>
            </w:pPr>
          </w:p>
        </w:tc>
      </w:tr>
      <w:tr w:rsidRPr="004431DE" w:rsidR="0065120A" w:rsidTr="00BC3A1F" w14:paraId="48C5D9B0" w14:textId="77777777">
        <w:trPr>
          <w:trHeight w:val="300"/>
        </w:trPr>
        <w:tc>
          <w:tcPr>
            <w:tcW w:w="6804" w:type="dxa"/>
            <w:gridSpan w:val="2"/>
            <w:tcBorders>
              <w:left w:val="nil"/>
              <w:bottom w:val="nil"/>
              <w:right w:val="nil"/>
            </w:tcBorders>
            <w:noWrap/>
          </w:tcPr>
          <w:p w:rsidRPr="004431DE" w:rsidR="0065120A" w:rsidP="00BC3A1F" w:rsidRDefault="0065120A" w14:paraId="65ED892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64B32CAD" w14:textId="77777777">
            <w:pPr>
              <w:jc w:val="center"/>
              <w:rPr>
                <w:rFonts w:ascii="Arial" w:hAnsi="Arial" w:eastAsia="Times New Roman" w:cs="Arial"/>
                <w:b/>
                <w:bCs/>
                <w:sz w:val="20"/>
                <w:szCs w:val="20"/>
                <w:lang w:eastAsia="en-GB"/>
              </w:rPr>
            </w:pPr>
          </w:p>
        </w:tc>
      </w:tr>
      <w:tr w:rsidRPr="004431DE" w:rsidR="0065120A" w:rsidTr="00BC3A1F" w14:paraId="6DB7B749" w14:textId="77777777">
        <w:trPr>
          <w:trHeight w:val="300"/>
        </w:trPr>
        <w:tc>
          <w:tcPr>
            <w:tcW w:w="6804" w:type="dxa"/>
            <w:gridSpan w:val="2"/>
            <w:tcBorders>
              <w:top w:val="nil"/>
              <w:left w:val="nil"/>
              <w:right w:val="nil"/>
            </w:tcBorders>
            <w:noWrap/>
            <w:hideMark/>
          </w:tcPr>
          <w:p w:rsidRPr="004431DE" w:rsidR="0065120A" w:rsidP="00BC3A1F" w:rsidRDefault="0065120A" w14:paraId="693D23E7" w14:textId="77777777">
            <w:pPr>
              <w:rPr>
                <w:rFonts w:ascii="Arial" w:hAnsi="Arial" w:eastAsia="Times New Roman" w:cs="Arial"/>
                <w:b/>
                <w:bCs/>
                <w:sz w:val="20"/>
                <w:szCs w:val="20"/>
              </w:rPr>
            </w:pPr>
            <w:r w:rsidRPr="004431DE">
              <w:rPr>
                <w:rFonts w:ascii="Arial" w:hAnsi="Arial"/>
                <w:b/>
                <w:sz w:val="20"/>
              </w:rPr>
              <w:t>Sekcja 5 – Wyemitowane papiery wartościowe</w:t>
            </w:r>
          </w:p>
        </w:tc>
        <w:tc>
          <w:tcPr>
            <w:tcW w:w="2745" w:type="dxa"/>
            <w:tcBorders>
              <w:top w:val="nil"/>
              <w:left w:val="nil"/>
              <w:right w:val="nil"/>
            </w:tcBorders>
            <w:hideMark/>
          </w:tcPr>
          <w:p w:rsidRPr="004431DE" w:rsidR="0065120A" w:rsidP="00BC3A1F" w:rsidRDefault="0065120A" w14:paraId="6997557E"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74AA3A97" w14:textId="77777777">
        <w:trPr>
          <w:trHeight w:val="300"/>
        </w:trPr>
        <w:tc>
          <w:tcPr>
            <w:tcW w:w="6804" w:type="dxa"/>
            <w:gridSpan w:val="2"/>
            <w:tcBorders>
              <w:left w:val="nil"/>
              <w:right w:val="nil"/>
            </w:tcBorders>
            <w:noWrap/>
            <w:hideMark/>
          </w:tcPr>
          <w:p w:rsidRPr="004431DE" w:rsidR="0065120A" w:rsidP="00BC3A1F" w:rsidRDefault="0065120A" w14:paraId="3BFF56AB" w14:textId="77777777">
            <w:pPr>
              <w:ind w:firstLine="200" w:firstLineChars="100"/>
              <w:rPr>
                <w:rFonts w:ascii="Arial" w:hAnsi="Arial" w:eastAsia="Times New Roman" w:cs="Arial"/>
                <w:sz w:val="20"/>
                <w:szCs w:val="20"/>
              </w:rPr>
            </w:pPr>
            <w:r w:rsidRPr="004431DE">
              <w:rPr>
                <w:rFonts w:ascii="Arial" w:hAnsi="Arial"/>
                <w:sz w:val="20"/>
              </w:rPr>
              <w:t>a. Zabezpieczone dłużne papiery wartościowe</w:t>
            </w:r>
          </w:p>
        </w:tc>
        <w:tc>
          <w:tcPr>
            <w:tcW w:w="2745" w:type="dxa"/>
            <w:tcBorders>
              <w:left w:val="nil"/>
              <w:right w:val="nil"/>
            </w:tcBorders>
            <w:noWrap/>
            <w:hideMark/>
          </w:tcPr>
          <w:p w:rsidRPr="004431DE" w:rsidR="0065120A" w:rsidP="00BC3A1F" w:rsidRDefault="0065120A" w14:paraId="4DACAE5E"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1B1A92C" w14:textId="77777777">
        <w:trPr>
          <w:trHeight w:val="300"/>
        </w:trPr>
        <w:tc>
          <w:tcPr>
            <w:tcW w:w="6804" w:type="dxa"/>
            <w:gridSpan w:val="2"/>
            <w:tcBorders>
              <w:left w:val="nil"/>
              <w:right w:val="nil"/>
            </w:tcBorders>
            <w:noWrap/>
            <w:hideMark/>
          </w:tcPr>
          <w:p w:rsidRPr="004431DE" w:rsidR="0065120A" w:rsidP="00BC3A1F" w:rsidRDefault="0065120A" w14:paraId="4196A905" w14:textId="77777777">
            <w:pPr>
              <w:ind w:firstLine="200" w:firstLineChars="100"/>
              <w:rPr>
                <w:rFonts w:ascii="Arial" w:hAnsi="Arial" w:eastAsia="Times New Roman" w:cs="Arial"/>
                <w:sz w:val="20"/>
                <w:szCs w:val="20"/>
              </w:rPr>
            </w:pPr>
            <w:r w:rsidRPr="004431DE">
              <w:rPr>
                <w:rFonts w:ascii="Arial" w:hAnsi="Arial"/>
                <w:sz w:val="20"/>
              </w:rPr>
              <w:t>b. Niezabezpieczone obligacje uprzywilejowane</w:t>
            </w:r>
          </w:p>
        </w:tc>
        <w:tc>
          <w:tcPr>
            <w:tcW w:w="2745" w:type="dxa"/>
            <w:tcBorders>
              <w:left w:val="nil"/>
              <w:right w:val="nil"/>
            </w:tcBorders>
            <w:noWrap/>
            <w:hideMark/>
          </w:tcPr>
          <w:p w:rsidRPr="004431DE" w:rsidR="0065120A" w:rsidP="00BC3A1F" w:rsidRDefault="0065120A" w14:paraId="4BDEE986"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5AA8FCC" w14:textId="77777777">
        <w:trPr>
          <w:trHeight w:val="300"/>
        </w:trPr>
        <w:tc>
          <w:tcPr>
            <w:tcW w:w="6804" w:type="dxa"/>
            <w:gridSpan w:val="2"/>
            <w:tcBorders>
              <w:left w:val="nil"/>
              <w:right w:val="nil"/>
            </w:tcBorders>
            <w:noWrap/>
            <w:hideMark/>
          </w:tcPr>
          <w:p w:rsidRPr="004431DE" w:rsidR="0065120A" w:rsidP="00BC3A1F" w:rsidRDefault="0065120A" w14:paraId="57B3E19D" w14:textId="77777777">
            <w:pPr>
              <w:ind w:firstLine="200" w:firstLineChars="100"/>
              <w:rPr>
                <w:rFonts w:ascii="Arial" w:hAnsi="Arial" w:eastAsia="Times New Roman" w:cs="Arial"/>
                <w:sz w:val="20"/>
                <w:szCs w:val="20"/>
              </w:rPr>
            </w:pPr>
            <w:r w:rsidRPr="004431DE">
              <w:rPr>
                <w:rFonts w:ascii="Arial" w:hAnsi="Arial"/>
                <w:sz w:val="20"/>
              </w:rPr>
              <w:t>c. Podporządkowane dłużne papiery wartościowe</w:t>
            </w:r>
          </w:p>
        </w:tc>
        <w:tc>
          <w:tcPr>
            <w:tcW w:w="2745" w:type="dxa"/>
            <w:tcBorders>
              <w:left w:val="nil"/>
              <w:right w:val="nil"/>
            </w:tcBorders>
            <w:noWrap/>
            <w:hideMark/>
          </w:tcPr>
          <w:p w:rsidRPr="004431DE" w:rsidR="0065120A" w:rsidP="00BC3A1F" w:rsidRDefault="0065120A" w14:paraId="2AE31BB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08C6CDF" w14:textId="77777777">
        <w:trPr>
          <w:trHeight w:val="300"/>
        </w:trPr>
        <w:tc>
          <w:tcPr>
            <w:tcW w:w="6804" w:type="dxa"/>
            <w:gridSpan w:val="2"/>
            <w:tcBorders>
              <w:left w:val="nil"/>
              <w:right w:val="nil"/>
            </w:tcBorders>
            <w:noWrap/>
            <w:hideMark/>
          </w:tcPr>
          <w:p w:rsidRPr="004431DE" w:rsidR="0065120A" w:rsidP="00BC3A1F" w:rsidRDefault="0065120A" w14:paraId="5B5B62EB" w14:textId="77777777">
            <w:pPr>
              <w:ind w:firstLine="200" w:firstLineChars="100"/>
              <w:rPr>
                <w:rFonts w:ascii="Arial" w:hAnsi="Arial" w:eastAsia="Times New Roman" w:cs="Arial"/>
                <w:sz w:val="20"/>
                <w:szCs w:val="20"/>
              </w:rPr>
            </w:pPr>
            <w:r w:rsidRPr="004431DE">
              <w:rPr>
                <w:rFonts w:ascii="Arial" w:hAnsi="Arial"/>
                <w:sz w:val="20"/>
              </w:rPr>
              <w:t>d. Papiery komercyjne</w:t>
            </w:r>
          </w:p>
        </w:tc>
        <w:tc>
          <w:tcPr>
            <w:tcW w:w="2745" w:type="dxa"/>
            <w:tcBorders>
              <w:left w:val="nil"/>
              <w:right w:val="nil"/>
            </w:tcBorders>
            <w:noWrap/>
            <w:hideMark/>
          </w:tcPr>
          <w:p w:rsidRPr="004431DE" w:rsidR="0065120A" w:rsidP="00BC3A1F" w:rsidRDefault="0065120A" w14:paraId="5BEEBB18"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40609E2" w14:textId="77777777">
        <w:trPr>
          <w:trHeight w:val="300"/>
        </w:trPr>
        <w:tc>
          <w:tcPr>
            <w:tcW w:w="6804" w:type="dxa"/>
            <w:gridSpan w:val="2"/>
            <w:tcBorders>
              <w:left w:val="nil"/>
              <w:right w:val="nil"/>
            </w:tcBorders>
            <w:noWrap/>
            <w:hideMark/>
          </w:tcPr>
          <w:p w:rsidRPr="004431DE" w:rsidR="0065120A" w:rsidP="00BC3A1F" w:rsidRDefault="0065120A" w14:paraId="56398918" w14:textId="77777777">
            <w:pPr>
              <w:ind w:firstLine="200" w:firstLineChars="100"/>
              <w:rPr>
                <w:rFonts w:ascii="Arial" w:hAnsi="Arial" w:eastAsia="Times New Roman" w:cs="Arial"/>
                <w:sz w:val="20"/>
                <w:szCs w:val="20"/>
              </w:rPr>
            </w:pPr>
            <w:r w:rsidRPr="004431DE">
              <w:rPr>
                <w:rFonts w:ascii="Arial" w:hAnsi="Arial"/>
                <w:sz w:val="20"/>
              </w:rPr>
              <w:t>e. Certyfikaty depozytowe</w:t>
            </w:r>
          </w:p>
        </w:tc>
        <w:tc>
          <w:tcPr>
            <w:tcW w:w="2745" w:type="dxa"/>
            <w:tcBorders>
              <w:left w:val="nil"/>
              <w:right w:val="nil"/>
            </w:tcBorders>
            <w:noWrap/>
            <w:hideMark/>
          </w:tcPr>
          <w:p w:rsidRPr="004431DE" w:rsidR="0065120A" w:rsidP="00BC3A1F" w:rsidRDefault="0065120A" w14:paraId="784D2EB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BF5EDE6" w14:textId="77777777">
        <w:trPr>
          <w:trHeight w:val="300"/>
        </w:trPr>
        <w:tc>
          <w:tcPr>
            <w:tcW w:w="6804" w:type="dxa"/>
            <w:gridSpan w:val="2"/>
            <w:tcBorders>
              <w:left w:val="nil"/>
              <w:right w:val="nil"/>
            </w:tcBorders>
            <w:noWrap/>
            <w:hideMark/>
          </w:tcPr>
          <w:p w:rsidRPr="004431DE" w:rsidR="0065120A" w:rsidP="00BC3A1F" w:rsidRDefault="0065120A" w14:paraId="36B5F00E" w14:textId="77777777">
            <w:pPr>
              <w:ind w:firstLine="200" w:firstLineChars="100"/>
              <w:rPr>
                <w:rFonts w:ascii="Arial" w:hAnsi="Arial" w:eastAsia="Times New Roman" w:cs="Arial"/>
                <w:sz w:val="20"/>
                <w:szCs w:val="20"/>
              </w:rPr>
            </w:pPr>
            <w:r w:rsidRPr="004431DE">
              <w:rPr>
                <w:rFonts w:ascii="Arial" w:hAnsi="Arial"/>
                <w:sz w:val="20"/>
              </w:rPr>
              <w:t>f. Kapitał podstawowy</w:t>
            </w:r>
          </w:p>
        </w:tc>
        <w:tc>
          <w:tcPr>
            <w:tcW w:w="2745" w:type="dxa"/>
            <w:tcBorders>
              <w:left w:val="nil"/>
              <w:right w:val="nil"/>
            </w:tcBorders>
            <w:noWrap/>
            <w:hideMark/>
          </w:tcPr>
          <w:p w:rsidRPr="004431DE" w:rsidR="0065120A" w:rsidP="00BC3A1F" w:rsidRDefault="0065120A" w14:paraId="7CC7117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FFA71FA" w14:textId="77777777">
        <w:trPr>
          <w:trHeight w:val="300"/>
        </w:trPr>
        <w:tc>
          <w:tcPr>
            <w:tcW w:w="6804" w:type="dxa"/>
            <w:gridSpan w:val="2"/>
            <w:tcBorders>
              <w:left w:val="nil"/>
              <w:right w:val="nil"/>
            </w:tcBorders>
            <w:noWrap/>
          </w:tcPr>
          <w:p w:rsidRPr="004431DE" w:rsidR="0065120A" w:rsidP="00BC3A1F" w:rsidRDefault="0065120A" w14:paraId="24B49182" w14:textId="77777777">
            <w:pPr>
              <w:ind w:left="171"/>
              <w:rPr>
                <w:rFonts w:ascii="Arial" w:hAnsi="Arial" w:eastAsia="Times New Roman" w:cs="Arial"/>
                <w:sz w:val="20"/>
                <w:szCs w:val="20"/>
              </w:rPr>
            </w:pPr>
            <w:r w:rsidRPr="004431DE">
              <w:rPr>
                <w:rFonts w:ascii="Arial" w:hAnsi="Arial"/>
                <w:sz w:val="20"/>
              </w:rPr>
              <w:t>g. Akcje uprzywilejowane i wszelkie inne formy finansowania podporządkowanego nieujęte w pozycji 5.c.</w:t>
            </w:r>
          </w:p>
        </w:tc>
        <w:tc>
          <w:tcPr>
            <w:tcW w:w="2745" w:type="dxa"/>
            <w:tcBorders>
              <w:left w:val="nil"/>
              <w:right w:val="nil"/>
            </w:tcBorders>
            <w:noWrap/>
          </w:tcPr>
          <w:p w:rsidRPr="004431DE" w:rsidR="0065120A" w:rsidP="00BC3A1F" w:rsidRDefault="0065120A" w14:paraId="3E3EF2EE" w14:textId="77777777">
            <w:pPr>
              <w:jc w:val="right"/>
              <w:rPr>
                <w:rFonts w:ascii="Arial" w:hAnsi="Arial" w:eastAsia="Times New Roman" w:cs="Arial"/>
                <w:sz w:val="20"/>
                <w:szCs w:val="20"/>
                <w:lang w:eastAsia="en-GB"/>
              </w:rPr>
            </w:pPr>
          </w:p>
        </w:tc>
      </w:tr>
      <w:tr w:rsidRPr="004431DE" w:rsidR="0065120A" w:rsidTr="00BC3A1F" w14:paraId="734FE509"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5F32B4F" w14:textId="77777777">
            <w:pPr>
              <w:ind w:left="171"/>
              <w:rPr>
                <w:rFonts w:ascii="Arial" w:hAnsi="Arial" w:eastAsia="Times New Roman" w:cs="Arial"/>
                <w:sz w:val="20"/>
                <w:szCs w:val="20"/>
              </w:rPr>
            </w:pPr>
            <w:r w:rsidRPr="004431DE">
              <w:rPr>
                <w:rFonts w:ascii="Arial" w:hAnsi="Arial"/>
                <w:sz w:val="20"/>
              </w:rPr>
              <w:t>h. Wskaźnik wyemitowanych papierów wartościowych, w tym papierów wartościowych wyemitowanych przez jednostki zależne prowadzące działalność ubezpieczeniową (suma pozycji 5.a–5.g)</w:t>
            </w:r>
          </w:p>
        </w:tc>
        <w:tc>
          <w:tcPr>
            <w:tcW w:w="2745" w:type="dxa"/>
            <w:tcBorders>
              <w:left w:val="nil"/>
              <w:bottom w:val="single" w:color="auto" w:sz="4" w:space="0"/>
              <w:right w:val="nil"/>
            </w:tcBorders>
            <w:noWrap/>
          </w:tcPr>
          <w:p w:rsidRPr="004431DE" w:rsidR="0065120A" w:rsidP="00BC3A1F" w:rsidRDefault="0065120A" w14:paraId="2CD144FA" w14:textId="77777777">
            <w:pPr>
              <w:jc w:val="right"/>
              <w:rPr>
                <w:rFonts w:ascii="Arial" w:hAnsi="Arial" w:eastAsia="Times New Roman" w:cs="Arial"/>
                <w:sz w:val="20"/>
                <w:szCs w:val="20"/>
                <w:lang w:eastAsia="en-GB"/>
              </w:rPr>
            </w:pPr>
          </w:p>
        </w:tc>
      </w:tr>
      <w:tr w:rsidRPr="004431DE" w:rsidR="0065120A" w:rsidTr="00BC3A1F" w14:paraId="6DE02555" w14:textId="77777777">
        <w:trPr>
          <w:trHeight w:val="300"/>
        </w:trPr>
        <w:tc>
          <w:tcPr>
            <w:tcW w:w="6804" w:type="dxa"/>
            <w:gridSpan w:val="2"/>
            <w:tcBorders>
              <w:top w:val="single" w:color="auto" w:sz="4" w:space="0"/>
              <w:left w:val="nil"/>
              <w:bottom w:val="nil"/>
              <w:right w:val="nil"/>
            </w:tcBorders>
            <w:noWrap/>
          </w:tcPr>
          <w:p w:rsidRPr="004431DE" w:rsidR="0065120A" w:rsidP="00BC3A1F" w:rsidRDefault="0065120A" w14:paraId="5B128FA4"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4431DE" w:rsidR="0065120A" w:rsidP="00BC3A1F" w:rsidRDefault="0065120A" w14:paraId="721D6CB4" w14:textId="77777777">
            <w:pPr>
              <w:jc w:val="center"/>
              <w:rPr>
                <w:rFonts w:ascii="Arial" w:hAnsi="Arial" w:eastAsia="Times New Roman" w:cs="Arial"/>
                <w:b/>
                <w:bCs/>
                <w:sz w:val="20"/>
                <w:szCs w:val="20"/>
                <w:lang w:eastAsia="en-GB"/>
              </w:rPr>
            </w:pPr>
          </w:p>
        </w:tc>
      </w:tr>
      <w:tr w:rsidRPr="004431DE" w:rsidR="0065120A" w:rsidTr="00BC3A1F" w14:paraId="1F78B305" w14:textId="77777777">
        <w:trPr>
          <w:trHeight w:val="300"/>
        </w:trPr>
        <w:tc>
          <w:tcPr>
            <w:tcW w:w="6804" w:type="dxa"/>
            <w:gridSpan w:val="2"/>
            <w:tcBorders>
              <w:top w:val="nil"/>
              <w:left w:val="nil"/>
              <w:bottom w:val="nil"/>
              <w:right w:val="nil"/>
            </w:tcBorders>
            <w:noWrap/>
          </w:tcPr>
          <w:p w:rsidRPr="004431DE" w:rsidR="0065120A" w:rsidP="00BC3A1F" w:rsidRDefault="0065120A" w14:paraId="4B05161B" w14:textId="77777777">
            <w:pPr>
              <w:keepNext/>
              <w:keepLines/>
              <w:spacing w:before="47"/>
              <w:outlineLvl w:val="5"/>
              <w:rPr>
                <w:rFonts w:asciiTheme="majorHAnsi" w:hAnsiTheme="majorHAnsi" w:eastAsiaTheme="majorEastAsia" w:cstheme="majorBidi"/>
                <w:b/>
                <w:bCs/>
                <w:i/>
                <w:iCs/>
                <w:caps/>
                <w:spacing w:val="-2"/>
              </w:rPr>
            </w:pPr>
            <w:r w:rsidRPr="004431DE">
              <w:rPr>
                <w:rFonts w:asciiTheme="majorHAnsi" w:hAnsiTheme="majorHAnsi"/>
                <w:b/>
                <w:i/>
                <w:caps/>
              </w:rPr>
              <w:t>Wskaźniki zastępowalności/infrastruktury instytucji finansowej</w:t>
            </w:r>
          </w:p>
          <w:p w:rsidRPr="004431DE" w:rsidR="0065120A" w:rsidP="00BC3A1F" w:rsidRDefault="0065120A" w14:paraId="1D2DD6C3"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4431DE" w:rsidR="0065120A" w:rsidP="00BC3A1F" w:rsidRDefault="0065120A" w14:paraId="0294BF3A" w14:textId="77777777">
            <w:pPr>
              <w:jc w:val="center"/>
              <w:rPr>
                <w:rFonts w:ascii="Arial" w:hAnsi="Arial" w:eastAsia="Times New Roman" w:cs="Arial"/>
                <w:b/>
                <w:bCs/>
                <w:sz w:val="20"/>
                <w:szCs w:val="20"/>
                <w:lang w:eastAsia="en-GB"/>
              </w:rPr>
            </w:pPr>
          </w:p>
        </w:tc>
      </w:tr>
      <w:tr w:rsidRPr="004431DE" w:rsidR="0065120A" w:rsidTr="00BC3A1F" w14:paraId="53972239"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4787AF7" w14:textId="77777777">
            <w:pPr>
              <w:rPr>
                <w:rFonts w:ascii="Arial" w:hAnsi="Arial" w:eastAsia="Times New Roman" w:cs="Arial"/>
                <w:sz w:val="20"/>
                <w:szCs w:val="20"/>
              </w:rPr>
            </w:pPr>
            <w:r w:rsidRPr="004431DE">
              <w:rPr>
                <w:rFonts w:ascii="Arial" w:hAnsi="Arial"/>
                <w:b/>
                <w:sz w:val="20"/>
              </w:rPr>
              <w:t>Sekcja 6 – Płatności dokonane w ciągu roku sprawozdawczego (z wyjątkiem płatności wewnątrzgrupowych)</w:t>
            </w:r>
          </w:p>
        </w:tc>
        <w:tc>
          <w:tcPr>
            <w:tcW w:w="2745" w:type="dxa"/>
            <w:tcBorders>
              <w:left w:val="nil"/>
              <w:bottom w:val="single" w:color="auto" w:sz="4" w:space="0"/>
              <w:right w:val="nil"/>
            </w:tcBorders>
            <w:noWrap/>
          </w:tcPr>
          <w:p w:rsidRPr="004431DE" w:rsidR="0065120A" w:rsidP="00BC3A1F" w:rsidRDefault="0065120A" w14:paraId="4D1256C2"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59C18148" w14:textId="77777777">
        <w:trPr>
          <w:trHeight w:val="300"/>
        </w:trPr>
        <w:tc>
          <w:tcPr>
            <w:tcW w:w="6804" w:type="dxa"/>
            <w:gridSpan w:val="2"/>
            <w:tcBorders>
              <w:left w:val="nil"/>
              <w:right w:val="nil"/>
            </w:tcBorders>
            <w:noWrap/>
            <w:hideMark/>
          </w:tcPr>
          <w:p w:rsidRPr="004431DE" w:rsidR="0065120A" w:rsidP="00BC3A1F" w:rsidRDefault="0065120A" w14:paraId="6808C510" w14:textId="77777777">
            <w:pPr>
              <w:ind w:firstLine="200" w:firstLineChars="100"/>
              <w:rPr>
                <w:rFonts w:ascii="Arial" w:hAnsi="Arial" w:eastAsia="Times New Roman" w:cs="Arial"/>
                <w:sz w:val="20"/>
                <w:szCs w:val="20"/>
              </w:rPr>
            </w:pPr>
            <w:r w:rsidRPr="004431DE">
              <w:rPr>
                <w:rFonts w:ascii="Arial" w:hAnsi="Arial"/>
                <w:sz w:val="20"/>
              </w:rPr>
              <w:t xml:space="preserve"> a. w dolarach australijskich (AUD)</w:t>
            </w:r>
          </w:p>
        </w:tc>
        <w:tc>
          <w:tcPr>
            <w:tcW w:w="2745" w:type="dxa"/>
            <w:tcBorders>
              <w:left w:val="nil"/>
              <w:right w:val="nil"/>
            </w:tcBorders>
            <w:noWrap/>
            <w:hideMark/>
          </w:tcPr>
          <w:p w:rsidRPr="004431DE" w:rsidR="0065120A" w:rsidP="00BC3A1F" w:rsidRDefault="0065120A" w14:paraId="337CE748"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34BE9A0" w14:textId="77777777">
        <w:trPr>
          <w:trHeight w:val="300"/>
        </w:trPr>
        <w:tc>
          <w:tcPr>
            <w:tcW w:w="6804" w:type="dxa"/>
            <w:gridSpan w:val="2"/>
            <w:tcBorders>
              <w:left w:val="nil"/>
              <w:right w:val="nil"/>
            </w:tcBorders>
            <w:noWrap/>
            <w:hideMark/>
          </w:tcPr>
          <w:p w:rsidRPr="004431DE" w:rsidR="0065120A" w:rsidP="00BC3A1F" w:rsidRDefault="0065120A" w14:paraId="6F8995F9" w14:textId="77777777">
            <w:pPr>
              <w:ind w:firstLine="200" w:firstLineChars="100"/>
              <w:rPr>
                <w:rFonts w:ascii="Arial" w:hAnsi="Arial" w:eastAsia="Times New Roman" w:cs="Arial"/>
                <w:sz w:val="20"/>
                <w:szCs w:val="20"/>
              </w:rPr>
            </w:pPr>
            <w:r w:rsidRPr="004431DE">
              <w:rPr>
                <w:rFonts w:ascii="Arial" w:hAnsi="Arial"/>
                <w:sz w:val="20"/>
              </w:rPr>
              <w:t>b. w dolarach kanadyjskich (CAD)</w:t>
            </w:r>
          </w:p>
        </w:tc>
        <w:tc>
          <w:tcPr>
            <w:tcW w:w="2745" w:type="dxa"/>
            <w:tcBorders>
              <w:left w:val="nil"/>
              <w:right w:val="nil"/>
            </w:tcBorders>
            <w:noWrap/>
            <w:hideMark/>
          </w:tcPr>
          <w:p w:rsidRPr="004431DE" w:rsidR="0065120A" w:rsidP="00BC3A1F" w:rsidRDefault="0065120A" w14:paraId="0C4B641A"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3D27734A" w14:textId="77777777">
        <w:trPr>
          <w:trHeight w:val="300"/>
        </w:trPr>
        <w:tc>
          <w:tcPr>
            <w:tcW w:w="6804" w:type="dxa"/>
            <w:gridSpan w:val="2"/>
            <w:tcBorders>
              <w:left w:val="nil"/>
              <w:right w:val="nil"/>
            </w:tcBorders>
            <w:noWrap/>
            <w:hideMark/>
          </w:tcPr>
          <w:p w:rsidRPr="004431DE" w:rsidR="0065120A" w:rsidP="00BC3A1F" w:rsidRDefault="0065120A" w14:paraId="524E7119" w14:textId="77777777">
            <w:pPr>
              <w:ind w:firstLine="200" w:firstLineChars="100"/>
              <w:rPr>
                <w:rFonts w:ascii="Arial" w:hAnsi="Arial" w:eastAsia="Times New Roman" w:cs="Arial"/>
                <w:sz w:val="20"/>
                <w:szCs w:val="20"/>
              </w:rPr>
            </w:pPr>
            <w:r w:rsidRPr="004431DE">
              <w:rPr>
                <w:rFonts w:ascii="Arial" w:hAnsi="Arial"/>
                <w:sz w:val="20"/>
              </w:rPr>
              <w:t>c. we frankach szwajcarskich (CHF)</w:t>
            </w:r>
          </w:p>
        </w:tc>
        <w:tc>
          <w:tcPr>
            <w:tcW w:w="2745" w:type="dxa"/>
            <w:tcBorders>
              <w:left w:val="nil"/>
              <w:right w:val="nil"/>
            </w:tcBorders>
            <w:noWrap/>
            <w:hideMark/>
          </w:tcPr>
          <w:p w:rsidRPr="004431DE" w:rsidR="0065120A" w:rsidP="00BC3A1F" w:rsidRDefault="0065120A" w14:paraId="26559AF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DC7E47E" w14:textId="77777777">
        <w:trPr>
          <w:trHeight w:val="300"/>
        </w:trPr>
        <w:tc>
          <w:tcPr>
            <w:tcW w:w="6804" w:type="dxa"/>
            <w:gridSpan w:val="2"/>
            <w:tcBorders>
              <w:left w:val="nil"/>
              <w:right w:val="nil"/>
            </w:tcBorders>
            <w:noWrap/>
            <w:hideMark/>
          </w:tcPr>
          <w:p w:rsidRPr="004431DE" w:rsidR="0065120A" w:rsidP="00BC3A1F" w:rsidRDefault="0065120A" w14:paraId="2D7EAB23" w14:textId="77777777">
            <w:pPr>
              <w:ind w:firstLine="200" w:firstLineChars="100"/>
              <w:rPr>
                <w:rFonts w:ascii="Arial" w:hAnsi="Arial" w:eastAsia="Times New Roman" w:cs="Arial"/>
                <w:sz w:val="20"/>
                <w:szCs w:val="20"/>
              </w:rPr>
            </w:pPr>
            <w:r w:rsidRPr="004431DE">
              <w:rPr>
                <w:rFonts w:ascii="Arial" w:hAnsi="Arial"/>
                <w:sz w:val="20"/>
              </w:rPr>
              <w:t>d. w juanach chińskich (CNY)</w:t>
            </w:r>
          </w:p>
        </w:tc>
        <w:tc>
          <w:tcPr>
            <w:tcW w:w="2745" w:type="dxa"/>
            <w:tcBorders>
              <w:left w:val="nil"/>
              <w:right w:val="nil"/>
            </w:tcBorders>
            <w:noWrap/>
            <w:hideMark/>
          </w:tcPr>
          <w:p w:rsidRPr="004431DE" w:rsidR="0065120A" w:rsidP="00BC3A1F" w:rsidRDefault="0065120A" w14:paraId="6F781B9A"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E8348C1" w14:textId="77777777">
        <w:trPr>
          <w:trHeight w:val="300"/>
        </w:trPr>
        <w:tc>
          <w:tcPr>
            <w:tcW w:w="6804" w:type="dxa"/>
            <w:gridSpan w:val="2"/>
            <w:tcBorders>
              <w:left w:val="nil"/>
              <w:right w:val="nil"/>
            </w:tcBorders>
            <w:noWrap/>
            <w:hideMark/>
          </w:tcPr>
          <w:p w:rsidRPr="004431DE" w:rsidR="0065120A" w:rsidP="00BC3A1F" w:rsidRDefault="0065120A" w14:paraId="2895B83A" w14:textId="77777777">
            <w:pPr>
              <w:ind w:firstLine="200" w:firstLineChars="100"/>
              <w:rPr>
                <w:rFonts w:ascii="Arial" w:hAnsi="Arial" w:eastAsia="Times New Roman" w:cs="Arial"/>
                <w:sz w:val="20"/>
                <w:szCs w:val="20"/>
              </w:rPr>
            </w:pPr>
            <w:r w:rsidRPr="004431DE">
              <w:rPr>
                <w:rFonts w:ascii="Arial" w:hAnsi="Arial"/>
                <w:sz w:val="20"/>
              </w:rPr>
              <w:t>e. w euro (EUR)</w:t>
            </w:r>
          </w:p>
        </w:tc>
        <w:tc>
          <w:tcPr>
            <w:tcW w:w="2745" w:type="dxa"/>
            <w:tcBorders>
              <w:left w:val="nil"/>
              <w:right w:val="nil"/>
            </w:tcBorders>
            <w:noWrap/>
            <w:hideMark/>
          </w:tcPr>
          <w:p w:rsidRPr="004431DE" w:rsidR="0065120A" w:rsidP="00BC3A1F" w:rsidRDefault="0065120A" w14:paraId="12C945B1"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E21B404" w14:textId="77777777">
        <w:trPr>
          <w:trHeight w:val="300"/>
        </w:trPr>
        <w:tc>
          <w:tcPr>
            <w:tcW w:w="6804" w:type="dxa"/>
            <w:gridSpan w:val="2"/>
            <w:tcBorders>
              <w:left w:val="nil"/>
              <w:right w:val="nil"/>
            </w:tcBorders>
            <w:noWrap/>
            <w:hideMark/>
          </w:tcPr>
          <w:p w:rsidRPr="004431DE" w:rsidR="0065120A" w:rsidP="00BC3A1F" w:rsidRDefault="0065120A" w14:paraId="1D8AE976" w14:textId="77777777">
            <w:pPr>
              <w:ind w:firstLine="200" w:firstLineChars="100"/>
              <w:rPr>
                <w:rFonts w:ascii="Arial" w:hAnsi="Arial" w:eastAsia="Times New Roman" w:cs="Arial"/>
                <w:sz w:val="20"/>
                <w:szCs w:val="20"/>
              </w:rPr>
            </w:pPr>
            <w:r w:rsidRPr="004431DE">
              <w:rPr>
                <w:rFonts w:ascii="Arial" w:hAnsi="Arial"/>
                <w:sz w:val="20"/>
              </w:rPr>
              <w:t>f. w funtach szterlingach (GBP)</w:t>
            </w:r>
          </w:p>
        </w:tc>
        <w:tc>
          <w:tcPr>
            <w:tcW w:w="2745" w:type="dxa"/>
            <w:tcBorders>
              <w:left w:val="nil"/>
              <w:right w:val="nil"/>
            </w:tcBorders>
            <w:noWrap/>
            <w:hideMark/>
          </w:tcPr>
          <w:p w:rsidRPr="004431DE" w:rsidR="0065120A" w:rsidP="00BC3A1F" w:rsidRDefault="0065120A" w14:paraId="752B0312"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3E02B66" w14:textId="77777777">
        <w:trPr>
          <w:trHeight w:val="300"/>
        </w:trPr>
        <w:tc>
          <w:tcPr>
            <w:tcW w:w="6804" w:type="dxa"/>
            <w:gridSpan w:val="2"/>
            <w:tcBorders>
              <w:left w:val="nil"/>
              <w:right w:val="nil"/>
            </w:tcBorders>
            <w:noWrap/>
            <w:hideMark/>
          </w:tcPr>
          <w:p w:rsidRPr="004431DE" w:rsidR="0065120A" w:rsidP="00BC3A1F" w:rsidRDefault="0065120A" w14:paraId="3E03B546" w14:textId="77777777">
            <w:pPr>
              <w:ind w:firstLine="200" w:firstLineChars="100"/>
              <w:rPr>
                <w:rFonts w:ascii="Arial" w:hAnsi="Arial" w:eastAsia="Times New Roman" w:cs="Arial"/>
                <w:sz w:val="20"/>
                <w:szCs w:val="20"/>
              </w:rPr>
            </w:pPr>
            <w:r w:rsidRPr="004431DE">
              <w:rPr>
                <w:rFonts w:ascii="Arial" w:hAnsi="Arial"/>
                <w:sz w:val="20"/>
              </w:rPr>
              <w:t>g. w dolarach hongkońskich (HKD)</w:t>
            </w:r>
          </w:p>
        </w:tc>
        <w:tc>
          <w:tcPr>
            <w:tcW w:w="2745" w:type="dxa"/>
            <w:tcBorders>
              <w:left w:val="nil"/>
              <w:right w:val="nil"/>
            </w:tcBorders>
            <w:noWrap/>
            <w:hideMark/>
          </w:tcPr>
          <w:p w:rsidRPr="004431DE" w:rsidR="0065120A" w:rsidP="00BC3A1F" w:rsidRDefault="0065120A" w14:paraId="2F4E24A2"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3A4B1EB" w14:textId="77777777">
        <w:trPr>
          <w:trHeight w:val="300"/>
        </w:trPr>
        <w:tc>
          <w:tcPr>
            <w:tcW w:w="6804" w:type="dxa"/>
            <w:gridSpan w:val="2"/>
            <w:tcBorders>
              <w:left w:val="nil"/>
              <w:right w:val="nil"/>
            </w:tcBorders>
            <w:noWrap/>
            <w:hideMark/>
          </w:tcPr>
          <w:p w:rsidRPr="004431DE" w:rsidR="0065120A" w:rsidP="00BC3A1F" w:rsidRDefault="0065120A" w14:paraId="29EDCC03" w14:textId="77777777">
            <w:pPr>
              <w:ind w:firstLine="200" w:firstLineChars="100"/>
              <w:rPr>
                <w:rFonts w:ascii="Arial" w:hAnsi="Arial" w:eastAsia="Times New Roman" w:cs="Arial"/>
                <w:sz w:val="20"/>
                <w:szCs w:val="20"/>
              </w:rPr>
            </w:pPr>
            <w:r w:rsidRPr="004431DE">
              <w:rPr>
                <w:rFonts w:ascii="Arial" w:hAnsi="Arial"/>
                <w:sz w:val="20"/>
              </w:rPr>
              <w:t>h. w rupiach indyjskich (INR)</w:t>
            </w:r>
          </w:p>
        </w:tc>
        <w:tc>
          <w:tcPr>
            <w:tcW w:w="2745" w:type="dxa"/>
            <w:tcBorders>
              <w:left w:val="nil"/>
              <w:right w:val="nil"/>
            </w:tcBorders>
            <w:noWrap/>
            <w:hideMark/>
          </w:tcPr>
          <w:p w:rsidRPr="004431DE" w:rsidR="0065120A" w:rsidP="00BC3A1F" w:rsidRDefault="0065120A" w14:paraId="22B84E68"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56FEA60" w14:textId="77777777">
        <w:trPr>
          <w:trHeight w:val="300"/>
        </w:trPr>
        <w:tc>
          <w:tcPr>
            <w:tcW w:w="6804" w:type="dxa"/>
            <w:gridSpan w:val="2"/>
            <w:tcBorders>
              <w:left w:val="nil"/>
              <w:right w:val="nil"/>
            </w:tcBorders>
            <w:noWrap/>
            <w:hideMark/>
          </w:tcPr>
          <w:p w:rsidRPr="004431DE" w:rsidR="0065120A" w:rsidP="00BC3A1F" w:rsidRDefault="0065120A" w14:paraId="304A3873" w14:textId="77777777">
            <w:pPr>
              <w:ind w:firstLine="200" w:firstLineChars="100"/>
              <w:rPr>
                <w:rFonts w:ascii="Arial" w:hAnsi="Arial" w:eastAsia="Times New Roman" w:cs="Arial"/>
                <w:sz w:val="20"/>
                <w:szCs w:val="20"/>
              </w:rPr>
            </w:pPr>
            <w:r w:rsidRPr="004431DE">
              <w:rPr>
                <w:rFonts w:ascii="Arial" w:hAnsi="Arial"/>
                <w:sz w:val="20"/>
              </w:rPr>
              <w:t>i. w jenach japońskich (JPY)</w:t>
            </w:r>
          </w:p>
        </w:tc>
        <w:tc>
          <w:tcPr>
            <w:tcW w:w="2745" w:type="dxa"/>
            <w:tcBorders>
              <w:left w:val="nil"/>
              <w:right w:val="nil"/>
            </w:tcBorders>
            <w:noWrap/>
            <w:hideMark/>
          </w:tcPr>
          <w:p w:rsidRPr="004431DE" w:rsidR="0065120A" w:rsidP="00BC3A1F" w:rsidRDefault="0065120A" w14:paraId="2A645079"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4C51C26" w14:textId="77777777">
        <w:trPr>
          <w:trHeight w:val="300"/>
        </w:trPr>
        <w:tc>
          <w:tcPr>
            <w:tcW w:w="6804" w:type="dxa"/>
            <w:gridSpan w:val="2"/>
            <w:tcBorders>
              <w:left w:val="nil"/>
              <w:right w:val="nil"/>
            </w:tcBorders>
            <w:noWrap/>
            <w:hideMark/>
          </w:tcPr>
          <w:p w:rsidRPr="004431DE" w:rsidR="0065120A" w:rsidP="00BC3A1F" w:rsidRDefault="0065120A" w14:paraId="117F5C77" w14:textId="77777777">
            <w:pPr>
              <w:ind w:firstLine="200" w:firstLineChars="100"/>
              <w:rPr>
                <w:rFonts w:ascii="Arial" w:hAnsi="Arial" w:eastAsia="Times New Roman" w:cs="Arial"/>
                <w:sz w:val="20"/>
                <w:szCs w:val="20"/>
              </w:rPr>
            </w:pPr>
            <w:r w:rsidRPr="004431DE">
              <w:rPr>
                <w:rFonts w:ascii="Arial" w:hAnsi="Arial"/>
                <w:sz w:val="20"/>
              </w:rPr>
              <w:t>j. w dolarach nowozelandzkich (NZD)</w:t>
            </w:r>
          </w:p>
        </w:tc>
        <w:tc>
          <w:tcPr>
            <w:tcW w:w="2745" w:type="dxa"/>
            <w:tcBorders>
              <w:left w:val="nil"/>
              <w:right w:val="nil"/>
            </w:tcBorders>
            <w:noWrap/>
            <w:hideMark/>
          </w:tcPr>
          <w:p w:rsidRPr="004431DE" w:rsidR="0065120A" w:rsidP="00BC3A1F" w:rsidRDefault="0065120A" w14:paraId="5E0AF0CF"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02F2A47" w14:textId="77777777">
        <w:trPr>
          <w:trHeight w:val="300"/>
        </w:trPr>
        <w:tc>
          <w:tcPr>
            <w:tcW w:w="6804" w:type="dxa"/>
            <w:gridSpan w:val="2"/>
            <w:tcBorders>
              <w:left w:val="nil"/>
              <w:right w:val="nil"/>
            </w:tcBorders>
            <w:noWrap/>
            <w:hideMark/>
          </w:tcPr>
          <w:p w:rsidRPr="004431DE" w:rsidR="0065120A" w:rsidP="00BC3A1F" w:rsidRDefault="0065120A" w14:paraId="78D5CDAB" w14:textId="77777777">
            <w:pPr>
              <w:ind w:firstLine="200" w:firstLineChars="100"/>
              <w:rPr>
                <w:rFonts w:ascii="Arial" w:hAnsi="Arial" w:eastAsia="Times New Roman" w:cs="Arial"/>
                <w:sz w:val="20"/>
                <w:szCs w:val="20"/>
              </w:rPr>
            </w:pPr>
            <w:r w:rsidRPr="004431DE">
              <w:rPr>
                <w:rFonts w:ascii="Arial" w:hAnsi="Arial"/>
                <w:sz w:val="20"/>
              </w:rPr>
              <w:t>k. w koronach szwedzkich (SEK)</w:t>
            </w:r>
          </w:p>
        </w:tc>
        <w:tc>
          <w:tcPr>
            <w:tcW w:w="2745" w:type="dxa"/>
            <w:tcBorders>
              <w:left w:val="nil"/>
              <w:right w:val="nil"/>
            </w:tcBorders>
            <w:noWrap/>
            <w:hideMark/>
          </w:tcPr>
          <w:p w:rsidRPr="004431DE" w:rsidR="0065120A" w:rsidP="00BC3A1F" w:rsidRDefault="0065120A" w14:paraId="3D402098"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AAAFB41" w14:textId="77777777">
        <w:trPr>
          <w:trHeight w:val="300"/>
        </w:trPr>
        <w:tc>
          <w:tcPr>
            <w:tcW w:w="6804" w:type="dxa"/>
            <w:gridSpan w:val="2"/>
            <w:tcBorders>
              <w:left w:val="nil"/>
              <w:right w:val="nil"/>
            </w:tcBorders>
            <w:noWrap/>
            <w:hideMark/>
          </w:tcPr>
          <w:p w:rsidRPr="004431DE" w:rsidR="0065120A" w:rsidP="00BC3A1F" w:rsidRDefault="0065120A" w14:paraId="0C75D571" w14:textId="77777777">
            <w:pPr>
              <w:ind w:firstLine="200" w:firstLineChars="100"/>
              <w:rPr>
                <w:rFonts w:ascii="Arial" w:hAnsi="Arial" w:eastAsia="Times New Roman" w:cs="Arial"/>
                <w:sz w:val="20"/>
                <w:szCs w:val="20"/>
              </w:rPr>
            </w:pPr>
            <w:r w:rsidRPr="004431DE">
              <w:rPr>
                <w:rFonts w:ascii="Arial" w:hAnsi="Arial"/>
                <w:sz w:val="20"/>
              </w:rPr>
              <w:t>l. w dolarach amerykańskich (USD)</w:t>
            </w:r>
          </w:p>
        </w:tc>
        <w:tc>
          <w:tcPr>
            <w:tcW w:w="2745" w:type="dxa"/>
            <w:tcBorders>
              <w:left w:val="nil"/>
              <w:right w:val="nil"/>
            </w:tcBorders>
            <w:noWrap/>
            <w:hideMark/>
          </w:tcPr>
          <w:p w:rsidRPr="004431DE" w:rsidR="0065120A" w:rsidP="00BC3A1F" w:rsidRDefault="0065120A" w14:paraId="1F89F5E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D7363C2"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5C75B4C5" w14:textId="77777777">
            <w:pPr>
              <w:ind w:firstLine="200" w:firstLineChars="100"/>
              <w:rPr>
                <w:rFonts w:ascii="Arial" w:hAnsi="Arial" w:eastAsia="Times New Roman" w:cs="Arial"/>
                <w:sz w:val="20"/>
                <w:szCs w:val="20"/>
              </w:rPr>
            </w:pPr>
            <w:r w:rsidRPr="004431DE">
              <w:rPr>
                <w:rFonts w:ascii="Arial" w:hAnsi="Arial"/>
                <w:sz w:val="20"/>
              </w:rPr>
              <w:t>m. Wskaźnik działalności płatniczej (suma pozycji 6.a–6.l)</w:t>
            </w:r>
          </w:p>
        </w:tc>
        <w:tc>
          <w:tcPr>
            <w:tcW w:w="2745" w:type="dxa"/>
            <w:tcBorders>
              <w:left w:val="nil"/>
              <w:bottom w:val="single" w:color="auto" w:sz="4" w:space="0"/>
              <w:right w:val="nil"/>
            </w:tcBorders>
            <w:noWrap/>
            <w:hideMark/>
          </w:tcPr>
          <w:p w:rsidRPr="004431DE" w:rsidR="0065120A" w:rsidP="00BC3A1F" w:rsidRDefault="0065120A" w14:paraId="2AA4C056" w14:textId="77777777">
            <w:pPr>
              <w:jc w:val="right"/>
              <w:rPr>
                <w:rFonts w:ascii="Arial" w:hAnsi="Arial" w:eastAsia="Times New Roman" w:cs="Arial"/>
                <w:sz w:val="20"/>
                <w:szCs w:val="20"/>
              </w:rPr>
            </w:pPr>
            <w:r w:rsidRPr="004431DE">
              <w:rPr>
                <w:rFonts w:ascii="Arial" w:hAnsi="Arial"/>
                <w:sz w:val="20"/>
              </w:rPr>
              <w:t xml:space="preserve"> </w:t>
            </w:r>
          </w:p>
        </w:tc>
      </w:tr>
      <w:tr w:rsidRPr="004431DE" w:rsidR="0065120A" w:rsidTr="00BC3A1F" w14:paraId="0CB4307B" w14:textId="77777777">
        <w:trPr>
          <w:trHeight w:val="300"/>
        </w:trPr>
        <w:tc>
          <w:tcPr>
            <w:tcW w:w="6804" w:type="dxa"/>
            <w:gridSpan w:val="2"/>
            <w:tcBorders>
              <w:left w:val="nil"/>
              <w:bottom w:val="nil"/>
              <w:right w:val="nil"/>
            </w:tcBorders>
            <w:noWrap/>
          </w:tcPr>
          <w:p w:rsidRPr="004431DE" w:rsidR="0065120A" w:rsidP="00BC3A1F" w:rsidRDefault="0065120A" w14:paraId="1EC6CC0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4B8D7451" w14:textId="77777777">
            <w:pPr>
              <w:jc w:val="center"/>
              <w:rPr>
                <w:rFonts w:ascii="Arial" w:hAnsi="Arial" w:eastAsia="Times New Roman" w:cs="Arial"/>
                <w:b/>
                <w:bCs/>
                <w:sz w:val="20"/>
                <w:szCs w:val="20"/>
                <w:lang w:eastAsia="en-GB"/>
              </w:rPr>
            </w:pPr>
          </w:p>
        </w:tc>
      </w:tr>
      <w:tr w:rsidRPr="004431DE" w:rsidR="0065120A" w:rsidTr="00BC3A1F" w14:paraId="083E9B18" w14:textId="77777777">
        <w:trPr>
          <w:trHeight w:val="300"/>
        </w:trPr>
        <w:tc>
          <w:tcPr>
            <w:tcW w:w="6804" w:type="dxa"/>
            <w:gridSpan w:val="2"/>
            <w:tcBorders>
              <w:top w:val="nil"/>
              <w:left w:val="nil"/>
              <w:bottom w:val="single" w:color="auto" w:sz="4" w:space="0"/>
              <w:right w:val="nil"/>
            </w:tcBorders>
            <w:noWrap/>
            <w:hideMark/>
          </w:tcPr>
          <w:p w:rsidRPr="004431DE" w:rsidR="0065120A" w:rsidP="00BC3A1F" w:rsidRDefault="0065120A" w14:paraId="77B4851E" w14:textId="77777777">
            <w:pPr>
              <w:rPr>
                <w:rFonts w:ascii="Arial" w:hAnsi="Arial" w:eastAsia="Times New Roman" w:cs="Arial"/>
                <w:b/>
                <w:bCs/>
                <w:sz w:val="20"/>
                <w:szCs w:val="20"/>
              </w:rPr>
            </w:pPr>
            <w:r w:rsidRPr="004431DE">
              <w:rPr>
                <w:rFonts w:ascii="Arial" w:hAnsi="Arial"/>
                <w:b/>
                <w:sz w:val="20"/>
              </w:rPr>
              <w:t>Sekcja 7 – Przechowywane aktywa</w:t>
            </w:r>
          </w:p>
        </w:tc>
        <w:tc>
          <w:tcPr>
            <w:tcW w:w="2745" w:type="dxa"/>
            <w:tcBorders>
              <w:top w:val="nil"/>
              <w:left w:val="nil"/>
              <w:bottom w:val="single" w:color="auto" w:sz="4" w:space="0"/>
              <w:right w:val="nil"/>
            </w:tcBorders>
            <w:hideMark/>
          </w:tcPr>
          <w:p w:rsidRPr="004431DE" w:rsidR="0065120A" w:rsidP="00BC3A1F" w:rsidRDefault="0065120A" w14:paraId="6363D711"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5639E73D"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64D09B1E" w14:textId="77777777">
            <w:pPr>
              <w:ind w:firstLine="200" w:firstLineChars="100"/>
              <w:rPr>
                <w:rFonts w:ascii="Arial" w:hAnsi="Arial" w:eastAsia="Times New Roman" w:cs="Arial"/>
                <w:sz w:val="20"/>
                <w:szCs w:val="20"/>
              </w:rPr>
            </w:pPr>
            <w:r w:rsidRPr="004431DE">
              <w:rPr>
                <w:rFonts w:ascii="Arial" w:hAnsi="Arial"/>
                <w:sz w:val="20"/>
              </w:rPr>
              <w:t>a. Wskaźnik przechowywanych aktywów</w:t>
            </w:r>
          </w:p>
        </w:tc>
        <w:tc>
          <w:tcPr>
            <w:tcW w:w="2745" w:type="dxa"/>
            <w:tcBorders>
              <w:left w:val="nil"/>
              <w:bottom w:val="single" w:color="auto" w:sz="4" w:space="0"/>
              <w:right w:val="nil"/>
            </w:tcBorders>
            <w:noWrap/>
            <w:hideMark/>
          </w:tcPr>
          <w:p w:rsidRPr="004431DE" w:rsidR="0065120A" w:rsidP="00BC3A1F" w:rsidRDefault="0065120A" w14:paraId="31DBBEF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A0A1763" w14:textId="77777777">
        <w:trPr>
          <w:trHeight w:val="300"/>
        </w:trPr>
        <w:tc>
          <w:tcPr>
            <w:tcW w:w="6804" w:type="dxa"/>
            <w:gridSpan w:val="2"/>
            <w:tcBorders>
              <w:left w:val="nil"/>
              <w:bottom w:val="nil"/>
              <w:right w:val="nil"/>
            </w:tcBorders>
            <w:noWrap/>
          </w:tcPr>
          <w:p w:rsidRPr="004431DE" w:rsidR="0065120A" w:rsidP="00BC3A1F" w:rsidRDefault="0065120A" w14:paraId="06690361"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4431DE" w:rsidR="0065120A" w:rsidP="00BC3A1F" w:rsidRDefault="0065120A" w14:paraId="05B34927" w14:textId="77777777">
            <w:pPr>
              <w:jc w:val="center"/>
              <w:rPr>
                <w:rFonts w:ascii="Arial" w:hAnsi="Arial" w:eastAsia="Times New Roman" w:cs="Arial"/>
                <w:b/>
                <w:bCs/>
                <w:sz w:val="20"/>
                <w:szCs w:val="20"/>
                <w:lang w:eastAsia="en-GB"/>
              </w:rPr>
            </w:pPr>
          </w:p>
        </w:tc>
      </w:tr>
      <w:tr w:rsidRPr="004431DE" w:rsidR="0065120A" w:rsidTr="00BC3A1F" w14:paraId="4233A913" w14:textId="77777777">
        <w:trPr>
          <w:trHeight w:val="300"/>
        </w:trPr>
        <w:tc>
          <w:tcPr>
            <w:tcW w:w="6804" w:type="dxa"/>
            <w:gridSpan w:val="2"/>
            <w:tcBorders>
              <w:top w:val="nil"/>
              <w:left w:val="nil"/>
              <w:bottom w:val="single" w:color="auto" w:sz="4" w:space="0"/>
              <w:right w:val="nil"/>
            </w:tcBorders>
            <w:noWrap/>
          </w:tcPr>
          <w:p w:rsidRPr="004431DE" w:rsidR="0065120A" w:rsidP="00BC3A1F" w:rsidRDefault="0065120A" w14:paraId="00300FFA" w14:textId="77777777">
            <w:pPr>
              <w:rPr>
                <w:rFonts w:ascii="Arial" w:hAnsi="Arial" w:eastAsia="Times New Roman" w:cs="Arial"/>
                <w:sz w:val="20"/>
                <w:szCs w:val="20"/>
              </w:rPr>
            </w:pPr>
            <w:r w:rsidRPr="004431DE">
              <w:rPr>
                <w:rFonts w:ascii="Arial" w:hAnsi="Arial"/>
                <w:b/>
                <w:sz w:val="20"/>
              </w:rPr>
              <w:t>Sekcja 8 – Transakcje gwarantowane na rynku papierów dłużnych i rynku akcji</w:t>
            </w:r>
          </w:p>
        </w:tc>
        <w:tc>
          <w:tcPr>
            <w:tcW w:w="2745" w:type="dxa"/>
            <w:tcBorders>
              <w:top w:val="nil"/>
              <w:left w:val="nil"/>
              <w:bottom w:val="single" w:color="auto" w:sz="4" w:space="0"/>
              <w:right w:val="nil"/>
            </w:tcBorders>
            <w:noWrap/>
          </w:tcPr>
          <w:p w:rsidRPr="004431DE" w:rsidR="0065120A" w:rsidP="00BC3A1F" w:rsidRDefault="0065120A" w14:paraId="4EE1A995"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3028B145" w14:textId="77777777">
        <w:trPr>
          <w:trHeight w:val="300"/>
        </w:trPr>
        <w:tc>
          <w:tcPr>
            <w:tcW w:w="6804" w:type="dxa"/>
            <w:gridSpan w:val="2"/>
            <w:tcBorders>
              <w:left w:val="nil"/>
              <w:right w:val="nil"/>
            </w:tcBorders>
            <w:noWrap/>
            <w:hideMark/>
          </w:tcPr>
          <w:p w:rsidRPr="004431DE" w:rsidR="0065120A" w:rsidP="00BC3A1F" w:rsidRDefault="0065120A" w14:paraId="52EA0E00" w14:textId="77777777">
            <w:pPr>
              <w:ind w:firstLine="200" w:firstLineChars="100"/>
              <w:rPr>
                <w:rFonts w:ascii="Arial" w:hAnsi="Arial" w:eastAsia="Times New Roman" w:cs="Arial"/>
                <w:sz w:val="20"/>
                <w:szCs w:val="20"/>
              </w:rPr>
            </w:pPr>
            <w:r w:rsidRPr="004431DE">
              <w:rPr>
                <w:rFonts w:ascii="Arial" w:hAnsi="Arial"/>
                <w:sz w:val="20"/>
              </w:rPr>
              <w:t>a. Działalność gwarantowania emisji akcji</w:t>
            </w:r>
          </w:p>
        </w:tc>
        <w:tc>
          <w:tcPr>
            <w:tcW w:w="2745" w:type="dxa"/>
            <w:tcBorders>
              <w:left w:val="nil"/>
              <w:right w:val="nil"/>
            </w:tcBorders>
            <w:noWrap/>
            <w:hideMark/>
          </w:tcPr>
          <w:p w:rsidRPr="004431DE" w:rsidR="0065120A" w:rsidP="00BC3A1F" w:rsidRDefault="0065120A" w14:paraId="7827F681"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4FFE7F6" w14:textId="77777777">
        <w:trPr>
          <w:trHeight w:val="300"/>
        </w:trPr>
        <w:tc>
          <w:tcPr>
            <w:tcW w:w="6804" w:type="dxa"/>
            <w:gridSpan w:val="2"/>
            <w:tcBorders>
              <w:left w:val="nil"/>
              <w:right w:val="nil"/>
            </w:tcBorders>
            <w:noWrap/>
            <w:hideMark/>
          </w:tcPr>
          <w:p w:rsidRPr="004431DE" w:rsidR="0065120A" w:rsidP="00BC3A1F" w:rsidRDefault="0065120A" w14:paraId="24256807" w14:textId="77777777">
            <w:pPr>
              <w:ind w:firstLine="200" w:firstLineChars="100"/>
              <w:rPr>
                <w:rFonts w:ascii="Arial" w:hAnsi="Arial" w:eastAsia="Times New Roman" w:cs="Arial"/>
                <w:sz w:val="20"/>
                <w:szCs w:val="20"/>
              </w:rPr>
            </w:pPr>
            <w:r w:rsidRPr="004431DE">
              <w:rPr>
                <w:rFonts w:ascii="Arial" w:hAnsi="Arial"/>
                <w:sz w:val="20"/>
              </w:rPr>
              <w:t>b. Działalność gwarantowania emisji papierów dłużnych</w:t>
            </w:r>
          </w:p>
        </w:tc>
        <w:tc>
          <w:tcPr>
            <w:tcW w:w="2745" w:type="dxa"/>
            <w:tcBorders>
              <w:left w:val="nil"/>
              <w:right w:val="nil"/>
            </w:tcBorders>
            <w:noWrap/>
            <w:hideMark/>
          </w:tcPr>
          <w:p w:rsidRPr="004431DE" w:rsidR="0065120A" w:rsidP="00BC3A1F" w:rsidRDefault="0065120A" w14:paraId="4A14A4B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393941B"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387275ED" w14:textId="77777777">
            <w:pPr>
              <w:ind w:firstLine="200" w:firstLineChars="100"/>
              <w:rPr>
                <w:rFonts w:ascii="Arial" w:hAnsi="Arial" w:eastAsia="Times New Roman" w:cs="Arial"/>
                <w:sz w:val="20"/>
                <w:szCs w:val="20"/>
              </w:rPr>
            </w:pPr>
            <w:r w:rsidRPr="004431DE">
              <w:rPr>
                <w:rFonts w:ascii="Arial" w:hAnsi="Arial"/>
                <w:sz w:val="20"/>
              </w:rPr>
              <w:t>c. Wskaźnik działalności gwarantowania (suma pozycji 8.a i 8.b)</w:t>
            </w:r>
          </w:p>
        </w:tc>
        <w:tc>
          <w:tcPr>
            <w:tcW w:w="2745" w:type="dxa"/>
            <w:tcBorders>
              <w:left w:val="nil"/>
              <w:bottom w:val="single" w:color="auto" w:sz="4" w:space="0"/>
              <w:right w:val="nil"/>
            </w:tcBorders>
            <w:noWrap/>
            <w:hideMark/>
          </w:tcPr>
          <w:p w:rsidRPr="004431DE" w:rsidR="0065120A" w:rsidP="00BC3A1F" w:rsidRDefault="0065120A" w14:paraId="1A22C95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F8C965D" w14:textId="77777777">
        <w:trPr>
          <w:trHeight w:val="300"/>
        </w:trPr>
        <w:tc>
          <w:tcPr>
            <w:tcW w:w="6804" w:type="dxa"/>
            <w:gridSpan w:val="2"/>
            <w:tcBorders>
              <w:left w:val="nil"/>
              <w:bottom w:val="nil"/>
              <w:right w:val="nil"/>
            </w:tcBorders>
            <w:noWrap/>
          </w:tcPr>
          <w:p w:rsidRPr="004431DE" w:rsidR="0065120A" w:rsidP="00BC3A1F" w:rsidRDefault="0065120A" w14:paraId="0FA5A6C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60FCDBE4" w14:textId="77777777">
            <w:pPr>
              <w:jc w:val="center"/>
              <w:rPr>
                <w:rFonts w:ascii="Arial" w:hAnsi="Arial" w:eastAsia="Times New Roman" w:cs="Arial"/>
                <w:b/>
                <w:bCs/>
                <w:sz w:val="20"/>
                <w:szCs w:val="20"/>
                <w:lang w:eastAsia="en-GB"/>
              </w:rPr>
            </w:pPr>
          </w:p>
        </w:tc>
      </w:tr>
      <w:tr w:rsidRPr="004431DE" w:rsidR="0065120A" w:rsidTr="00BC3A1F" w14:paraId="37F5FD3E" w14:textId="77777777">
        <w:trPr>
          <w:trHeight w:val="300"/>
        </w:trPr>
        <w:tc>
          <w:tcPr>
            <w:tcW w:w="6804" w:type="dxa"/>
            <w:gridSpan w:val="2"/>
            <w:tcBorders>
              <w:top w:val="nil"/>
              <w:left w:val="nil"/>
              <w:right w:val="nil"/>
            </w:tcBorders>
            <w:noWrap/>
            <w:hideMark/>
          </w:tcPr>
          <w:p w:rsidRPr="004431DE" w:rsidR="0065120A" w:rsidP="00BC3A1F" w:rsidRDefault="0065120A" w14:paraId="2F715423" w14:textId="77777777">
            <w:pPr>
              <w:rPr>
                <w:rFonts w:ascii="Arial" w:hAnsi="Arial" w:eastAsia="Times New Roman" w:cs="Arial"/>
                <w:b/>
                <w:bCs/>
                <w:sz w:val="20"/>
                <w:szCs w:val="20"/>
              </w:rPr>
            </w:pPr>
            <w:r w:rsidRPr="004431DE">
              <w:rPr>
                <w:rFonts w:ascii="Arial" w:hAnsi="Arial"/>
                <w:b/>
                <w:sz w:val="20"/>
              </w:rPr>
              <w:t>Sekcja 9 – Wielkość obrotu</w:t>
            </w:r>
          </w:p>
        </w:tc>
        <w:tc>
          <w:tcPr>
            <w:tcW w:w="2745" w:type="dxa"/>
            <w:tcBorders>
              <w:top w:val="nil"/>
              <w:left w:val="nil"/>
              <w:right w:val="nil"/>
            </w:tcBorders>
            <w:hideMark/>
          </w:tcPr>
          <w:p w:rsidRPr="004431DE" w:rsidR="0065120A" w:rsidP="00BC3A1F" w:rsidRDefault="0065120A" w14:paraId="29B5A133"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034A69A9" w14:textId="77777777">
        <w:trPr>
          <w:trHeight w:val="300"/>
        </w:trPr>
        <w:tc>
          <w:tcPr>
            <w:tcW w:w="6804" w:type="dxa"/>
            <w:gridSpan w:val="2"/>
            <w:tcBorders>
              <w:left w:val="nil"/>
              <w:right w:val="nil"/>
            </w:tcBorders>
            <w:noWrap/>
          </w:tcPr>
          <w:p w:rsidRPr="004431DE" w:rsidR="0065120A" w:rsidP="00BC3A1F" w:rsidRDefault="0065120A" w14:paraId="7300F396" w14:textId="77777777">
            <w:pPr>
              <w:ind w:left="171" w:firstLine="28" w:firstLineChars="14"/>
              <w:rPr>
                <w:rFonts w:ascii="Arial" w:hAnsi="Arial" w:eastAsia="Times New Roman" w:cs="Arial"/>
                <w:sz w:val="20"/>
                <w:szCs w:val="20"/>
              </w:rPr>
            </w:pPr>
            <w:r w:rsidRPr="004431DE">
              <w:rPr>
                <w:rFonts w:ascii="Arial" w:hAnsi="Arial"/>
                <w:sz w:val="20"/>
              </w:rPr>
              <w:t>a. Wolumen obrotu papierami wartościowymi wyemitowanymi przez inne podmioty sektora publicznego, z wyłączeniem transakcji wewnątrzgrupowych</w:t>
            </w:r>
          </w:p>
        </w:tc>
        <w:tc>
          <w:tcPr>
            <w:tcW w:w="2745" w:type="dxa"/>
            <w:tcBorders>
              <w:left w:val="nil"/>
              <w:right w:val="nil"/>
            </w:tcBorders>
            <w:noWrap/>
          </w:tcPr>
          <w:p w:rsidRPr="004431DE" w:rsidR="0065120A" w:rsidP="00BC3A1F" w:rsidRDefault="0065120A" w14:paraId="068DA6F3" w14:textId="77777777">
            <w:pPr>
              <w:jc w:val="right"/>
              <w:rPr>
                <w:rFonts w:ascii="Arial" w:hAnsi="Arial" w:eastAsia="Times New Roman" w:cs="Arial"/>
                <w:sz w:val="20"/>
                <w:szCs w:val="20"/>
                <w:lang w:eastAsia="en-GB"/>
              </w:rPr>
            </w:pPr>
          </w:p>
        </w:tc>
      </w:tr>
      <w:tr w:rsidRPr="004431DE" w:rsidR="0065120A" w:rsidTr="00BC3A1F" w14:paraId="0A8A6FB3"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58C42068" w14:textId="77777777">
            <w:pPr>
              <w:ind w:left="171" w:firstLine="28" w:firstLineChars="14"/>
              <w:rPr>
                <w:rFonts w:ascii="Arial" w:hAnsi="Arial" w:eastAsia="Times New Roman" w:cs="Arial"/>
                <w:sz w:val="20"/>
                <w:szCs w:val="20"/>
              </w:rPr>
            </w:pPr>
            <w:r w:rsidRPr="004431DE">
              <w:rPr>
                <w:rFonts w:ascii="Arial" w:hAnsi="Arial"/>
                <w:sz w:val="20"/>
              </w:rPr>
              <w:t>b. Wolumen obrotu innymi papierami wartościowymi o stałym dochodzie, z wyłączeniem transakcji wewnątrzgrupowych</w:t>
            </w:r>
          </w:p>
        </w:tc>
        <w:tc>
          <w:tcPr>
            <w:tcW w:w="2745" w:type="dxa"/>
            <w:tcBorders>
              <w:left w:val="nil"/>
              <w:right w:val="nil"/>
            </w:tcBorders>
            <w:noWrap/>
            <w:hideMark/>
          </w:tcPr>
          <w:p w:rsidRPr="004431DE" w:rsidR="0065120A" w:rsidP="00BC3A1F" w:rsidRDefault="0065120A" w14:paraId="771C0F78"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1D5FD9B" w14:textId="77777777">
        <w:trPr>
          <w:gridAfter w:val="1"/>
          <w:wAfter w:w="2745" w:type="dxa"/>
          <w:trHeight w:val="300"/>
        </w:trPr>
        <w:tc>
          <w:tcPr>
            <w:tcW w:w="6804" w:type="dxa"/>
            <w:gridSpan w:val="2"/>
            <w:tcBorders>
              <w:left w:val="nil"/>
              <w:bottom w:val="single" w:color="auto" w:sz="4" w:space="0"/>
              <w:right w:val="nil"/>
            </w:tcBorders>
            <w:noWrap/>
            <w:hideMark/>
          </w:tcPr>
          <w:p w:rsidRPr="004431DE" w:rsidR="0065120A" w:rsidP="00BC3A1F" w:rsidRDefault="0065120A" w14:paraId="7BEBD84D" w14:textId="77777777">
            <w:pPr>
              <w:ind w:firstLine="200" w:firstLineChars="100"/>
              <w:rPr>
                <w:rFonts w:ascii="Arial" w:hAnsi="Arial" w:eastAsia="Times New Roman" w:cs="Arial"/>
                <w:sz w:val="20"/>
                <w:szCs w:val="20"/>
              </w:rPr>
            </w:pPr>
            <w:r w:rsidRPr="004431DE">
              <w:rPr>
                <w:rFonts w:ascii="Arial" w:hAnsi="Arial"/>
                <w:sz w:val="20"/>
              </w:rPr>
              <w:t>c. Podwskaźnik wolumenu transakcji o stałym dochodzie (suma pozycji 9.a. i 9.b.)</w:t>
            </w:r>
          </w:p>
        </w:tc>
      </w:tr>
      <w:tr w:rsidRPr="004431DE" w:rsidR="0065120A" w:rsidTr="00BC3A1F" w14:paraId="2B8325E5" w14:textId="77777777">
        <w:trPr>
          <w:trHeight w:val="300"/>
        </w:trPr>
        <w:tc>
          <w:tcPr>
            <w:tcW w:w="6804" w:type="dxa"/>
            <w:gridSpan w:val="2"/>
            <w:tcBorders>
              <w:left w:val="nil"/>
              <w:right w:val="nil"/>
            </w:tcBorders>
            <w:noWrap/>
            <w:hideMark/>
          </w:tcPr>
          <w:p w:rsidRPr="004431DE" w:rsidR="0065120A" w:rsidP="00BC3A1F" w:rsidRDefault="0065120A" w14:paraId="296EF20F" w14:textId="77777777">
            <w:pPr>
              <w:ind w:firstLine="200" w:firstLineChars="100"/>
              <w:rPr>
                <w:rFonts w:ascii="Arial" w:hAnsi="Arial" w:eastAsia="Times New Roman" w:cs="Arial"/>
                <w:sz w:val="20"/>
                <w:szCs w:val="20"/>
              </w:rPr>
            </w:pPr>
            <w:r w:rsidRPr="004431DE">
              <w:rPr>
                <w:rFonts w:ascii="Arial" w:hAnsi="Arial"/>
                <w:sz w:val="20"/>
              </w:rPr>
              <w:t>d. Wolumen obrotu instrumentami kapitałowymi notowanymi na rynku regulowanym, z wyłączeniem transakcji wewnątrzgrupowych</w:t>
            </w:r>
          </w:p>
        </w:tc>
        <w:tc>
          <w:tcPr>
            <w:tcW w:w="2745" w:type="dxa"/>
            <w:tcBorders>
              <w:left w:val="nil"/>
              <w:right w:val="nil"/>
            </w:tcBorders>
            <w:noWrap/>
            <w:hideMark/>
          </w:tcPr>
          <w:p w:rsidRPr="004431DE" w:rsidR="0065120A" w:rsidP="00BC3A1F" w:rsidRDefault="0065120A" w14:paraId="2048FF9E"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5B98B09"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61517F55" w14:textId="77777777">
            <w:pPr>
              <w:ind w:left="171"/>
              <w:rPr>
                <w:rFonts w:ascii="Arial" w:hAnsi="Arial" w:eastAsia="Times New Roman" w:cs="Arial"/>
                <w:sz w:val="20"/>
                <w:szCs w:val="20"/>
              </w:rPr>
            </w:pPr>
            <w:r w:rsidRPr="004431DE">
              <w:rPr>
                <w:rFonts w:ascii="Arial" w:hAnsi="Arial"/>
                <w:sz w:val="20"/>
              </w:rPr>
              <w:t>e. Wolumen obrotu wszelkimi innymi papierami wartościowymi, z wyłączeniem transakcji wewnątrzgrupowych</w:t>
            </w:r>
          </w:p>
        </w:tc>
        <w:tc>
          <w:tcPr>
            <w:tcW w:w="2745" w:type="dxa"/>
            <w:tcBorders>
              <w:left w:val="nil"/>
              <w:right w:val="nil"/>
            </w:tcBorders>
            <w:noWrap/>
            <w:hideMark/>
          </w:tcPr>
          <w:p w:rsidRPr="004431DE" w:rsidR="0065120A" w:rsidP="00BC3A1F" w:rsidRDefault="0065120A" w14:paraId="0E8EC21D"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419B2E7" w14:textId="77777777">
        <w:trPr>
          <w:gridAfter w:val="1"/>
          <w:wAfter w:w="2745" w:type="dxa"/>
          <w:trHeight w:val="300"/>
        </w:trPr>
        <w:tc>
          <w:tcPr>
            <w:tcW w:w="6804" w:type="dxa"/>
            <w:gridSpan w:val="2"/>
            <w:tcBorders>
              <w:left w:val="nil"/>
              <w:bottom w:val="single" w:color="auto" w:sz="4" w:space="0"/>
              <w:right w:val="nil"/>
            </w:tcBorders>
            <w:noWrap/>
            <w:hideMark/>
          </w:tcPr>
          <w:p w:rsidRPr="004431DE" w:rsidR="0065120A" w:rsidP="00BC3A1F" w:rsidRDefault="0065120A" w14:paraId="0A178A1A" w14:textId="77777777">
            <w:pPr>
              <w:ind w:left="171" w:firstLine="28" w:firstLineChars="14"/>
              <w:rPr>
                <w:rFonts w:ascii="Arial" w:hAnsi="Arial" w:eastAsia="Times New Roman" w:cs="Arial"/>
                <w:sz w:val="20"/>
                <w:szCs w:val="20"/>
              </w:rPr>
            </w:pPr>
            <w:r w:rsidRPr="004431DE">
              <w:rPr>
                <w:rFonts w:ascii="Arial" w:hAnsi="Arial"/>
                <w:sz w:val="20"/>
              </w:rPr>
              <w:t>f. Podwskaźnik wolumenu obrotu akcjami i innymi papierami wartościowymi (suma pozycji 9.d. i 9.e.)</w:t>
            </w:r>
          </w:p>
        </w:tc>
      </w:tr>
      <w:tr w:rsidRPr="004431DE" w:rsidR="0065120A" w:rsidTr="00BC3A1F" w14:paraId="0454BC84" w14:textId="77777777">
        <w:trPr>
          <w:trHeight w:val="403"/>
        </w:trPr>
        <w:tc>
          <w:tcPr>
            <w:tcW w:w="6804" w:type="dxa"/>
            <w:gridSpan w:val="2"/>
            <w:tcBorders>
              <w:left w:val="nil"/>
              <w:bottom w:val="nil"/>
              <w:right w:val="nil"/>
            </w:tcBorders>
            <w:noWrap/>
          </w:tcPr>
          <w:p w:rsidRPr="004431DE" w:rsidR="0065120A" w:rsidP="00BC3A1F" w:rsidRDefault="0065120A" w14:paraId="28F12F3F"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4431DE" w:rsidR="0065120A" w:rsidP="00BC3A1F" w:rsidRDefault="0065120A" w14:paraId="47AE49DF" w14:textId="77777777">
            <w:pPr>
              <w:rPr>
                <w:rFonts w:ascii="Arial" w:hAnsi="Arial" w:eastAsia="Times New Roman" w:cs="Arial"/>
                <w:sz w:val="20"/>
                <w:szCs w:val="20"/>
                <w:lang w:eastAsia="en-GB"/>
              </w:rPr>
            </w:pPr>
          </w:p>
        </w:tc>
      </w:tr>
      <w:tr w:rsidRPr="004431DE" w:rsidR="0065120A" w:rsidTr="00BC3A1F" w14:paraId="7525B8C3" w14:textId="77777777">
        <w:trPr>
          <w:trHeight w:val="403"/>
        </w:trPr>
        <w:tc>
          <w:tcPr>
            <w:tcW w:w="6804" w:type="dxa"/>
            <w:gridSpan w:val="2"/>
            <w:tcBorders>
              <w:top w:val="nil"/>
              <w:left w:val="nil"/>
              <w:bottom w:val="nil"/>
              <w:right w:val="nil"/>
            </w:tcBorders>
            <w:noWrap/>
            <w:hideMark/>
          </w:tcPr>
          <w:p w:rsidRPr="004431DE" w:rsidR="0065120A" w:rsidP="00BC3A1F" w:rsidRDefault="0065120A" w14:paraId="41D0D8E3" w14:textId="77777777">
            <w:pPr>
              <w:keepNext/>
              <w:keepLines/>
              <w:spacing w:before="47"/>
              <w:outlineLvl w:val="5"/>
              <w:rPr>
                <w:rFonts w:ascii="Arial" w:hAnsi="Arial" w:eastAsia="Times New Roman" w:cs="Arial"/>
                <w:sz w:val="20"/>
                <w:szCs w:val="20"/>
                <w:lang w:eastAsia="en-GB"/>
              </w:rPr>
            </w:pPr>
            <w:r w:rsidRPr="004431DE">
              <w:rPr>
                <w:rFonts w:ascii="Arial" w:hAnsi="Arial"/>
                <w:i/>
                <w:caps/>
                <w:color w:val="172B39" w:themeColor="accent1" w:themeShade="80"/>
                <w:sz w:val="20"/>
              </w:rPr>
              <w:t> </w:t>
            </w:r>
            <w:r w:rsidRPr="004431DE">
              <w:rPr>
                <w:rFonts w:asciiTheme="majorHAnsi" w:hAnsiTheme="majorHAnsi"/>
                <w:b/>
                <w:i/>
                <w:caps/>
              </w:rPr>
              <w:t>Wskaźniki złożoności</w:t>
            </w:r>
          </w:p>
        </w:tc>
        <w:tc>
          <w:tcPr>
            <w:tcW w:w="2745" w:type="dxa"/>
            <w:tcBorders>
              <w:top w:val="nil"/>
              <w:left w:val="nil"/>
              <w:bottom w:val="nil"/>
              <w:right w:val="nil"/>
            </w:tcBorders>
            <w:noWrap/>
            <w:hideMark/>
          </w:tcPr>
          <w:p w:rsidRPr="004431DE" w:rsidR="0065120A" w:rsidP="00BC3A1F" w:rsidRDefault="0065120A" w14:paraId="041D5A81" w14:textId="77777777">
            <w:pPr>
              <w:rPr>
                <w:rFonts w:ascii="Arial" w:hAnsi="Arial" w:eastAsia="Times New Roman" w:cs="Arial"/>
                <w:sz w:val="20"/>
                <w:szCs w:val="20"/>
              </w:rPr>
            </w:pPr>
            <w:r w:rsidRPr="004431DE">
              <w:rPr>
                <w:rFonts w:ascii="Arial" w:hAnsi="Arial"/>
                <w:sz w:val="20"/>
              </w:rPr>
              <w:t> </w:t>
            </w:r>
          </w:p>
        </w:tc>
      </w:tr>
      <w:tr w:rsidRPr="004431DE" w:rsidR="0065120A" w:rsidTr="00BC3A1F" w14:paraId="7DF322E9" w14:textId="77777777">
        <w:trPr>
          <w:trHeight w:val="403"/>
        </w:trPr>
        <w:tc>
          <w:tcPr>
            <w:tcW w:w="6804" w:type="dxa"/>
            <w:gridSpan w:val="2"/>
            <w:tcBorders>
              <w:top w:val="nil"/>
              <w:left w:val="nil"/>
              <w:bottom w:val="single" w:color="auto" w:sz="4" w:space="0"/>
              <w:right w:val="nil"/>
            </w:tcBorders>
            <w:noWrap/>
          </w:tcPr>
          <w:p w:rsidRPr="004431DE" w:rsidR="0065120A" w:rsidP="00BC3A1F" w:rsidRDefault="0065120A" w14:paraId="432E0FFE"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4431DE" w:rsidR="0065120A" w:rsidP="00BC3A1F" w:rsidRDefault="0065120A" w14:paraId="5928668D" w14:textId="77777777">
            <w:pPr>
              <w:rPr>
                <w:rFonts w:ascii="Arial" w:hAnsi="Arial" w:eastAsia="Times New Roman" w:cs="Arial"/>
                <w:sz w:val="20"/>
                <w:szCs w:val="20"/>
                <w:lang w:eastAsia="en-GB"/>
              </w:rPr>
            </w:pPr>
          </w:p>
        </w:tc>
      </w:tr>
      <w:tr w:rsidRPr="004431DE" w:rsidR="0065120A" w:rsidTr="00BC3A1F" w14:paraId="550BDED0" w14:textId="77777777">
        <w:trPr>
          <w:trHeight w:val="300"/>
        </w:trPr>
        <w:tc>
          <w:tcPr>
            <w:tcW w:w="6804" w:type="dxa"/>
            <w:gridSpan w:val="2"/>
            <w:tcBorders>
              <w:left w:val="nil"/>
              <w:right w:val="nil"/>
            </w:tcBorders>
            <w:noWrap/>
          </w:tcPr>
          <w:p w:rsidRPr="004431DE" w:rsidR="0065120A" w:rsidP="00BC3A1F" w:rsidRDefault="0065120A" w14:paraId="738F2FDD" w14:textId="77777777">
            <w:pPr>
              <w:ind w:firstLine="201" w:firstLineChars="100"/>
              <w:rPr>
                <w:rFonts w:ascii="Arial" w:hAnsi="Arial" w:eastAsia="Times New Roman" w:cs="Arial"/>
                <w:sz w:val="20"/>
                <w:szCs w:val="20"/>
              </w:rPr>
            </w:pPr>
            <w:r w:rsidRPr="004431DE">
              <w:rPr>
                <w:rFonts w:ascii="Arial" w:hAnsi="Arial"/>
                <w:b/>
                <w:sz w:val="20"/>
              </w:rPr>
              <w:t>Sekcja 10 – Kwota nominalna instrumentów pochodnych poza rynkiem regulowanym</w:t>
            </w:r>
          </w:p>
        </w:tc>
        <w:tc>
          <w:tcPr>
            <w:tcW w:w="2745" w:type="dxa"/>
            <w:tcBorders>
              <w:left w:val="nil"/>
              <w:right w:val="nil"/>
            </w:tcBorders>
            <w:noWrap/>
          </w:tcPr>
          <w:p w:rsidRPr="004431DE" w:rsidR="0065120A" w:rsidP="00BC3A1F" w:rsidRDefault="0065120A" w14:paraId="572C2ECA"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4E2007AB" w14:textId="77777777">
        <w:trPr>
          <w:trHeight w:val="300"/>
        </w:trPr>
        <w:tc>
          <w:tcPr>
            <w:tcW w:w="6804" w:type="dxa"/>
            <w:gridSpan w:val="2"/>
            <w:tcBorders>
              <w:left w:val="nil"/>
              <w:right w:val="nil"/>
            </w:tcBorders>
            <w:noWrap/>
            <w:hideMark/>
          </w:tcPr>
          <w:p w:rsidRPr="004431DE" w:rsidR="0065120A" w:rsidP="00BC3A1F" w:rsidRDefault="0065120A" w14:paraId="436FACD3" w14:textId="77777777">
            <w:pPr>
              <w:ind w:firstLine="200" w:firstLineChars="100"/>
              <w:rPr>
                <w:rFonts w:ascii="Arial" w:hAnsi="Arial" w:eastAsia="Times New Roman" w:cs="Arial"/>
                <w:sz w:val="20"/>
                <w:szCs w:val="20"/>
              </w:rPr>
            </w:pPr>
            <w:r w:rsidRPr="004431DE">
              <w:rPr>
                <w:rFonts w:ascii="Arial" w:hAnsi="Arial"/>
                <w:sz w:val="20"/>
              </w:rPr>
              <w:t>a. Instrumenty pochodne poza rynkiem regulowanym rozliczane za pośrednictwem kontrahenta centralnego</w:t>
            </w:r>
          </w:p>
        </w:tc>
        <w:tc>
          <w:tcPr>
            <w:tcW w:w="2745" w:type="dxa"/>
            <w:tcBorders>
              <w:left w:val="nil"/>
              <w:right w:val="nil"/>
            </w:tcBorders>
            <w:noWrap/>
            <w:hideMark/>
          </w:tcPr>
          <w:p w:rsidRPr="004431DE" w:rsidR="0065120A" w:rsidP="00BC3A1F" w:rsidRDefault="0065120A" w14:paraId="2E45FDA2"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4363E95" w14:textId="77777777">
        <w:trPr>
          <w:trHeight w:val="300"/>
        </w:trPr>
        <w:tc>
          <w:tcPr>
            <w:tcW w:w="6804" w:type="dxa"/>
            <w:gridSpan w:val="2"/>
            <w:tcBorders>
              <w:left w:val="nil"/>
              <w:right w:val="nil"/>
            </w:tcBorders>
            <w:noWrap/>
            <w:hideMark/>
          </w:tcPr>
          <w:p w:rsidRPr="004431DE" w:rsidR="0065120A" w:rsidP="00BC3A1F" w:rsidRDefault="0065120A" w14:paraId="3DD30077" w14:textId="77777777">
            <w:pPr>
              <w:ind w:firstLine="200" w:firstLineChars="100"/>
              <w:rPr>
                <w:rFonts w:ascii="Arial" w:hAnsi="Arial" w:eastAsia="Times New Roman" w:cs="Arial"/>
                <w:sz w:val="20"/>
                <w:szCs w:val="20"/>
              </w:rPr>
            </w:pPr>
            <w:r w:rsidRPr="004431DE">
              <w:rPr>
                <w:rFonts w:ascii="Arial" w:hAnsi="Arial"/>
                <w:sz w:val="20"/>
              </w:rPr>
              <w:t>b. Instrumenty pochodne poza rynkiem regulowanym rozliczane dwustronnie</w:t>
            </w:r>
          </w:p>
        </w:tc>
        <w:tc>
          <w:tcPr>
            <w:tcW w:w="2745" w:type="dxa"/>
            <w:tcBorders>
              <w:left w:val="nil"/>
              <w:right w:val="nil"/>
            </w:tcBorders>
            <w:noWrap/>
            <w:hideMark/>
          </w:tcPr>
          <w:p w:rsidRPr="004431DE" w:rsidR="0065120A" w:rsidP="00BC3A1F" w:rsidRDefault="0065120A" w14:paraId="62C5AAC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6E98865C"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00BB83D" w14:textId="77777777">
            <w:pPr>
              <w:ind w:left="171" w:firstLine="28" w:firstLineChars="14"/>
              <w:rPr>
                <w:rFonts w:ascii="Arial" w:hAnsi="Arial" w:eastAsia="Times New Roman" w:cs="Arial"/>
                <w:sz w:val="20"/>
                <w:szCs w:val="20"/>
              </w:rPr>
            </w:pPr>
            <w:r w:rsidRPr="004431DE">
              <w:rPr>
                <w:rFonts w:ascii="Arial" w:hAnsi="Arial"/>
                <w:sz w:val="20"/>
              </w:rPr>
              <w:t>c. Kwota nominalna wskaźnika instrumentów pochodnych poza rynkiem regulowanym, w tym jednostek zależnych prowadzących działalność ubezpieczeniową (suma pozycji 10.a. i 10.b.)</w:t>
            </w:r>
          </w:p>
        </w:tc>
        <w:tc>
          <w:tcPr>
            <w:tcW w:w="2745" w:type="dxa"/>
            <w:tcBorders>
              <w:left w:val="nil"/>
              <w:bottom w:val="single" w:color="auto" w:sz="4" w:space="0"/>
              <w:right w:val="nil"/>
            </w:tcBorders>
            <w:noWrap/>
          </w:tcPr>
          <w:p w:rsidRPr="004431DE" w:rsidR="0065120A" w:rsidP="00BC3A1F" w:rsidRDefault="0065120A" w14:paraId="1CA7DB66" w14:textId="77777777">
            <w:pPr>
              <w:jc w:val="right"/>
              <w:rPr>
                <w:rFonts w:ascii="Arial" w:hAnsi="Arial" w:eastAsia="Times New Roman" w:cs="Arial"/>
                <w:sz w:val="20"/>
                <w:szCs w:val="20"/>
                <w:lang w:eastAsia="en-GB"/>
              </w:rPr>
            </w:pPr>
          </w:p>
        </w:tc>
      </w:tr>
      <w:tr w:rsidRPr="004431DE" w:rsidR="0065120A" w:rsidTr="00BC3A1F" w14:paraId="29B37736" w14:textId="77777777">
        <w:trPr>
          <w:trHeight w:val="300"/>
        </w:trPr>
        <w:tc>
          <w:tcPr>
            <w:tcW w:w="6804" w:type="dxa"/>
            <w:gridSpan w:val="2"/>
            <w:tcBorders>
              <w:left w:val="nil"/>
              <w:bottom w:val="nil"/>
              <w:right w:val="nil"/>
            </w:tcBorders>
            <w:noWrap/>
          </w:tcPr>
          <w:p w:rsidRPr="004431DE" w:rsidR="0065120A" w:rsidP="00BC3A1F" w:rsidRDefault="0065120A" w14:paraId="6C675B0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541AF846" w14:textId="77777777">
            <w:pPr>
              <w:jc w:val="center"/>
              <w:rPr>
                <w:rFonts w:ascii="Arial" w:hAnsi="Arial" w:eastAsia="Times New Roman" w:cs="Arial"/>
                <w:b/>
                <w:bCs/>
                <w:sz w:val="20"/>
                <w:szCs w:val="20"/>
                <w:lang w:eastAsia="en-GB"/>
              </w:rPr>
            </w:pPr>
          </w:p>
        </w:tc>
      </w:tr>
      <w:tr w:rsidRPr="004431DE" w:rsidR="0065120A" w:rsidTr="00BC3A1F" w14:paraId="25148571" w14:textId="77777777">
        <w:trPr>
          <w:trHeight w:val="300"/>
        </w:trPr>
        <w:tc>
          <w:tcPr>
            <w:tcW w:w="6804" w:type="dxa"/>
            <w:gridSpan w:val="2"/>
            <w:tcBorders>
              <w:top w:val="nil"/>
              <w:left w:val="nil"/>
              <w:bottom w:val="single" w:color="auto" w:sz="4" w:space="0"/>
              <w:right w:val="nil"/>
            </w:tcBorders>
            <w:noWrap/>
            <w:hideMark/>
          </w:tcPr>
          <w:p w:rsidRPr="004431DE" w:rsidR="0065120A" w:rsidP="00BC3A1F" w:rsidRDefault="0065120A" w14:paraId="64F12E07" w14:textId="77777777">
            <w:pPr>
              <w:rPr>
                <w:rFonts w:ascii="Arial" w:hAnsi="Arial" w:eastAsia="Times New Roman" w:cs="Arial"/>
                <w:b/>
                <w:bCs/>
                <w:sz w:val="20"/>
                <w:szCs w:val="20"/>
              </w:rPr>
            </w:pPr>
            <w:r w:rsidRPr="004431DE">
              <w:rPr>
                <w:rFonts w:ascii="Arial" w:hAnsi="Arial"/>
                <w:b/>
                <w:sz w:val="20"/>
              </w:rPr>
              <w:t>Sekcja 11 – Papiery wartościowe przeznaczone do obrotu i dostępne do sprzedaży</w:t>
            </w:r>
          </w:p>
        </w:tc>
        <w:tc>
          <w:tcPr>
            <w:tcW w:w="2745" w:type="dxa"/>
            <w:tcBorders>
              <w:top w:val="nil"/>
              <w:left w:val="nil"/>
              <w:bottom w:val="single" w:color="auto" w:sz="4" w:space="0"/>
              <w:right w:val="nil"/>
            </w:tcBorders>
            <w:hideMark/>
          </w:tcPr>
          <w:p w:rsidRPr="004431DE" w:rsidR="0065120A" w:rsidP="00BC3A1F" w:rsidRDefault="0065120A" w14:paraId="137FB377"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4A31865B" w14:textId="77777777">
        <w:trPr>
          <w:trHeight w:val="300"/>
        </w:trPr>
        <w:tc>
          <w:tcPr>
            <w:tcW w:w="6804" w:type="dxa"/>
            <w:gridSpan w:val="2"/>
            <w:tcBorders>
              <w:left w:val="nil"/>
              <w:right w:val="nil"/>
            </w:tcBorders>
            <w:noWrap/>
            <w:hideMark/>
          </w:tcPr>
          <w:p w:rsidRPr="004431DE" w:rsidR="0065120A" w:rsidP="00BC3A1F" w:rsidRDefault="0065120A" w14:paraId="1F501625" w14:textId="77777777">
            <w:pPr>
              <w:ind w:firstLine="200" w:firstLineChars="100"/>
              <w:rPr>
                <w:rFonts w:ascii="Arial" w:hAnsi="Arial" w:eastAsia="Times New Roman" w:cs="Arial"/>
                <w:sz w:val="20"/>
                <w:szCs w:val="20"/>
              </w:rPr>
            </w:pPr>
            <w:r w:rsidRPr="004431DE">
              <w:rPr>
                <w:rFonts w:ascii="Arial" w:hAnsi="Arial"/>
                <w:sz w:val="20"/>
              </w:rPr>
              <w:t>a. Papiery wartościowe przeznaczone do obrotu</w:t>
            </w:r>
          </w:p>
        </w:tc>
        <w:tc>
          <w:tcPr>
            <w:tcW w:w="2745" w:type="dxa"/>
            <w:tcBorders>
              <w:left w:val="nil"/>
              <w:right w:val="nil"/>
            </w:tcBorders>
            <w:noWrap/>
            <w:hideMark/>
          </w:tcPr>
          <w:p w:rsidRPr="004431DE" w:rsidR="0065120A" w:rsidP="00BC3A1F" w:rsidRDefault="0065120A" w14:paraId="5E6E57F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6864BC4"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68FC32EA" w14:textId="77777777">
            <w:pPr>
              <w:ind w:firstLine="200" w:firstLineChars="100"/>
              <w:rPr>
                <w:rFonts w:ascii="Arial" w:hAnsi="Arial" w:eastAsia="Times New Roman" w:cs="Arial"/>
                <w:sz w:val="20"/>
                <w:szCs w:val="20"/>
              </w:rPr>
            </w:pPr>
            <w:r w:rsidRPr="004431DE">
              <w:rPr>
                <w:rFonts w:ascii="Arial" w:hAnsi="Arial"/>
                <w:sz w:val="20"/>
              </w:rPr>
              <w:t>b. Papiery wartościowe dostępne do sprzedaży</w:t>
            </w:r>
          </w:p>
        </w:tc>
        <w:tc>
          <w:tcPr>
            <w:tcW w:w="2745" w:type="dxa"/>
            <w:tcBorders>
              <w:left w:val="nil"/>
              <w:right w:val="nil"/>
            </w:tcBorders>
            <w:noWrap/>
            <w:hideMark/>
          </w:tcPr>
          <w:p w:rsidRPr="004431DE" w:rsidR="0065120A" w:rsidP="00BC3A1F" w:rsidRDefault="0065120A" w14:paraId="2E3A1D6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F628AED"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691547C9" w14:textId="77777777">
            <w:pPr>
              <w:ind w:firstLine="200" w:firstLineChars="100"/>
              <w:rPr>
                <w:rFonts w:ascii="Arial" w:hAnsi="Arial" w:eastAsia="Times New Roman" w:cs="Arial"/>
                <w:sz w:val="20"/>
                <w:szCs w:val="20"/>
              </w:rPr>
            </w:pPr>
            <w:r w:rsidRPr="004431DE">
              <w:rPr>
                <w:rFonts w:ascii="Arial" w:hAnsi="Arial"/>
                <w:sz w:val="20"/>
              </w:rPr>
              <w:t>c. Papiery wartościowe przeznaczone do obrotu i dostępne do sprzedaży, które odpowiadają definicji aktywów poziomu 1</w:t>
            </w:r>
          </w:p>
        </w:tc>
        <w:tc>
          <w:tcPr>
            <w:tcW w:w="2745" w:type="dxa"/>
            <w:tcBorders>
              <w:left w:val="nil"/>
              <w:right w:val="nil"/>
            </w:tcBorders>
            <w:noWrap/>
          </w:tcPr>
          <w:p w:rsidRPr="004431DE" w:rsidR="0065120A" w:rsidP="00BC3A1F" w:rsidRDefault="0065120A" w14:paraId="706FE2F3" w14:textId="77777777">
            <w:pPr>
              <w:jc w:val="right"/>
              <w:rPr>
                <w:rFonts w:ascii="Arial" w:hAnsi="Arial" w:eastAsia="Times New Roman" w:cs="Arial"/>
                <w:sz w:val="20"/>
                <w:szCs w:val="20"/>
                <w:lang w:eastAsia="en-GB"/>
              </w:rPr>
            </w:pPr>
          </w:p>
        </w:tc>
      </w:tr>
      <w:tr w:rsidRPr="004431DE" w:rsidR="0065120A" w:rsidTr="00BC3A1F" w14:paraId="19E44555"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5278694F" w14:textId="77777777">
            <w:pPr>
              <w:ind w:left="171" w:firstLine="28" w:firstLineChars="14"/>
              <w:rPr>
                <w:rFonts w:ascii="Arial" w:hAnsi="Arial" w:eastAsia="Times New Roman" w:cs="Arial"/>
                <w:sz w:val="20"/>
                <w:szCs w:val="20"/>
              </w:rPr>
            </w:pPr>
            <w:r w:rsidRPr="004431DE">
              <w:rPr>
                <w:rFonts w:ascii="Arial" w:hAnsi="Arial"/>
                <w:sz w:val="20"/>
              </w:rPr>
              <w:t>d. Papiery wartościowe przeznaczone do obrotu i dostępne do sprzedaży, które odpowiadają definicji aktywów poziomu 2, z redukcją wartości w wycenie</w:t>
            </w:r>
          </w:p>
        </w:tc>
        <w:tc>
          <w:tcPr>
            <w:tcW w:w="2745" w:type="dxa"/>
            <w:tcBorders>
              <w:left w:val="nil"/>
              <w:right w:val="nil"/>
            </w:tcBorders>
            <w:noWrap/>
          </w:tcPr>
          <w:p w:rsidRPr="004431DE" w:rsidR="0065120A" w:rsidP="00BC3A1F" w:rsidRDefault="0065120A" w14:paraId="706CD2EA" w14:textId="77777777">
            <w:pPr>
              <w:jc w:val="right"/>
              <w:rPr>
                <w:rFonts w:ascii="Arial" w:hAnsi="Arial" w:eastAsia="Times New Roman" w:cs="Arial"/>
                <w:sz w:val="20"/>
                <w:szCs w:val="20"/>
                <w:lang w:eastAsia="en-GB"/>
              </w:rPr>
            </w:pPr>
          </w:p>
        </w:tc>
      </w:tr>
      <w:tr w:rsidRPr="004431DE" w:rsidR="0065120A" w:rsidTr="00BC3A1F" w14:paraId="1FA22257"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65449E20" w14:textId="77777777">
            <w:pPr>
              <w:ind w:left="171" w:firstLine="28" w:firstLineChars="14"/>
              <w:rPr>
                <w:rFonts w:ascii="Arial" w:hAnsi="Arial" w:eastAsia="Times New Roman" w:cs="Arial"/>
                <w:sz w:val="20"/>
                <w:szCs w:val="20"/>
              </w:rPr>
            </w:pPr>
            <w:r w:rsidRPr="004431DE">
              <w:rPr>
                <w:rFonts w:ascii="Arial" w:hAnsi="Arial"/>
                <w:sz w:val="20"/>
              </w:rPr>
              <w:t>e. Wskaźnik papierów wartościowych przeznaczonych do obrotu i dostępnych do sprzedaży (suma pozycji 11.a i 11.b pomniejszona o sumę pozycji 11.c i 11.d)</w:t>
            </w:r>
          </w:p>
        </w:tc>
        <w:tc>
          <w:tcPr>
            <w:tcW w:w="2745" w:type="dxa"/>
            <w:tcBorders>
              <w:left w:val="nil"/>
              <w:bottom w:val="single" w:color="auto" w:sz="4" w:space="0"/>
              <w:right w:val="nil"/>
            </w:tcBorders>
            <w:noWrap/>
          </w:tcPr>
          <w:p w:rsidRPr="004431DE" w:rsidR="0065120A" w:rsidP="00BC3A1F" w:rsidRDefault="0065120A" w14:paraId="14732013" w14:textId="77777777">
            <w:pPr>
              <w:jc w:val="right"/>
              <w:rPr>
                <w:rFonts w:ascii="Arial" w:hAnsi="Arial" w:eastAsia="Times New Roman" w:cs="Arial"/>
                <w:sz w:val="20"/>
                <w:szCs w:val="20"/>
                <w:lang w:eastAsia="en-GB"/>
              </w:rPr>
            </w:pPr>
          </w:p>
        </w:tc>
      </w:tr>
      <w:tr w:rsidRPr="004431DE" w:rsidR="0065120A" w:rsidTr="00BC3A1F" w14:paraId="0D04E654" w14:textId="77777777">
        <w:trPr>
          <w:trHeight w:val="300"/>
        </w:trPr>
        <w:tc>
          <w:tcPr>
            <w:tcW w:w="6804" w:type="dxa"/>
            <w:gridSpan w:val="2"/>
            <w:tcBorders>
              <w:left w:val="nil"/>
              <w:bottom w:val="nil"/>
              <w:right w:val="nil"/>
            </w:tcBorders>
            <w:noWrap/>
          </w:tcPr>
          <w:p w:rsidRPr="004431DE" w:rsidR="0065120A" w:rsidP="00BC3A1F" w:rsidRDefault="0065120A" w14:paraId="2A0C283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2F7094B0" w14:textId="77777777">
            <w:pPr>
              <w:jc w:val="center"/>
              <w:rPr>
                <w:rFonts w:ascii="Arial" w:hAnsi="Arial" w:eastAsia="Times New Roman" w:cs="Arial"/>
                <w:b/>
                <w:bCs/>
                <w:sz w:val="20"/>
                <w:szCs w:val="20"/>
                <w:lang w:eastAsia="en-GB"/>
              </w:rPr>
            </w:pPr>
          </w:p>
        </w:tc>
      </w:tr>
      <w:tr w:rsidRPr="004431DE" w:rsidR="0065120A" w:rsidTr="00BC3A1F" w14:paraId="74409905" w14:textId="77777777">
        <w:trPr>
          <w:trHeight w:val="300"/>
        </w:trPr>
        <w:tc>
          <w:tcPr>
            <w:tcW w:w="6804" w:type="dxa"/>
            <w:gridSpan w:val="2"/>
            <w:tcBorders>
              <w:top w:val="nil"/>
              <w:left w:val="nil"/>
              <w:bottom w:val="single" w:color="auto" w:sz="4" w:space="0"/>
              <w:right w:val="nil"/>
            </w:tcBorders>
            <w:noWrap/>
            <w:hideMark/>
          </w:tcPr>
          <w:p w:rsidRPr="004431DE" w:rsidR="0065120A" w:rsidP="00BC3A1F" w:rsidRDefault="0065120A" w14:paraId="1004D572" w14:textId="77777777">
            <w:pPr>
              <w:rPr>
                <w:rFonts w:ascii="Arial" w:hAnsi="Arial" w:eastAsia="Times New Roman" w:cs="Arial"/>
                <w:b/>
                <w:bCs/>
                <w:sz w:val="20"/>
                <w:szCs w:val="20"/>
              </w:rPr>
            </w:pPr>
            <w:r w:rsidRPr="004431DE">
              <w:rPr>
                <w:rFonts w:ascii="Arial" w:hAnsi="Arial"/>
                <w:b/>
                <w:sz w:val="20"/>
              </w:rPr>
              <w:lastRenderedPageBreak/>
              <w:t>Sekcja 12 – Aktywa poziomu 3</w:t>
            </w:r>
          </w:p>
        </w:tc>
        <w:tc>
          <w:tcPr>
            <w:tcW w:w="2745" w:type="dxa"/>
            <w:tcBorders>
              <w:top w:val="nil"/>
              <w:left w:val="nil"/>
              <w:bottom w:val="single" w:color="auto" w:sz="4" w:space="0"/>
              <w:right w:val="nil"/>
            </w:tcBorders>
            <w:hideMark/>
          </w:tcPr>
          <w:p w:rsidRPr="004431DE" w:rsidR="0065120A" w:rsidP="00BC3A1F" w:rsidRDefault="0065120A" w14:paraId="247D4158"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6F8B5026"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6D3B3CAA" w14:textId="77777777">
            <w:pPr>
              <w:ind w:firstLine="200" w:firstLineChars="100"/>
              <w:rPr>
                <w:rFonts w:ascii="Arial" w:hAnsi="Arial" w:eastAsia="Times New Roman" w:cs="Arial"/>
                <w:sz w:val="20"/>
                <w:szCs w:val="20"/>
              </w:rPr>
            </w:pPr>
            <w:r w:rsidRPr="004431DE">
              <w:rPr>
                <w:rFonts w:ascii="Arial" w:hAnsi="Arial"/>
                <w:sz w:val="20"/>
              </w:rPr>
              <w:t xml:space="preserve">a. Wskaźnik aktywów poziomu 3, w tym jednostki zależne prowadzące działalność ubezpieczeniową </w:t>
            </w:r>
          </w:p>
        </w:tc>
        <w:tc>
          <w:tcPr>
            <w:tcW w:w="2745" w:type="dxa"/>
            <w:tcBorders>
              <w:left w:val="nil"/>
              <w:bottom w:val="single" w:color="auto" w:sz="4" w:space="0"/>
              <w:right w:val="nil"/>
            </w:tcBorders>
            <w:noWrap/>
            <w:hideMark/>
          </w:tcPr>
          <w:p w:rsidRPr="004431DE" w:rsidR="0065120A" w:rsidP="00BC3A1F" w:rsidRDefault="0065120A" w14:paraId="14933CAC"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4E024B9" w14:textId="77777777">
        <w:trPr>
          <w:trHeight w:val="300"/>
        </w:trPr>
        <w:tc>
          <w:tcPr>
            <w:tcW w:w="6804" w:type="dxa"/>
            <w:gridSpan w:val="2"/>
            <w:tcBorders>
              <w:left w:val="nil"/>
              <w:bottom w:val="nil"/>
              <w:right w:val="nil"/>
            </w:tcBorders>
            <w:noWrap/>
          </w:tcPr>
          <w:p w:rsidRPr="004431DE" w:rsidR="0065120A" w:rsidP="00BC3A1F" w:rsidRDefault="0065120A" w14:paraId="4E8EAE73"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4431DE" w:rsidR="0065120A" w:rsidP="00BC3A1F" w:rsidRDefault="0065120A" w14:paraId="52C75A4D" w14:textId="77777777">
            <w:pPr>
              <w:jc w:val="right"/>
              <w:rPr>
                <w:rFonts w:ascii="Arial" w:hAnsi="Arial" w:eastAsia="Times New Roman" w:cs="Arial"/>
                <w:sz w:val="20"/>
                <w:szCs w:val="20"/>
                <w:lang w:eastAsia="en-GB"/>
              </w:rPr>
            </w:pPr>
          </w:p>
        </w:tc>
      </w:tr>
      <w:tr w:rsidRPr="004431DE" w:rsidR="0065120A" w:rsidTr="00BC3A1F" w14:paraId="0A5A8104" w14:textId="77777777">
        <w:trPr>
          <w:trHeight w:val="300"/>
        </w:trPr>
        <w:tc>
          <w:tcPr>
            <w:tcW w:w="6804" w:type="dxa"/>
            <w:gridSpan w:val="2"/>
            <w:tcBorders>
              <w:top w:val="nil"/>
              <w:left w:val="nil"/>
              <w:bottom w:val="nil"/>
              <w:right w:val="nil"/>
            </w:tcBorders>
            <w:noWrap/>
          </w:tcPr>
          <w:p w:rsidRPr="004431DE" w:rsidR="0065120A" w:rsidP="00BC3A1F" w:rsidRDefault="0065120A" w14:paraId="65EDA47F" w14:textId="77777777">
            <w:pPr>
              <w:ind w:firstLine="221" w:firstLineChars="100"/>
              <w:rPr>
                <w:rFonts w:ascii="Arial" w:hAnsi="Arial" w:eastAsia="Times New Roman" w:cs="Arial"/>
                <w:sz w:val="20"/>
                <w:szCs w:val="20"/>
              </w:rPr>
            </w:pPr>
            <w:r w:rsidRPr="004431DE">
              <w:rPr>
                <w:rFonts w:asciiTheme="majorHAnsi" w:hAnsiTheme="majorHAnsi"/>
                <w:b/>
                <w:i/>
                <w:caps/>
              </w:rPr>
              <w:t>Wskaźniki działalności transgranicznej</w:t>
            </w:r>
          </w:p>
        </w:tc>
        <w:tc>
          <w:tcPr>
            <w:tcW w:w="2745" w:type="dxa"/>
            <w:tcBorders>
              <w:top w:val="nil"/>
              <w:left w:val="nil"/>
              <w:bottom w:val="nil"/>
              <w:right w:val="nil"/>
            </w:tcBorders>
            <w:noWrap/>
          </w:tcPr>
          <w:p w:rsidRPr="004431DE" w:rsidR="0065120A" w:rsidP="00BC3A1F" w:rsidRDefault="0065120A" w14:paraId="68CC8D6D" w14:textId="77777777">
            <w:pPr>
              <w:jc w:val="right"/>
              <w:rPr>
                <w:rFonts w:ascii="Arial" w:hAnsi="Arial" w:eastAsia="Times New Roman" w:cs="Arial"/>
                <w:sz w:val="20"/>
                <w:szCs w:val="20"/>
                <w:lang w:eastAsia="en-GB"/>
              </w:rPr>
            </w:pPr>
          </w:p>
        </w:tc>
      </w:tr>
      <w:tr w:rsidRPr="004431DE" w:rsidR="0065120A" w:rsidTr="00BC3A1F" w14:paraId="399F884C" w14:textId="77777777">
        <w:trPr>
          <w:trHeight w:val="300"/>
        </w:trPr>
        <w:tc>
          <w:tcPr>
            <w:tcW w:w="6804" w:type="dxa"/>
            <w:gridSpan w:val="2"/>
            <w:tcBorders>
              <w:top w:val="nil"/>
              <w:left w:val="nil"/>
              <w:bottom w:val="single" w:color="auto" w:sz="4" w:space="0"/>
              <w:right w:val="nil"/>
            </w:tcBorders>
            <w:noWrap/>
          </w:tcPr>
          <w:p w:rsidRPr="004431DE" w:rsidR="0065120A" w:rsidP="00BC3A1F" w:rsidRDefault="0065120A" w14:paraId="4D1437F1"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4431DE" w:rsidR="0065120A" w:rsidP="00BC3A1F" w:rsidRDefault="0065120A" w14:paraId="1BB2E8F4" w14:textId="77777777">
            <w:pPr>
              <w:jc w:val="right"/>
              <w:rPr>
                <w:rFonts w:ascii="Arial" w:hAnsi="Arial" w:eastAsia="Times New Roman" w:cs="Arial"/>
                <w:sz w:val="20"/>
                <w:szCs w:val="20"/>
                <w:lang w:eastAsia="en-GB"/>
              </w:rPr>
            </w:pPr>
          </w:p>
        </w:tc>
      </w:tr>
      <w:tr w:rsidRPr="004431DE" w:rsidR="0065120A" w:rsidTr="00BC3A1F" w14:paraId="58486DD8"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383C932B" w14:textId="77777777">
            <w:pPr>
              <w:rPr>
                <w:rFonts w:ascii="Arial" w:hAnsi="Arial" w:eastAsia="Times New Roman" w:cs="Arial"/>
                <w:b/>
                <w:bCs/>
                <w:sz w:val="20"/>
                <w:szCs w:val="20"/>
              </w:rPr>
            </w:pPr>
            <w:r w:rsidRPr="004431DE">
              <w:rPr>
                <w:rFonts w:ascii="Arial" w:hAnsi="Arial"/>
                <w:b/>
                <w:sz w:val="20"/>
              </w:rPr>
              <w:t>Sekcja 13 – Należności transgraniczne</w:t>
            </w:r>
          </w:p>
        </w:tc>
        <w:tc>
          <w:tcPr>
            <w:tcW w:w="2745" w:type="dxa"/>
            <w:tcBorders>
              <w:left w:val="nil"/>
              <w:bottom w:val="single" w:color="auto" w:sz="4" w:space="0"/>
              <w:right w:val="nil"/>
            </w:tcBorders>
            <w:hideMark/>
          </w:tcPr>
          <w:p w:rsidRPr="004431DE" w:rsidR="0065120A" w:rsidP="00BC3A1F" w:rsidRDefault="0065120A" w14:paraId="06E69E02"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1CB3CF60" w14:textId="77777777">
        <w:trPr>
          <w:trHeight w:val="300"/>
        </w:trPr>
        <w:tc>
          <w:tcPr>
            <w:tcW w:w="6804" w:type="dxa"/>
            <w:gridSpan w:val="2"/>
            <w:tcBorders>
              <w:left w:val="nil"/>
              <w:right w:val="nil"/>
            </w:tcBorders>
            <w:noWrap/>
            <w:hideMark/>
          </w:tcPr>
          <w:p w:rsidRPr="004431DE" w:rsidR="0065120A" w:rsidP="00BC3A1F" w:rsidRDefault="0065120A" w14:paraId="6DAADD5E" w14:textId="77777777">
            <w:pPr>
              <w:ind w:firstLine="200" w:firstLineChars="100"/>
              <w:rPr>
                <w:rFonts w:ascii="Arial" w:hAnsi="Arial" w:eastAsia="Times New Roman" w:cs="Arial"/>
                <w:sz w:val="20"/>
                <w:szCs w:val="20"/>
              </w:rPr>
            </w:pPr>
            <w:r w:rsidRPr="004431DE">
              <w:rPr>
                <w:rFonts w:ascii="Arial" w:hAnsi="Arial"/>
                <w:sz w:val="20"/>
              </w:rPr>
              <w:t>a. Całkowite należności zagraniczne na podstawie ostatecznego ryzyka</w:t>
            </w:r>
          </w:p>
        </w:tc>
        <w:tc>
          <w:tcPr>
            <w:tcW w:w="2745" w:type="dxa"/>
            <w:tcBorders>
              <w:left w:val="nil"/>
              <w:right w:val="nil"/>
            </w:tcBorders>
            <w:noWrap/>
            <w:hideMark/>
          </w:tcPr>
          <w:p w:rsidRPr="004431DE" w:rsidR="0065120A" w:rsidP="00BC3A1F" w:rsidRDefault="0065120A" w14:paraId="4EFB608D"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34842348" w14:textId="77777777">
        <w:trPr>
          <w:trHeight w:val="300"/>
        </w:trPr>
        <w:tc>
          <w:tcPr>
            <w:tcW w:w="6804" w:type="dxa"/>
            <w:gridSpan w:val="2"/>
            <w:tcBorders>
              <w:left w:val="nil"/>
              <w:right w:val="nil"/>
            </w:tcBorders>
            <w:noWrap/>
            <w:hideMark/>
          </w:tcPr>
          <w:p w:rsidRPr="004431DE" w:rsidR="0065120A" w:rsidP="00BC3A1F" w:rsidRDefault="0065120A" w14:paraId="39275AA9" w14:textId="77777777">
            <w:pPr>
              <w:ind w:firstLine="200" w:firstLineChars="100"/>
              <w:rPr>
                <w:rFonts w:ascii="Arial" w:hAnsi="Arial" w:eastAsia="Times New Roman" w:cs="Arial"/>
                <w:sz w:val="20"/>
                <w:szCs w:val="20"/>
              </w:rPr>
            </w:pPr>
            <w:r w:rsidRPr="004431DE">
              <w:rPr>
                <w:rFonts w:ascii="Arial" w:hAnsi="Arial"/>
                <w:sz w:val="20"/>
              </w:rPr>
              <w:t>b. Należności z tytułu zagranicznych instrumentów pochodnych na podstawie ostatecznego ryzyka</w:t>
            </w:r>
          </w:p>
        </w:tc>
        <w:tc>
          <w:tcPr>
            <w:tcW w:w="2745" w:type="dxa"/>
            <w:tcBorders>
              <w:left w:val="nil"/>
              <w:right w:val="nil"/>
            </w:tcBorders>
            <w:noWrap/>
            <w:hideMark/>
          </w:tcPr>
          <w:p w:rsidRPr="004431DE" w:rsidR="0065120A" w:rsidP="00BC3A1F" w:rsidRDefault="0065120A" w14:paraId="35CDD57E"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B4CBD69" w14:textId="77777777">
        <w:trPr>
          <w:gridAfter w:val="1"/>
          <w:wAfter w:w="2745" w:type="dxa"/>
          <w:trHeight w:val="300"/>
        </w:trPr>
        <w:tc>
          <w:tcPr>
            <w:tcW w:w="6804" w:type="dxa"/>
            <w:gridSpan w:val="2"/>
            <w:tcBorders>
              <w:left w:val="nil"/>
              <w:bottom w:val="single" w:color="auto" w:sz="4" w:space="0"/>
              <w:right w:val="nil"/>
            </w:tcBorders>
            <w:hideMark/>
          </w:tcPr>
          <w:p w:rsidRPr="004431DE" w:rsidR="0065120A" w:rsidP="00BC3A1F" w:rsidRDefault="0065120A" w14:paraId="4C4A5932" w14:textId="77777777">
            <w:pPr>
              <w:ind w:firstLine="200" w:firstLineChars="100"/>
              <w:rPr>
                <w:rFonts w:ascii="Arial" w:hAnsi="Arial" w:eastAsia="Times New Roman" w:cs="Arial"/>
                <w:sz w:val="20"/>
                <w:szCs w:val="20"/>
              </w:rPr>
            </w:pPr>
            <w:r w:rsidRPr="004431DE">
              <w:rPr>
                <w:rFonts w:ascii="Arial" w:hAnsi="Arial"/>
                <w:sz w:val="20"/>
              </w:rPr>
              <w:t>c. Wskaźnik należności transgranicznych (suma pozycji 13.a. i 13.b.)</w:t>
            </w:r>
          </w:p>
        </w:tc>
      </w:tr>
      <w:tr w:rsidRPr="004431DE" w:rsidR="0065120A" w:rsidTr="00BC3A1F" w14:paraId="7BF10106" w14:textId="77777777">
        <w:trPr>
          <w:trHeight w:val="300"/>
        </w:trPr>
        <w:tc>
          <w:tcPr>
            <w:tcW w:w="6804" w:type="dxa"/>
            <w:gridSpan w:val="2"/>
            <w:tcBorders>
              <w:left w:val="nil"/>
              <w:bottom w:val="nil"/>
              <w:right w:val="nil"/>
            </w:tcBorders>
            <w:noWrap/>
          </w:tcPr>
          <w:p w:rsidRPr="004431DE" w:rsidR="0065120A" w:rsidP="00BC3A1F" w:rsidRDefault="0065120A" w14:paraId="2A0B54B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0FBDB5B8" w14:textId="77777777">
            <w:pPr>
              <w:jc w:val="center"/>
              <w:rPr>
                <w:rFonts w:ascii="Arial" w:hAnsi="Arial" w:eastAsia="Times New Roman" w:cs="Arial"/>
                <w:b/>
                <w:bCs/>
                <w:sz w:val="20"/>
                <w:szCs w:val="20"/>
                <w:lang w:eastAsia="en-GB"/>
              </w:rPr>
            </w:pPr>
          </w:p>
        </w:tc>
      </w:tr>
      <w:tr w:rsidRPr="004431DE" w:rsidR="0065120A" w:rsidTr="00BC3A1F" w14:paraId="5B2BDEE9" w14:textId="77777777">
        <w:trPr>
          <w:trHeight w:val="300"/>
        </w:trPr>
        <w:tc>
          <w:tcPr>
            <w:tcW w:w="6804" w:type="dxa"/>
            <w:gridSpan w:val="2"/>
            <w:tcBorders>
              <w:top w:val="nil"/>
              <w:left w:val="nil"/>
              <w:bottom w:val="single" w:color="auto" w:sz="4" w:space="0"/>
              <w:right w:val="nil"/>
            </w:tcBorders>
            <w:noWrap/>
            <w:hideMark/>
          </w:tcPr>
          <w:p w:rsidRPr="004431DE" w:rsidR="0065120A" w:rsidP="00BC3A1F" w:rsidRDefault="0065120A" w14:paraId="67C13152" w14:textId="77777777">
            <w:pPr>
              <w:rPr>
                <w:rFonts w:ascii="Arial" w:hAnsi="Arial" w:eastAsia="Times New Roman" w:cs="Arial"/>
                <w:b/>
                <w:bCs/>
                <w:sz w:val="20"/>
                <w:szCs w:val="20"/>
              </w:rPr>
            </w:pPr>
            <w:r w:rsidRPr="004431DE">
              <w:rPr>
                <w:rFonts w:ascii="Arial" w:hAnsi="Arial"/>
                <w:b/>
                <w:sz w:val="20"/>
              </w:rPr>
              <w:t>Sekcja 14 – Zobowiązania transgraniczne</w:t>
            </w:r>
          </w:p>
        </w:tc>
        <w:tc>
          <w:tcPr>
            <w:tcW w:w="2745" w:type="dxa"/>
            <w:tcBorders>
              <w:top w:val="nil"/>
              <w:left w:val="nil"/>
              <w:right w:val="nil"/>
            </w:tcBorders>
            <w:hideMark/>
          </w:tcPr>
          <w:p w:rsidRPr="004431DE" w:rsidR="0065120A" w:rsidP="00BC3A1F" w:rsidRDefault="0065120A" w14:paraId="798E1796"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2DAC5FED" w14:textId="77777777">
        <w:trPr>
          <w:gridAfter w:val="1"/>
          <w:wAfter w:w="2745" w:type="dxa"/>
          <w:trHeight w:val="300"/>
        </w:trPr>
        <w:tc>
          <w:tcPr>
            <w:tcW w:w="6804" w:type="dxa"/>
            <w:gridSpan w:val="2"/>
            <w:tcBorders>
              <w:left w:val="nil"/>
              <w:right w:val="nil"/>
            </w:tcBorders>
            <w:noWrap/>
            <w:hideMark/>
          </w:tcPr>
          <w:p w:rsidRPr="004431DE" w:rsidR="0065120A" w:rsidP="00BC3A1F" w:rsidRDefault="0065120A" w14:paraId="3D136F94" w14:textId="77777777">
            <w:pPr>
              <w:ind w:left="171" w:firstLine="28" w:firstLineChars="14"/>
              <w:rPr>
                <w:rFonts w:ascii="Arial" w:hAnsi="Arial" w:eastAsia="Times New Roman" w:cs="Arial"/>
                <w:sz w:val="20"/>
                <w:szCs w:val="20"/>
              </w:rPr>
            </w:pPr>
            <w:r w:rsidRPr="004431DE">
              <w:rPr>
                <w:rFonts w:ascii="Arial" w:hAnsi="Arial"/>
                <w:sz w:val="20"/>
              </w:rPr>
              <w:t>a. Zobowiązania zagraniczne na podstawie bezpośredniego ryzyka, z wyłączeniem zobowiązań z tytułu instrumentów pochodnych i uwzględniając zobowiązania lokalne w walucie lokalnej</w:t>
            </w:r>
          </w:p>
        </w:tc>
      </w:tr>
      <w:tr w:rsidRPr="004431DE" w:rsidR="0065120A" w:rsidTr="00BC3A1F" w14:paraId="3D3F5706" w14:textId="77777777">
        <w:trPr>
          <w:trHeight w:val="300"/>
        </w:trPr>
        <w:tc>
          <w:tcPr>
            <w:tcW w:w="6804" w:type="dxa"/>
            <w:gridSpan w:val="2"/>
            <w:tcBorders>
              <w:left w:val="nil"/>
              <w:right w:val="nil"/>
            </w:tcBorders>
            <w:noWrap/>
            <w:hideMark/>
          </w:tcPr>
          <w:p w:rsidRPr="004431DE" w:rsidR="0065120A" w:rsidP="00BC3A1F" w:rsidRDefault="0065120A" w14:paraId="48E8D4CC" w14:textId="77777777">
            <w:pPr>
              <w:ind w:firstLine="200" w:firstLineChars="100"/>
              <w:rPr>
                <w:rFonts w:ascii="Arial" w:hAnsi="Arial" w:eastAsia="Times New Roman" w:cs="Arial"/>
                <w:sz w:val="20"/>
                <w:szCs w:val="20"/>
              </w:rPr>
            </w:pPr>
            <w:r w:rsidRPr="004431DE">
              <w:rPr>
                <w:rFonts w:ascii="Arial" w:hAnsi="Arial"/>
                <w:sz w:val="20"/>
              </w:rPr>
              <w:t>b. Zobowiązania z tytułu zagranicznych instrumentów pochodnych na podstawie bezpośredniego ryzyka</w:t>
            </w:r>
          </w:p>
        </w:tc>
        <w:tc>
          <w:tcPr>
            <w:tcW w:w="2745" w:type="dxa"/>
            <w:tcBorders>
              <w:left w:val="nil"/>
              <w:right w:val="nil"/>
            </w:tcBorders>
            <w:noWrap/>
            <w:hideMark/>
          </w:tcPr>
          <w:p w:rsidRPr="004431DE" w:rsidR="0065120A" w:rsidP="00BC3A1F" w:rsidRDefault="0065120A" w14:paraId="27387DD0"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3D2C38DC" w14:textId="77777777">
        <w:trPr>
          <w:gridAfter w:val="1"/>
          <w:wAfter w:w="2745" w:type="dxa"/>
          <w:trHeight w:val="300"/>
        </w:trPr>
        <w:tc>
          <w:tcPr>
            <w:tcW w:w="6804" w:type="dxa"/>
            <w:gridSpan w:val="2"/>
            <w:tcBorders>
              <w:left w:val="nil"/>
              <w:bottom w:val="single" w:color="auto" w:sz="4" w:space="0"/>
              <w:right w:val="nil"/>
            </w:tcBorders>
            <w:hideMark/>
          </w:tcPr>
          <w:p w:rsidRPr="004431DE" w:rsidR="0065120A" w:rsidP="00BC3A1F" w:rsidRDefault="0065120A" w14:paraId="41FA5F71" w14:textId="77777777">
            <w:pPr>
              <w:ind w:firstLine="200" w:firstLineChars="100"/>
              <w:rPr>
                <w:rFonts w:ascii="Arial" w:hAnsi="Arial" w:eastAsia="Times New Roman" w:cs="Arial"/>
                <w:sz w:val="20"/>
                <w:szCs w:val="20"/>
              </w:rPr>
            </w:pPr>
            <w:r w:rsidRPr="004431DE">
              <w:rPr>
                <w:rFonts w:ascii="Arial" w:hAnsi="Arial"/>
                <w:sz w:val="20"/>
              </w:rPr>
              <w:t>c. Wskaźnik zobowiązań transgranicznych (suma pozycji 14.a i 14.b)</w:t>
            </w:r>
          </w:p>
        </w:tc>
      </w:tr>
      <w:tr w:rsidRPr="004431DE" w:rsidR="0065120A" w:rsidTr="00BC3A1F" w14:paraId="1A89438E" w14:textId="77777777">
        <w:trPr>
          <w:trHeight w:val="300"/>
        </w:trPr>
        <w:tc>
          <w:tcPr>
            <w:tcW w:w="6804" w:type="dxa"/>
            <w:gridSpan w:val="2"/>
            <w:tcBorders>
              <w:left w:val="nil"/>
              <w:bottom w:val="nil"/>
              <w:right w:val="nil"/>
            </w:tcBorders>
            <w:noWrap/>
          </w:tcPr>
          <w:p w:rsidRPr="004431DE" w:rsidR="0065120A" w:rsidP="00BC3A1F" w:rsidRDefault="0065120A" w14:paraId="648E1C5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3AE266A9" w14:textId="77777777">
            <w:pPr>
              <w:jc w:val="center"/>
              <w:rPr>
                <w:rFonts w:ascii="Arial" w:hAnsi="Arial" w:eastAsia="Times New Roman" w:cs="Arial"/>
                <w:b/>
                <w:bCs/>
                <w:sz w:val="20"/>
                <w:szCs w:val="20"/>
                <w:lang w:eastAsia="en-GB"/>
              </w:rPr>
            </w:pPr>
          </w:p>
        </w:tc>
      </w:tr>
      <w:tr w:rsidRPr="004431DE" w:rsidR="0065120A" w:rsidTr="00BC3A1F" w14:paraId="21AD0A48" w14:textId="77777777">
        <w:trPr>
          <w:trHeight w:val="300"/>
        </w:trPr>
        <w:tc>
          <w:tcPr>
            <w:tcW w:w="6804" w:type="dxa"/>
            <w:gridSpan w:val="2"/>
            <w:tcBorders>
              <w:top w:val="nil"/>
              <w:left w:val="nil"/>
              <w:bottom w:val="nil"/>
              <w:right w:val="nil"/>
            </w:tcBorders>
            <w:noWrap/>
          </w:tcPr>
          <w:p w:rsidRPr="004431DE" w:rsidR="0065120A" w:rsidP="00BC3A1F" w:rsidRDefault="0065120A" w14:paraId="1EF1501E" w14:textId="77777777">
            <w:pPr>
              <w:keepNext/>
              <w:keepLines/>
              <w:spacing w:before="47"/>
              <w:outlineLvl w:val="5"/>
              <w:rPr>
                <w:rFonts w:ascii="Arial" w:hAnsi="Arial" w:eastAsia="Times New Roman" w:cs="Arial"/>
                <w:b/>
                <w:bCs/>
                <w:i/>
                <w:iCs/>
                <w:caps/>
                <w:color w:val="172B39" w:themeColor="accent1" w:themeShade="80"/>
                <w:sz w:val="20"/>
                <w:szCs w:val="20"/>
              </w:rPr>
            </w:pPr>
            <w:r w:rsidRPr="004431DE">
              <w:rPr>
                <w:rFonts w:asciiTheme="majorHAnsi" w:hAnsiTheme="majorHAnsi"/>
                <w:b/>
                <w:i/>
                <w:caps/>
              </w:rPr>
              <w:t>DANE POMOCNICZE</w:t>
            </w:r>
          </w:p>
        </w:tc>
        <w:tc>
          <w:tcPr>
            <w:tcW w:w="2745" w:type="dxa"/>
            <w:tcBorders>
              <w:top w:val="nil"/>
              <w:left w:val="nil"/>
              <w:bottom w:val="nil"/>
              <w:right w:val="nil"/>
            </w:tcBorders>
          </w:tcPr>
          <w:p w:rsidRPr="004431DE" w:rsidR="0065120A" w:rsidP="00BC3A1F" w:rsidRDefault="0065120A" w14:paraId="2A9B44D9" w14:textId="77777777">
            <w:pPr>
              <w:jc w:val="center"/>
              <w:rPr>
                <w:rFonts w:ascii="Arial" w:hAnsi="Arial" w:eastAsia="Times New Roman" w:cs="Arial"/>
                <w:b/>
                <w:bCs/>
                <w:sz w:val="20"/>
                <w:szCs w:val="20"/>
                <w:lang w:eastAsia="en-GB"/>
              </w:rPr>
            </w:pPr>
          </w:p>
        </w:tc>
      </w:tr>
      <w:tr w:rsidRPr="004431DE" w:rsidR="0065120A" w:rsidTr="00BC3A1F" w14:paraId="3785E240" w14:textId="77777777">
        <w:trPr>
          <w:trHeight w:val="300"/>
        </w:trPr>
        <w:tc>
          <w:tcPr>
            <w:tcW w:w="6804" w:type="dxa"/>
            <w:gridSpan w:val="2"/>
            <w:tcBorders>
              <w:top w:val="nil"/>
              <w:left w:val="nil"/>
              <w:bottom w:val="single" w:color="auto" w:sz="4" w:space="0"/>
              <w:right w:val="nil"/>
            </w:tcBorders>
            <w:noWrap/>
          </w:tcPr>
          <w:p w:rsidRPr="004431DE" w:rsidR="0065120A" w:rsidP="00BC3A1F" w:rsidRDefault="0065120A" w14:paraId="067030A5"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4431DE" w:rsidR="0065120A" w:rsidP="00BC3A1F" w:rsidRDefault="0065120A" w14:paraId="1906DE2B" w14:textId="77777777">
            <w:pPr>
              <w:jc w:val="center"/>
              <w:rPr>
                <w:rFonts w:ascii="Arial" w:hAnsi="Arial" w:eastAsia="Times New Roman" w:cs="Arial"/>
                <w:b/>
                <w:bCs/>
                <w:sz w:val="20"/>
                <w:szCs w:val="20"/>
                <w:lang w:eastAsia="en-GB"/>
              </w:rPr>
            </w:pPr>
          </w:p>
        </w:tc>
      </w:tr>
      <w:tr w:rsidRPr="004431DE" w:rsidR="0065120A" w:rsidTr="00BC3A1F" w14:paraId="7F2D89BD"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264587CB" w14:textId="77777777">
            <w:pPr>
              <w:rPr>
                <w:rFonts w:ascii="Arial" w:hAnsi="Arial" w:eastAsia="Times New Roman" w:cs="Arial"/>
                <w:b/>
                <w:bCs/>
                <w:sz w:val="20"/>
                <w:szCs w:val="20"/>
              </w:rPr>
            </w:pPr>
            <w:r w:rsidRPr="004431DE">
              <w:rPr>
                <w:rFonts w:ascii="Arial" w:hAnsi="Arial"/>
                <w:b/>
                <w:sz w:val="20"/>
              </w:rPr>
              <w:t>Sekcja 15 – Wskaźniki pomocnicze</w:t>
            </w:r>
          </w:p>
        </w:tc>
        <w:tc>
          <w:tcPr>
            <w:tcW w:w="2745" w:type="dxa"/>
            <w:tcBorders>
              <w:left w:val="nil"/>
              <w:bottom w:val="single" w:color="auto" w:sz="4" w:space="0"/>
              <w:right w:val="nil"/>
            </w:tcBorders>
            <w:hideMark/>
          </w:tcPr>
          <w:p w:rsidRPr="004431DE" w:rsidR="0065120A" w:rsidP="00BC3A1F" w:rsidRDefault="0065120A" w14:paraId="547748B7"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4CF11D6A" w14:textId="77777777">
        <w:trPr>
          <w:trHeight w:val="300"/>
        </w:trPr>
        <w:tc>
          <w:tcPr>
            <w:tcW w:w="6804" w:type="dxa"/>
            <w:gridSpan w:val="2"/>
            <w:tcBorders>
              <w:left w:val="nil"/>
              <w:right w:val="nil"/>
            </w:tcBorders>
            <w:noWrap/>
            <w:hideMark/>
          </w:tcPr>
          <w:p w:rsidRPr="004431DE" w:rsidR="0065120A" w:rsidP="00BC3A1F" w:rsidRDefault="0065120A" w14:paraId="110A2221" w14:textId="77777777">
            <w:pPr>
              <w:ind w:firstLine="200" w:firstLineChars="100"/>
              <w:rPr>
                <w:rFonts w:ascii="Arial" w:hAnsi="Arial" w:eastAsia="Times New Roman" w:cs="Arial"/>
                <w:sz w:val="20"/>
                <w:szCs w:val="20"/>
              </w:rPr>
            </w:pPr>
            <w:r w:rsidRPr="004431DE">
              <w:rPr>
                <w:rFonts w:ascii="Arial" w:hAnsi="Arial"/>
                <w:sz w:val="20"/>
              </w:rPr>
              <w:t>a. Zobowiązania ogółem</w:t>
            </w:r>
          </w:p>
        </w:tc>
        <w:tc>
          <w:tcPr>
            <w:tcW w:w="2745" w:type="dxa"/>
            <w:tcBorders>
              <w:left w:val="nil"/>
              <w:right w:val="nil"/>
            </w:tcBorders>
            <w:noWrap/>
            <w:hideMark/>
          </w:tcPr>
          <w:p w:rsidRPr="004431DE" w:rsidR="0065120A" w:rsidP="00BC3A1F" w:rsidRDefault="0065120A" w14:paraId="4CCC193D"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12A26C9" w14:textId="77777777">
        <w:trPr>
          <w:trHeight w:val="300"/>
        </w:trPr>
        <w:tc>
          <w:tcPr>
            <w:tcW w:w="6804" w:type="dxa"/>
            <w:gridSpan w:val="2"/>
            <w:tcBorders>
              <w:left w:val="nil"/>
              <w:right w:val="nil"/>
            </w:tcBorders>
            <w:noWrap/>
            <w:hideMark/>
          </w:tcPr>
          <w:p w:rsidRPr="004431DE" w:rsidR="0065120A" w:rsidP="00BC3A1F" w:rsidRDefault="0065120A" w14:paraId="590246B2" w14:textId="77777777">
            <w:pPr>
              <w:ind w:firstLine="200" w:firstLineChars="100"/>
              <w:rPr>
                <w:rFonts w:ascii="Arial" w:hAnsi="Arial" w:eastAsia="Times New Roman" w:cs="Arial"/>
                <w:sz w:val="20"/>
                <w:szCs w:val="20"/>
              </w:rPr>
            </w:pPr>
            <w:r w:rsidRPr="004431DE">
              <w:rPr>
                <w:rFonts w:ascii="Arial" w:hAnsi="Arial"/>
                <w:sz w:val="20"/>
              </w:rPr>
              <w:t>b. Finansowanie detaliczne</w:t>
            </w:r>
          </w:p>
        </w:tc>
        <w:tc>
          <w:tcPr>
            <w:tcW w:w="2745" w:type="dxa"/>
            <w:tcBorders>
              <w:left w:val="nil"/>
              <w:right w:val="nil"/>
            </w:tcBorders>
            <w:noWrap/>
            <w:hideMark/>
          </w:tcPr>
          <w:p w:rsidRPr="004431DE" w:rsidR="0065120A" w:rsidP="00BC3A1F" w:rsidRDefault="0065120A" w14:paraId="475EF6AD"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C04E000" w14:textId="77777777">
        <w:trPr>
          <w:gridAfter w:val="1"/>
          <w:wAfter w:w="2745" w:type="dxa"/>
          <w:trHeight w:val="540"/>
        </w:trPr>
        <w:tc>
          <w:tcPr>
            <w:tcW w:w="6804" w:type="dxa"/>
            <w:gridSpan w:val="2"/>
            <w:tcBorders>
              <w:left w:val="nil"/>
              <w:right w:val="nil"/>
            </w:tcBorders>
            <w:noWrap/>
            <w:hideMark/>
          </w:tcPr>
          <w:p w:rsidRPr="004431DE" w:rsidR="0065120A" w:rsidP="00BC3A1F" w:rsidRDefault="0065120A" w14:paraId="691EC1FC" w14:textId="77777777">
            <w:pPr>
              <w:ind w:left="171"/>
              <w:rPr>
                <w:rFonts w:ascii="Arial" w:hAnsi="Arial" w:eastAsia="Times New Roman" w:cs="Arial"/>
                <w:sz w:val="20"/>
                <w:szCs w:val="20"/>
              </w:rPr>
            </w:pPr>
            <w:r w:rsidRPr="004431DE">
              <w:rPr>
                <w:rFonts w:ascii="Arial" w:hAnsi="Arial"/>
                <w:sz w:val="20"/>
              </w:rPr>
              <w:t>c. Wskaźnik zależności od finansowania hurtowego (różnica pomiędzy pozycjami 15.a i 15.b podzielona przez pozycję 15.a)</w:t>
            </w:r>
          </w:p>
        </w:tc>
      </w:tr>
      <w:tr w:rsidRPr="004431DE" w:rsidR="0065120A" w:rsidTr="00BC3A1F" w14:paraId="0F207D53" w14:textId="77777777">
        <w:trPr>
          <w:trHeight w:val="300"/>
        </w:trPr>
        <w:tc>
          <w:tcPr>
            <w:tcW w:w="6804" w:type="dxa"/>
            <w:gridSpan w:val="2"/>
            <w:tcBorders>
              <w:left w:val="nil"/>
              <w:right w:val="nil"/>
            </w:tcBorders>
            <w:noWrap/>
            <w:hideMark/>
          </w:tcPr>
          <w:p w:rsidRPr="004431DE" w:rsidR="0065120A" w:rsidP="00BC3A1F" w:rsidRDefault="0065120A" w14:paraId="421238B7" w14:textId="77777777">
            <w:pPr>
              <w:ind w:firstLine="200" w:firstLineChars="100"/>
              <w:rPr>
                <w:rFonts w:ascii="Arial" w:hAnsi="Arial" w:eastAsia="Times New Roman" w:cs="Arial"/>
                <w:sz w:val="20"/>
                <w:szCs w:val="20"/>
              </w:rPr>
            </w:pPr>
            <w:r w:rsidRPr="004431DE">
              <w:rPr>
                <w:rFonts w:ascii="Arial" w:hAnsi="Arial"/>
                <w:sz w:val="20"/>
              </w:rPr>
              <w:t>d. Przychody brutto ogółem</w:t>
            </w:r>
          </w:p>
        </w:tc>
        <w:tc>
          <w:tcPr>
            <w:tcW w:w="2745" w:type="dxa"/>
            <w:tcBorders>
              <w:left w:val="nil"/>
              <w:right w:val="nil"/>
            </w:tcBorders>
            <w:noWrap/>
            <w:hideMark/>
          </w:tcPr>
          <w:p w:rsidRPr="004431DE" w:rsidR="0065120A" w:rsidP="00BC3A1F" w:rsidRDefault="0065120A" w14:paraId="5016A0B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3D97974" w14:textId="77777777">
        <w:trPr>
          <w:trHeight w:val="300"/>
        </w:trPr>
        <w:tc>
          <w:tcPr>
            <w:tcW w:w="6804" w:type="dxa"/>
            <w:gridSpan w:val="2"/>
            <w:tcBorders>
              <w:left w:val="nil"/>
              <w:right w:val="nil"/>
            </w:tcBorders>
            <w:noWrap/>
            <w:hideMark/>
          </w:tcPr>
          <w:p w:rsidRPr="004431DE" w:rsidR="0065120A" w:rsidP="00BC3A1F" w:rsidRDefault="0065120A" w14:paraId="6C74A1C1" w14:textId="77777777">
            <w:pPr>
              <w:ind w:firstLine="200" w:firstLineChars="100"/>
              <w:rPr>
                <w:rFonts w:ascii="Arial" w:hAnsi="Arial" w:eastAsia="Times New Roman" w:cs="Arial"/>
                <w:sz w:val="20"/>
                <w:szCs w:val="20"/>
              </w:rPr>
            </w:pPr>
            <w:r w:rsidRPr="004431DE">
              <w:rPr>
                <w:rFonts w:ascii="Arial" w:hAnsi="Arial"/>
                <w:sz w:val="20"/>
              </w:rPr>
              <w:t>e. Przychody netto ogółem</w:t>
            </w:r>
          </w:p>
        </w:tc>
        <w:tc>
          <w:tcPr>
            <w:tcW w:w="2745" w:type="dxa"/>
            <w:tcBorders>
              <w:left w:val="nil"/>
              <w:right w:val="nil"/>
            </w:tcBorders>
            <w:noWrap/>
            <w:hideMark/>
          </w:tcPr>
          <w:p w:rsidRPr="004431DE" w:rsidR="0065120A" w:rsidP="00BC3A1F" w:rsidRDefault="0065120A" w14:paraId="516E69B1"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39C15AD" w14:textId="77777777">
        <w:trPr>
          <w:trHeight w:val="300"/>
        </w:trPr>
        <w:tc>
          <w:tcPr>
            <w:tcW w:w="6804" w:type="dxa"/>
            <w:gridSpan w:val="2"/>
            <w:tcBorders>
              <w:left w:val="nil"/>
              <w:right w:val="nil"/>
            </w:tcBorders>
            <w:noWrap/>
            <w:hideMark/>
          </w:tcPr>
          <w:p w:rsidRPr="004431DE" w:rsidR="0065120A" w:rsidP="00BC3A1F" w:rsidRDefault="0065120A" w14:paraId="19151BED" w14:textId="77777777">
            <w:pPr>
              <w:ind w:firstLine="200" w:firstLineChars="100"/>
              <w:rPr>
                <w:rFonts w:ascii="Arial" w:hAnsi="Arial" w:eastAsia="Times New Roman" w:cs="Arial"/>
                <w:sz w:val="20"/>
                <w:szCs w:val="20"/>
              </w:rPr>
            </w:pPr>
            <w:r w:rsidRPr="004431DE">
              <w:rPr>
                <w:rFonts w:ascii="Arial" w:hAnsi="Arial"/>
                <w:sz w:val="20"/>
              </w:rPr>
              <w:t>f. Zagraniczne przychody netto</w:t>
            </w:r>
          </w:p>
        </w:tc>
        <w:tc>
          <w:tcPr>
            <w:tcW w:w="2745" w:type="dxa"/>
            <w:tcBorders>
              <w:left w:val="nil"/>
              <w:right w:val="nil"/>
            </w:tcBorders>
            <w:noWrap/>
            <w:hideMark/>
          </w:tcPr>
          <w:p w:rsidRPr="004431DE" w:rsidR="0065120A" w:rsidP="00BC3A1F" w:rsidRDefault="0065120A" w14:paraId="59DD2332"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334D30AB" w14:textId="77777777">
        <w:trPr>
          <w:trHeight w:val="300"/>
        </w:trPr>
        <w:tc>
          <w:tcPr>
            <w:tcW w:w="6804" w:type="dxa"/>
            <w:gridSpan w:val="2"/>
            <w:tcBorders>
              <w:left w:val="nil"/>
              <w:right w:val="nil"/>
            </w:tcBorders>
            <w:noWrap/>
          </w:tcPr>
          <w:p w:rsidRPr="004431DE" w:rsidR="0065120A" w:rsidP="00BC3A1F" w:rsidRDefault="0065120A" w14:paraId="65F83F86" w14:textId="77777777">
            <w:pPr>
              <w:ind w:left="171"/>
              <w:rPr>
                <w:rFonts w:ascii="Arial" w:hAnsi="Arial" w:eastAsia="Times New Roman" w:cs="Arial"/>
                <w:sz w:val="20"/>
                <w:szCs w:val="20"/>
              </w:rPr>
            </w:pPr>
            <w:r w:rsidRPr="004431DE">
              <w:rPr>
                <w:rFonts w:ascii="Arial" w:hAnsi="Arial"/>
                <w:sz w:val="20"/>
              </w:rPr>
              <w:t>g. Wartość brutto środków pieniężnych pożyczonych innym instytucjom i wartość godziwa brutto papierów wartościowych pożyczonych innym instytucjom w ramach transakcji finansowanych z użyciem papierów wartościowych</w:t>
            </w:r>
          </w:p>
        </w:tc>
        <w:tc>
          <w:tcPr>
            <w:tcW w:w="2745" w:type="dxa"/>
            <w:tcBorders>
              <w:left w:val="nil"/>
              <w:right w:val="nil"/>
            </w:tcBorders>
            <w:noWrap/>
          </w:tcPr>
          <w:p w:rsidRPr="004431DE" w:rsidR="0065120A" w:rsidP="00BC3A1F" w:rsidRDefault="0065120A" w14:paraId="7FA9E1ED" w14:textId="77777777">
            <w:pPr>
              <w:jc w:val="right"/>
              <w:rPr>
                <w:rFonts w:ascii="Arial" w:hAnsi="Arial" w:eastAsia="Times New Roman" w:cs="Arial"/>
                <w:sz w:val="20"/>
                <w:szCs w:val="20"/>
                <w:lang w:eastAsia="en-GB"/>
              </w:rPr>
            </w:pPr>
          </w:p>
        </w:tc>
      </w:tr>
      <w:tr w:rsidRPr="004431DE" w:rsidR="0065120A" w:rsidTr="00BC3A1F" w14:paraId="324386FB" w14:textId="77777777">
        <w:trPr>
          <w:trHeight w:val="300"/>
        </w:trPr>
        <w:tc>
          <w:tcPr>
            <w:tcW w:w="6804" w:type="dxa"/>
            <w:gridSpan w:val="2"/>
            <w:tcBorders>
              <w:left w:val="nil"/>
              <w:right w:val="nil"/>
            </w:tcBorders>
            <w:noWrap/>
          </w:tcPr>
          <w:p w:rsidRPr="004431DE" w:rsidR="0065120A" w:rsidP="00BC3A1F" w:rsidRDefault="0065120A" w14:paraId="3350D56E" w14:textId="77777777">
            <w:pPr>
              <w:ind w:left="171"/>
              <w:rPr>
                <w:rFonts w:ascii="Arial" w:hAnsi="Arial" w:eastAsia="Times New Roman" w:cs="Arial"/>
                <w:sz w:val="20"/>
                <w:szCs w:val="20"/>
              </w:rPr>
            </w:pPr>
            <w:r w:rsidRPr="004431DE">
              <w:rPr>
                <w:rFonts w:ascii="Arial" w:hAnsi="Arial"/>
                <w:sz w:val="20"/>
              </w:rPr>
              <w:t>h. Wartość brutto środków pieniężnych pożyczonych od innych instytucji i wartość godziwa brutto papierów wartościowych pożyczonych od innych instytucji w ramach transakcji finansowanych z użyciem papierów wartościowych</w:t>
            </w:r>
          </w:p>
        </w:tc>
        <w:tc>
          <w:tcPr>
            <w:tcW w:w="2745" w:type="dxa"/>
            <w:tcBorders>
              <w:left w:val="nil"/>
              <w:right w:val="nil"/>
            </w:tcBorders>
            <w:noWrap/>
          </w:tcPr>
          <w:p w:rsidRPr="004431DE" w:rsidR="0065120A" w:rsidP="00BC3A1F" w:rsidRDefault="0065120A" w14:paraId="3F18B77A" w14:textId="77777777">
            <w:pPr>
              <w:jc w:val="right"/>
              <w:rPr>
                <w:rFonts w:ascii="Arial" w:hAnsi="Arial" w:eastAsia="Times New Roman" w:cs="Arial"/>
                <w:sz w:val="20"/>
                <w:szCs w:val="20"/>
                <w:lang w:eastAsia="en-GB"/>
              </w:rPr>
            </w:pPr>
          </w:p>
        </w:tc>
      </w:tr>
      <w:tr w:rsidRPr="004431DE" w:rsidR="0065120A" w:rsidTr="00BC3A1F" w14:paraId="48D59962" w14:textId="77777777">
        <w:trPr>
          <w:trHeight w:val="300"/>
        </w:trPr>
        <w:tc>
          <w:tcPr>
            <w:tcW w:w="6804" w:type="dxa"/>
            <w:gridSpan w:val="2"/>
            <w:tcBorders>
              <w:left w:val="nil"/>
              <w:right w:val="nil"/>
            </w:tcBorders>
            <w:noWrap/>
          </w:tcPr>
          <w:p w:rsidRPr="004431DE" w:rsidR="0065120A" w:rsidP="00BC3A1F" w:rsidRDefault="0065120A" w14:paraId="639E25D8" w14:textId="77777777">
            <w:pPr>
              <w:ind w:left="171"/>
              <w:rPr>
                <w:rFonts w:ascii="Arial" w:hAnsi="Arial" w:eastAsia="Times New Roman" w:cs="Arial"/>
                <w:sz w:val="20"/>
                <w:szCs w:val="20"/>
              </w:rPr>
            </w:pPr>
            <w:r w:rsidRPr="004431DE">
              <w:rPr>
                <w:rFonts w:ascii="Arial" w:hAnsi="Arial"/>
                <w:sz w:val="20"/>
              </w:rPr>
              <w:t>I. Dodatnia wartość godziwa brutto transakcji na instrumentach pochodnych poza rynkiem regulowanym</w:t>
            </w:r>
          </w:p>
        </w:tc>
        <w:tc>
          <w:tcPr>
            <w:tcW w:w="2745" w:type="dxa"/>
            <w:tcBorders>
              <w:left w:val="nil"/>
              <w:right w:val="nil"/>
            </w:tcBorders>
            <w:noWrap/>
          </w:tcPr>
          <w:p w:rsidRPr="004431DE" w:rsidR="0065120A" w:rsidP="00BC3A1F" w:rsidRDefault="0065120A" w14:paraId="451EC76E" w14:textId="77777777">
            <w:pPr>
              <w:jc w:val="right"/>
              <w:rPr>
                <w:rFonts w:ascii="Arial" w:hAnsi="Arial" w:eastAsia="Times New Roman" w:cs="Arial"/>
                <w:sz w:val="20"/>
                <w:szCs w:val="20"/>
                <w:lang w:eastAsia="en-GB"/>
              </w:rPr>
            </w:pPr>
          </w:p>
        </w:tc>
      </w:tr>
      <w:tr w:rsidRPr="004431DE" w:rsidR="0065120A" w:rsidTr="00BC3A1F" w14:paraId="066D8389"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56A16F3" w14:textId="77777777">
            <w:pPr>
              <w:ind w:left="171"/>
              <w:rPr>
                <w:rFonts w:ascii="Arial" w:hAnsi="Arial" w:eastAsia="Times New Roman" w:cs="Arial"/>
                <w:sz w:val="20"/>
                <w:szCs w:val="20"/>
              </w:rPr>
            </w:pPr>
            <w:r w:rsidRPr="004431DE">
              <w:rPr>
                <w:rFonts w:ascii="Arial" w:hAnsi="Arial"/>
                <w:sz w:val="20"/>
              </w:rPr>
              <w:t>j. Ujemna wartość godziwa brutto transakcji na instrumentach pochodnych poza rynkiem regulowanym</w:t>
            </w:r>
          </w:p>
        </w:tc>
        <w:tc>
          <w:tcPr>
            <w:tcW w:w="2745" w:type="dxa"/>
            <w:tcBorders>
              <w:left w:val="nil"/>
              <w:bottom w:val="single" w:color="auto" w:sz="4" w:space="0"/>
              <w:right w:val="nil"/>
            </w:tcBorders>
            <w:noWrap/>
          </w:tcPr>
          <w:p w:rsidRPr="004431DE" w:rsidR="0065120A" w:rsidP="00BC3A1F" w:rsidRDefault="0065120A" w14:paraId="11FF33A9" w14:textId="77777777">
            <w:pPr>
              <w:jc w:val="right"/>
              <w:rPr>
                <w:rFonts w:ascii="Arial" w:hAnsi="Arial" w:eastAsia="Times New Roman" w:cs="Arial"/>
                <w:sz w:val="20"/>
                <w:szCs w:val="20"/>
                <w:lang w:eastAsia="en-GB"/>
              </w:rPr>
            </w:pPr>
          </w:p>
        </w:tc>
      </w:tr>
      <w:tr w:rsidRPr="004431DE" w:rsidR="0065120A" w:rsidTr="00BC3A1F" w14:paraId="28D0FCFA"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325BC788" w14:textId="77777777">
            <w:pPr>
              <w:rPr>
                <w:rFonts w:ascii="Arial" w:hAnsi="Arial" w:eastAsia="Times New Roman" w:cs="Arial"/>
                <w:sz w:val="20"/>
                <w:szCs w:val="20"/>
              </w:rPr>
            </w:pPr>
            <w:r w:rsidRPr="004431DE">
              <w:rPr>
                <w:rFonts w:ascii="Arial" w:hAnsi="Arial"/>
                <w:sz w:val="20"/>
              </w:rPr>
              <w:t> </w:t>
            </w:r>
          </w:p>
        </w:tc>
        <w:tc>
          <w:tcPr>
            <w:tcW w:w="2745" w:type="dxa"/>
            <w:tcBorders>
              <w:left w:val="nil"/>
              <w:bottom w:val="single" w:color="auto" w:sz="4" w:space="0"/>
              <w:right w:val="nil"/>
            </w:tcBorders>
            <w:hideMark/>
          </w:tcPr>
          <w:p w:rsidRPr="004431DE" w:rsidR="0065120A" w:rsidP="00BC3A1F" w:rsidRDefault="0065120A" w14:paraId="06027F0E" w14:textId="77777777">
            <w:pPr>
              <w:jc w:val="center"/>
              <w:rPr>
                <w:rFonts w:ascii="Arial" w:hAnsi="Arial" w:eastAsia="Times New Roman" w:cs="Arial"/>
                <w:b/>
                <w:bCs/>
                <w:sz w:val="20"/>
                <w:szCs w:val="20"/>
              </w:rPr>
            </w:pPr>
            <w:r w:rsidRPr="004431DE">
              <w:rPr>
                <w:rFonts w:ascii="Arial" w:hAnsi="Arial"/>
                <w:b/>
                <w:sz w:val="20"/>
              </w:rPr>
              <w:t>Kwota w pojedynczych jednostkach</w:t>
            </w:r>
          </w:p>
        </w:tc>
      </w:tr>
      <w:tr w:rsidRPr="004431DE" w:rsidR="0065120A" w:rsidTr="00BC3A1F" w14:paraId="5F767DB5"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7485C1D5" w14:textId="77777777">
            <w:pPr>
              <w:ind w:firstLine="200" w:firstLineChars="100"/>
              <w:rPr>
                <w:rFonts w:ascii="Arial" w:hAnsi="Arial" w:eastAsia="Times New Roman" w:cs="Arial"/>
                <w:sz w:val="20"/>
                <w:szCs w:val="20"/>
              </w:rPr>
            </w:pPr>
            <w:r w:rsidRPr="004431DE">
              <w:rPr>
                <w:rFonts w:ascii="Arial" w:hAnsi="Arial"/>
                <w:sz w:val="20"/>
              </w:rPr>
              <w:t xml:space="preserve">k. Liczba jurysdykcji </w:t>
            </w:r>
          </w:p>
        </w:tc>
        <w:tc>
          <w:tcPr>
            <w:tcW w:w="2745" w:type="dxa"/>
            <w:tcBorders>
              <w:left w:val="nil"/>
              <w:bottom w:val="single" w:color="auto" w:sz="4" w:space="0"/>
              <w:right w:val="nil"/>
            </w:tcBorders>
            <w:noWrap/>
            <w:hideMark/>
          </w:tcPr>
          <w:p w:rsidRPr="004431DE" w:rsidR="0065120A" w:rsidP="00BC3A1F" w:rsidRDefault="0065120A" w14:paraId="4A69FF5D"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3031C8F5" w14:textId="77777777">
        <w:trPr>
          <w:trHeight w:val="300"/>
        </w:trPr>
        <w:tc>
          <w:tcPr>
            <w:tcW w:w="6804" w:type="dxa"/>
            <w:gridSpan w:val="2"/>
            <w:tcBorders>
              <w:left w:val="nil"/>
              <w:bottom w:val="nil"/>
              <w:right w:val="nil"/>
            </w:tcBorders>
            <w:noWrap/>
          </w:tcPr>
          <w:p w:rsidRPr="004431DE" w:rsidR="0065120A" w:rsidP="00BC3A1F" w:rsidRDefault="0065120A" w14:paraId="5FC16A4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1A184593" w14:textId="77777777">
            <w:pPr>
              <w:jc w:val="center"/>
              <w:rPr>
                <w:rFonts w:ascii="Arial" w:hAnsi="Arial" w:eastAsia="Times New Roman" w:cs="Arial"/>
                <w:b/>
                <w:bCs/>
                <w:sz w:val="20"/>
                <w:szCs w:val="20"/>
                <w:lang w:eastAsia="en-GB"/>
              </w:rPr>
            </w:pPr>
          </w:p>
        </w:tc>
      </w:tr>
      <w:tr w:rsidRPr="004431DE" w:rsidR="0065120A" w:rsidTr="00BC3A1F" w14:paraId="4440C717" w14:textId="77777777">
        <w:trPr>
          <w:trHeight w:val="300"/>
        </w:trPr>
        <w:tc>
          <w:tcPr>
            <w:tcW w:w="6804" w:type="dxa"/>
            <w:gridSpan w:val="2"/>
            <w:tcBorders>
              <w:top w:val="nil"/>
              <w:left w:val="nil"/>
              <w:bottom w:val="single" w:color="auto" w:sz="4" w:space="0"/>
              <w:right w:val="nil"/>
            </w:tcBorders>
            <w:noWrap/>
            <w:hideMark/>
          </w:tcPr>
          <w:p w:rsidRPr="004431DE" w:rsidR="0065120A" w:rsidP="00BC3A1F" w:rsidRDefault="0065120A" w14:paraId="00F72D75" w14:textId="77777777">
            <w:pPr>
              <w:rPr>
                <w:rFonts w:ascii="Arial" w:hAnsi="Arial" w:eastAsia="Times New Roman" w:cs="Arial"/>
                <w:b/>
                <w:bCs/>
                <w:sz w:val="20"/>
                <w:szCs w:val="20"/>
              </w:rPr>
            </w:pPr>
            <w:r w:rsidRPr="004431DE">
              <w:rPr>
                <w:rFonts w:ascii="Arial" w:hAnsi="Arial"/>
                <w:b/>
                <w:sz w:val="20"/>
              </w:rPr>
              <w:t>Sekcja 16 – Pozycje pomocnicze</w:t>
            </w:r>
          </w:p>
        </w:tc>
        <w:tc>
          <w:tcPr>
            <w:tcW w:w="2745" w:type="dxa"/>
            <w:tcBorders>
              <w:top w:val="nil"/>
              <w:left w:val="nil"/>
              <w:bottom w:val="single" w:color="auto" w:sz="4" w:space="0"/>
              <w:right w:val="nil"/>
            </w:tcBorders>
            <w:hideMark/>
          </w:tcPr>
          <w:p w:rsidRPr="004431DE" w:rsidR="0065120A" w:rsidP="00BC3A1F" w:rsidRDefault="0065120A" w14:paraId="25979BCD"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6D498979" w14:textId="77777777">
        <w:trPr>
          <w:trHeight w:val="300"/>
        </w:trPr>
        <w:tc>
          <w:tcPr>
            <w:tcW w:w="6804" w:type="dxa"/>
            <w:gridSpan w:val="2"/>
            <w:tcBorders>
              <w:left w:val="nil"/>
              <w:right w:val="nil"/>
            </w:tcBorders>
            <w:noWrap/>
            <w:hideMark/>
          </w:tcPr>
          <w:p w:rsidRPr="004431DE" w:rsidR="0065120A" w:rsidP="00BC3A1F" w:rsidRDefault="0065120A" w14:paraId="04228481" w14:textId="77777777">
            <w:pPr>
              <w:ind w:firstLine="200" w:firstLineChars="100"/>
              <w:rPr>
                <w:rFonts w:ascii="Arial" w:hAnsi="Arial" w:eastAsia="Times New Roman" w:cs="Arial"/>
                <w:sz w:val="20"/>
                <w:szCs w:val="20"/>
              </w:rPr>
            </w:pPr>
            <w:r w:rsidRPr="004431DE">
              <w:rPr>
                <w:rFonts w:ascii="Arial" w:hAnsi="Arial"/>
                <w:sz w:val="20"/>
              </w:rPr>
              <w:t>a. Papiery wartościowe utrzymywane do terminu zapadalności</w:t>
            </w:r>
          </w:p>
        </w:tc>
        <w:tc>
          <w:tcPr>
            <w:tcW w:w="2745" w:type="dxa"/>
            <w:tcBorders>
              <w:left w:val="nil"/>
              <w:right w:val="nil"/>
            </w:tcBorders>
            <w:noWrap/>
            <w:hideMark/>
          </w:tcPr>
          <w:p w:rsidRPr="004431DE" w:rsidR="0065120A" w:rsidP="00BC3A1F" w:rsidRDefault="0065120A" w14:paraId="3B41FB11"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B6C0573" w14:textId="77777777">
        <w:trPr>
          <w:trHeight w:val="300"/>
        </w:trPr>
        <w:tc>
          <w:tcPr>
            <w:tcW w:w="6804" w:type="dxa"/>
            <w:gridSpan w:val="2"/>
            <w:tcBorders>
              <w:left w:val="nil"/>
              <w:right w:val="nil"/>
            </w:tcBorders>
            <w:noWrap/>
            <w:hideMark/>
          </w:tcPr>
          <w:p w:rsidRPr="004431DE" w:rsidR="0065120A" w:rsidP="00BC3A1F" w:rsidRDefault="0065120A" w14:paraId="392BE00B" w14:textId="77777777">
            <w:pPr>
              <w:ind w:firstLine="200" w:firstLineChars="100"/>
              <w:rPr>
                <w:rFonts w:ascii="Arial" w:hAnsi="Arial" w:eastAsia="Times New Roman" w:cs="Arial"/>
                <w:sz w:val="20"/>
                <w:szCs w:val="20"/>
              </w:rPr>
            </w:pPr>
            <w:r w:rsidRPr="004431DE">
              <w:rPr>
                <w:rFonts w:ascii="Arial" w:hAnsi="Arial"/>
                <w:sz w:val="20"/>
              </w:rPr>
              <w:t>b. Płatności dokonywane w roku sprawozdawczym</w:t>
            </w:r>
          </w:p>
        </w:tc>
        <w:tc>
          <w:tcPr>
            <w:tcW w:w="2745" w:type="dxa"/>
            <w:tcBorders>
              <w:left w:val="nil"/>
              <w:right w:val="nil"/>
            </w:tcBorders>
            <w:noWrap/>
            <w:hideMark/>
          </w:tcPr>
          <w:p w:rsidRPr="004431DE" w:rsidR="0065120A" w:rsidP="00BC3A1F" w:rsidRDefault="0065120A" w14:paraId="633ECDDA" w14:textId="77777777">
            <w:pPr>
              <w:ind w:firstLine="200" w:firstLineChars="100"/>
              <w:rPr>
                <w:rFonts w:ascii="Arial" w:hAnsi="Arial" w:eastAsia="Times New Roman" w:cs="Arial"/>
                <w:sz w:val="20"/>
                <w:szCs w:val="20"/>
              </w:rPr>
            </w:pPr>
            <w:r w:rsidRPr="004431DE">
              <w:rPr>
                <w:rFonts w:ascii="Arial" w:hAnsi="Arial"/>
                <w:sz w:val="20"/>
              </w:rPr>
              <w:t> </w:t>
            </w:r>
          </w:p>
        </w:tc>
      </w:tr>
      <w:tr w:rsidRPr="004431DE" w:rsidR="0065120A" w:rsidTr="00BC3A1F" w14:paraId="31B11DCC" w14:textId="77777777">
        <w:trPr>
          <w:trHeight w:val="300"/>
        </w:trPr>
        <w:tc>
          <w:tcPr>
            <w:tcW w:w="6804" w:type="dxa"/>
            <w:gridSpan w:val="2"/>
            <w:tcBorders>
              <w:left w:val="nil"/>
              <w:right w:val="nil"/>
            </w:tcBorders>
            <w:noWrap/>
            <w:hideMark/>
          </w:tcPr>
          <w:p w:rsidRPr="004431DE" w:rsidR="0065120A" w:rsidP="00BC3A1F" w:rsidRDefault="0065120A" w14:paraId="7A1A0423" w14:textId="77777777">
            <w:pPr>
              <w:ind w:firstLine="400" w:firstLineChars="200"/>
              <w:rPr>
                <w:rFonts w:ascii="Arial" w:hAnsi="Arial" w:eastAsia="Times New Roman" w:cs="Arial"/>
                <w:sz w:val="20"/>
                <w:szCs w:val="20"/>
              </w:rPr>
            </w:pPr>
            <w:r w:rsidRPr="004431DE">
              <w:rPr>
                <w:rFonts w:ascii="Arial" w:hAnsi="Arial"/>
                <w:sz w:val="20"/>
                <w:lang w:eastAsia="en-GB"/>
              </w:rPr>
              <w:lastRenderedPageBreak/>
              <w:t xml:space="preserve">(1) </w:t>
            </w:r>
            <w:r w:rsidRPr="004431DE">
              <w:rPr>
                <w:rFonts w:ascii="Arial" w:hAnsi="Arial"/>
                <w:sz w:val="20"/>
              </w:rPr>
              <w:t>w realach brazylijskich (BRL)</w:t>
            </w:r>
          </w:p>
        </w:tc>
        <w:tc>
          <w:tcPr>
            <w:tcW w:w="2745" w:type="dxa"/>
            <w:tcBorders>
              <w:left w:val="nil"/>
              <w:right w:val="nil"/>
            </w:tcBorders>
            <w:noWrap/>
            <w:hideMark/>
          </w:tcPr>
          <w:p w:rsidRPr="004431DE" w:rsidR="0065120A" w:rsidP="00BC3A1F" w:rsidRDefault="0065120A" w14:paraId="531D9A31"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1669E10" w14:textId="77777777">
        <w:trPr>
          <w:trHeight w:val="300"/>
        </w:trPr>
        <w:tc>
          <w:tcPr>
            <w:tcW w:w="6804" w:type="dxa"/>
            <w:gridSpan w:val="2"/>
            <w:tcBorders>
              <w:left w:val="nil"/>
              <w:right w:val="nil"/>
            </w:tcBorders>
            <w:noWrap/>
            <w:hideMark/>
          </w:tcPr>
          <w:p w:rsidRPr="004431DE" w:rsidR="0065120A" w:rsidP="00BC3A1F" w:rsidRDefault="0065120A" w14:paraId="72D0E656" w14:textId="77777777">
            <w:pPr>
              <w:ind w:firstLine="400" w:firstLineChars="200"/>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w peso meksykańskich (MXN)</w:t>
            </w:r>
          </w:p>
        </w:tc>
        <w:tc>
          <w:tcPr>
            <w:tcW w:w="2745" w:type="dxa"/>
            <w:tcBorders>
              <w:left w:val="nil"/>
              <w:right w:val="nil"/>
            </w:tcBorders>
            <w:noWrap/>
            <w:hideMark/>
          </w:tcPr>
          <w:p w:rsidRPr="004431DE" w:rsidR="0065120A" w:rsidP="00BC3A1F" w:rsidRDefault="0065120A" w14:paraId="5321592B"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A42876B" w14:textId="77777777">
        <w:trPr>
          <w:trHeight w:val="300"/>
        </w:trPr>
        <w:tc>
          <w:tcPr>
            <w:tcW w:w="6804" w:type="dxa"/>
            <w:gridSpan w:val="2"/>
            <w:tcBorders>
              <w:left w:val="nil"/>
              <w:right w:val="nil"/>
            </w:tcBorders>
            <w:noWrap/>
            <w:hideMark/>
          </w:tcPr>
          <w:p w:rsidRPr="004431DE" w:rsidR="0065120A" w:rsidP="00BC3A1F" w:rsidRDefault="0065120A" w14:paraId="18CAA4AE" w14:textId="77777777">
            <w:pPr>
              <w:ind w:firstLine="400" w:firstLineChars="200"/>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w koronach norweskich (NOK)</w:t>
            </w:r>
          </w:p>
        </w:tc>
        <w:tc>
          <w:tcPr>
            <w:tcW w:w="2745" w:type="dxa"/>
            <w:tcBorders>
              <w:left w:val="nil"/>
              <w:right w:val="nil"/>
            </w:tcBorders>
            <w:noWrap/>
            <w:hideMark/>
          </w:tcPr>
          <w:p w:rsidRPr="004431DE" w:rsidR="0065120A" w:rsidP="00BC3A1F" w:rsidRDefault="0065120A" w14:paraId="311C6B06"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3EE8ED3" w14:textId="77777777">
        <w:trPr>
          <w:trHeight w:val="300"/>
        </w:trPr>
        <w:tc>
          <w:tcPr>
            <w:tcW w:w="6804" w:type="dxa"/>
            <w:gridSpan w:val="2"/>
            <w:tcBorders>
              <w:left w:val="nil"/>
              <w:right w:val="nil"/>
            </w:tcBorders>
            <w:noWrap/>
            <w:hideMark/>
          </w:tcPr>
          <w:p w:rsidRPr="004431DE" w:rsidR="0065120A" w:rsidP="00BC3A1F" w:rsidRDefault="0065120A" w14:paraId="5551DD3A" w14:textId="77777777">
            <w:pPr>
              <w:ind w:firstLine="400" w:firstLineChars="200"/>
              <w:rPr>
                <w:rFonts w:ascii="Arial" w:hAnsi="Arial" w:eastAsia="Times New Roman" w:cs="Arial"/>
                <w:sz w:val="20"/>
                <w:szCs w:val="20"/>
              </w:rPr>
            </w:pPr>
            <w:r w:rsidRPr="004431DE">
              <w:rPr>
                <w:rFonts w:ascii="Arial" w:hAnsi="Arial"/>
                <w:sz w:val="20"/>
                <w:lang w:eastAsia="en-GB"/>
              </w:rPr>
              <w:t xml:space="preserve">(4) </w:t>
            </w:r>
            <w:r w:rsidRPr="004431DE">
              <w:rPr>
                <w:rFonts w:ascii="Arial" w:hAnsi="Arial"/>
                <w:sz w:val="20"/>
              </w:rPr>
              <w:t>w rublach rosyjskich (RUB)</w:t>
            </w:r>
          </w:p>
        </w:tc>
        <w:tc>
          <w:tcPr>
            <w:tcW w:w="2745" w:type="dxa"/>
            <w:tcBorders>
              <w:left w:val="nil"/>
              <w:right w:val="nil"/>
            </w:tcBorders>
            <w:noWrap/>
            <w:hideMark/>
          </w:tcPr>
          <w:p w:rsidRPr="004431DE" w:rsidR="0065120A" w:rsidP="00BC3A1F" w:rsidRDefault="0065120A" w14:paraId="40A0CD3E"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4992F15" w14:textId="77777777">
        <w:trPr>
          <w:trHeight w:val="300"/>
        </w:trPr>
        <w:tc>
          <w:tcPr>
            <w:tcW w:w="6804" w:type="dxa"/>
            <w:gridSpan w:val="2"/>
            <w:tcBorders>
              <w:left w:val="nil"/>
              <w:right w:val="nil"/>
            </w:tcBorders>
            <w:noWrap/>
            <w:hideMark/>
          </w:tcPr>
          <w:p w:rsidRPr="004431DE" w:rsidR="0065120A" w:rsidP="00BC3A1F" w:rsidRDefault="0065120A" w14:paraId="21EA238C" w14:textId="77777777">
            <w:pPr>
              <w:ind w:firstLine="400" w:firstLineChars="200"/>
              <w:rPr>
                <w:rFonts w:ascii="Arial" w:hAnsi="Arial" w:eastAsia="Times New Roman" w:cs="Arial"/>
                <w:sz w:val="20"/>
                <w:szCs w:val="20"/>
              </w:rPr>
            </w:pPr>
            <w:r w:rsidRPr="004431DE">
              <w:rPr>
                <w:rFonts w:ascii="Arial" w:hAnsi="Arial"/>
                <w:sz w:val="20"/>
                <w:lang w:eastAsia="en-GB"/>
              </w:rPr>
              <w:t xml:space="preserve">(5) </w:t>
            </w:r>
            <w:r w:rsidRPr="004431DE">
              <w:rPr>
                <w:rFonts w:ascii="Arial" w:hAnsi="Arial"/>
                <w:sz w:val="20"/>
              </w:rPr>
              <w:t>w dolarach singapurskich (SGD)</w:t>
            </w:r>
          </w:p>
        </w:tc>
        <w:tc>
          <w:tcPr>
            <w:tcW w:w="2745" w:type="dxa"/>
            <w:tcBorders>
              <w:left w:val="nil"/>
              <w:right w:val="nil"/>
            </w:tcBorders>
            <w:noWrap/>
            <w:hideMark/>
          </w:tcPr>
          <w:p w:rsidRPr="004431DE" w:rsidR="0065120A" w:rsidP="00BC3A1F" w:rsidRDefault="0065120A" w14:paraId="2E62851B"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593585C"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53AFFD0A" w14:textId="77777777">
            <w:pPr>
              <w:ind w:firstLine="400" w:firstLineChars="200"/>
              <w:rPr>
                <w:rFonts w:ascii="Arial" w:hAnsi="Arial" w:eastAsia="Times New Roman" w:cs="Arial"/>
                <w:sz w:val="20"/>
                <w:szCs w:val="20"/>
              </w:rPr>
            </w:pPr>
            <w:r w:rsidRPr="004431DE">
              <w:rPr>
                <w:rFonts w:ascii="Arial" w:hAnsi="Arial"/>
                <w:sz w:val="20"/>
                <w:lang w:eastAsia="en-GB"/>
              </w:rPr>
              <w:t xml:space="preserve">(6) </w:t>
            </w:r>
            <w:r w:rsidRPr="004431DE">
              <w:rPr>
                <w:rFonts w:ascii="Arial" w:hAnsi="Arial"/>
                <w:sz w:val="20"/>
              </w:rPr>
              <w:t>w wonach południowokoreańskich (KRW)</w:t>
            </w:r>
          </w:p>
        </w:tc>
        <w:tc>
          <w:tcPr>
            <w:tcW w:w="2745" w:type="dxa"/>
            <w:tcBorders>
              <w:left w:val="nil"/>
              <w:bottom w:val="single" w:color="auto" w:sz="4" w:space="0"/>
              <w:right w:val="nil"/>
            </w:tcBorders>
            <w:noWrap/>
            <w:hideMark/>
          </w:tcPr>
          <w:p w:rsidRPr="004431DE" w:rsidR="0065120A" w:rsidP="00BC3A1F" w:rsidRDefault="0065120A" w14:paraId="218B3C41"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8442E99" w14:textId="77777777">
        <w:trPr>
          <w:trHeight w:val="403"/>
        </w:trPr>
        <w:tc>
          <w:tcPr>
            <w:tcW w:w="6804" w:type="dxa"/>
            <w:gridSpan w:val="2"/>
            <w:tcBorders>
              <w:left w:val="nil"/>
              <w:bottom w:val="nil"/>
              <w:right w:val="nil"/>
            </w:tcBorders>
            <w:noWrap/>
            <w:hideMark/>
          </w:tcPr>
          <w:p w:rsidRPr="004431DE" w:rsidR="0065120A" w:rsidP="00BC3A1F" w:rsidRDefault="0065120A" w14:paraId="30B1BDF4" w14:textId="77777777">
            <w:pPr>
              <w:rPr>
                <w:rFonts w:ascii="Arial" w:hAnsi="Arial" w:eastAsia="Times New Roman" w:cs="Arial"/>
                <w:sz w:val="20"/>
                <w:szCs w:val="20"/>
              </w:rPr>
            </w:pPr>
            <w:r w:rsidRPr="004431DE">
              <w:rPr>
                <w:rFonts w:ascii="Arial" w:hAnsi="Arial"/>
                <w:sz w:val="20"/>
              </w:rPr>
              <w:t> </w:t>
            </w:r>
          </w:p>
        </w:tc>
        <w:tc>
          <w:tcPr>
            <w:tcW w:w="2745" w:type="dxa"/>
            <w:tcBorders>
              <w:left w:val="nil"/>
              <w:bottom w:val="nil"/>
              <w:right w:val="nil"/>
            </w:tcBorders>
            <w:noWrap/>
            <w:hideMark/>
          </w:tcPr>
          <w:p w:rsidRPr="004431DE" w:rsidR="0065120A" w:rsidP="00BC3A1F" w:rsidRDefault="0065120A" w14:paraId="2DD10F49" w14:textId="77777777">
            <w:pPr>
              <w:rPr>
                <w:rFonts w:ascii="Arial" w:hAnsi="Arial" w:eastAsia="Times New Roman" w:cs="Arial"/>
                <w:sz w:val="20"/>
                <w:szCs w:val="20"/>
              </w:rPr>
            </w:pPr>
            <w:r w:rsidRPr="004431DE">
              <w:rPr>
                <w:rFonts w:ascii="Arial" w:hAnsi="Arial"/>
                <w:sz w:val="20"/>
              </w:rPr>
              <w:t> </w:t>
            </w:r>
          </w:p>
        </w:tc>
      </w:tr>
      <w:tr w:rsidRPr="004431DE" w:rsidR="0065120A" w:rsidTr="00BC3A1F" w14:paraId="688C9673" w14:textId="77777777">
        <w:trPr>
          <w:trHeight w:val="403"/>
        </w:trPr>
        <w:tc>
          <w:tcPr>
            <w:tcW w:w="6804" w:type="dxa"/>
            <w:gridSpan w:val="2"/>
            <w:tcBorders>
              <w:top w:val="nil"/>
              <w:left w:val="nil"/>
              <w:bottom w:val="nil"/>
              <w:right w:val="nil"/>
            </w:tcBorders>
            <w:noWrap/>
            <w:hideMark/>
          </w:tcPr>
          <w:p w:rsidRPr="004431DE" w:rsidR="0065120A" w:rsidP="00BC3A1F" w:rsidRDefault="0065120A" w14:paraId="7ABC7D91" w14:textId="77777777">
            <w:pPr>
              <w:rPr>
                <w:rFonts w:asciiTheme="majorHAnsi" w:hAnsiTheme="majorHAnsi" w:eastAsiaTheme="majorEastAsia" w:cstheme="majorBidi"/>
                <w:b/>
                <w:bCs/>
                <w:i/>
                <w:iCs/>
                <w:caps/>
                <w:spacing w:val="-2"/>
              </w:rPr>
            </w:pPr>
            <w:r w:rsidRPr="004431DE">
              <w:rPr>
                <w:rFonts w:asciiTheme="majorHAnsi" w:hAnsiTheme="majorHAnsi"/>
                <w:b/>
                <w:i/>
                <w:caps/>
              </w:rPr>
              <w:t> Pozycje uzupełniające</w:t>
            </w:r>
          </w:p>
        </w:tc>
        <w:tc>
          <w:tcPr>
            <w:tcW w:w="2745" w:type="dxa"/>
            <w:tcBorders>
              <w:top w:val="nil"/>
              <w:left w:val="nil"/>
              <w:bottom w:val="nil"/>
              <w:right w:val="nil"/>
            </w:tcBorders>
            <w:noWrap/>
            <w:hideMark/>
          </w:tcPr>
          <w:p w:rsidRPr="004431DE" w:rsidR="0065120A" w:rsidP="00BC3A1F" w:rsidRDefault="0065120A" w14:paraId="2C2A29A6" w14:textId="77777777">
            <w:pPr>
              <w:rPr>
                <w:rFonts w:ascii="Arial" w:hAnsi="Arial" w:eastAsia="Times New Roman" w:cs="Arial"/>
                <w:b/>
                <w:bCs/>
                <w:sz w:val="24"/>
                <w:szCs w:val="24"/>
              </w:rPr>
            </w:pPr>
            <w:r w:rsidRPr="004431DE">
              <w:rPr>
                <w:rFonts w:ascii="Arial" w:hAnsi="Arial"/>
                <w:b/>
                <w:sz w:val="24"/>
              </w:rPr>
              <w:t> </w:t>
            </w:r>
          </w:p>
        </w:tc>
      </w:tr>
      <w:tr w:rsidRPr="004431DE" w:rsidR="0065120A" w:rsidTr="00BC3A1F" w14:paraId="262BE7E1" w14:textId="77777777">
        <w:trPr>
          <w:trHeight w:val="403"/>
        </w:trPr>
        <w:tc>
          <w:tcPr>
            <w:tcW w:w="6804" w:type="dxa"/>
            <w:gridSpan w:val="2"/>
            <w:tcBorders>
              <w:top w:val="nil"/>
              <w:left w:val="nil"/>
              <w:bottom w:val="single" w:color="auto" w:sz="4" w:space="0"/>
              <w:right w:val="nil"/>
            </w:tcBorders>
            <w:noWrap/>
            <w:hideMark/>
          </w:tcPr>
          <w:p w:rsidRPr="004431DE" w:rsidR="0065120A" w:rsidP="00BC3A1F" w:rsidRDefault="0065120A" w14:paraId="7474AF1D" w14:textId="77777777">
            <w:pPr>
              <w:ind w:firstLine="241" w:firstLineChars="100"/>
              <w:rPr>
                <w:rFonts w:ascii="Arial" w:hAnsi="Arial" w:eastAsia="Times New Roman" w:cs="Arial"/>
                <w:b/>
                <w:bCs/>
                <w:sz w:val="24"/>
                <w:szCs w:val="24"/>
              </w:rPr>
            </w:pPr>
            <w:r w:rsidRPr="004431DE">
              <w:rPr>
                <w:rFonts w:ascii="Arial" w:hAnsi="Arial"/>
                <w:b/>
                <w:sz w:val="24"/>
              </w:rPr>
              <w:t> </w:t>
            </w:r>
          </w:p>
        </w:tc>
        <w:tc>
          <w:tcPr>
            <w:tcW w:w="2745" w:type="dxa"/>
            <w:tcBorders>
              <w:top w:val="nil"/>
              <w:left w:val="nil"/>
              <w:bottom w:val="single" w:color="auto" w:sz="4" w:space="0"/>
              <w:right w:val="nil"/>
            </w:tcBorders>
            <w:noWrap/>
            <w:hideMark/>
          </w:tcPr>
          <w:p w:rsidRPr="004431DE" w:rsidR="0065120A" w:rsidP="00BC3A1F" w:rsidRDefault="0065120A" w14:paraId="3B6ED69C" w14:textId="77777777">
            <w:pPr>
              <w:rPr>
                <w:rFonts w:ascii="Arial" w:hAnsi="Arial" w:eastAsia="Times New Roman" w:cs="Arial"/>
                <w:b/>
                <w:bCs/>
                <w:sz w:val="24"/>
                <w:szCs w:val="24"/>
              </w:rPr>
            </w:pPr>
            <w:r w:rsidRPr="004431DE">
              <w:rPr>
                <w:rFonts w:ascii="Arial" w:hAnsi="Arial"/>
                <w:b/>
                <w:sz w:val="24"/>
              </w:rPr>
              <w:t> </w:t>
            </w:r>
          </w:p>
        </w:tc>
      </w:tr>
      <w:tr w:rsidRPr="004431DE" w:rsidR="0065120A" w:rsidTr="00BC3A1F" w14:paraId="0AFAE139" w14:textId="77777777">
        <w:trPr>
          <w:trHeight w:val="300"/>
        </w:trPr>
        <w:tc>
          <w:tcPr>
            <w:tcW w:w="6804" w:type="dxa"/>
            <w:gridSpan w:val="2"/>
            <w:tcBorders>
              <w:left w:val="nil"/>
              <w:right w:val="nil"/>
            </w:tcBorders>
            <w:noWrap/>
            <w:hideMark/>
          </w:tcPr>
          <w:p w:rsidRPr="004431DE" w:rsidR="0065120A" w:rsidP="00BC3A1F" w:rsidRDefault="0065120A" w14:paraId="7D6B67F8" w14:textId="77777777">
            <w:pPr>
              <w:rPr>
                <w:rFonts w:ascii="Arial" w:hAnsi="Arial" w:eastAsia="Times New Roman" w:cs="Arial"/>
                <w:b/>
                <w:bCs/>
                <w:sz w:val="20"/>
                <w:szCs w:val="20"/>
              </w:rPr>
            </w:pPr>
            <w:r w:rsidRPr="004431DE">
              <w:rPr>
                <w:rFonts w:ascii="Arial" w:hAnsi="Arial"/>
                <w:b/>
                <w:sz w:val="20"/>
              </w:rPr>
              <w:t>Sekcja 17 – Pozycje dotyczące wielkości</w:t>
            </w:r>
          </w:p>
        </w:tc>
        <w:tc>
          <w:tcPr>
            <w:tcW w:w="2745" w:type="dxa"/>
            <w:tcBorders>
              <w:left w:val="nil"/>
              <w:right w:val="nil"/>
            </w:tcBorders>
            <w:hideMark/>
          </w:tcPr>
          <w:p w:rsidRPr="004431DE" w:rsidR="0065120A" w:rsidP="00BC3A1F" w:rsidRDefault="0065120A" w14:paraId="1C808F01"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50339EF1" w14:textId="77777777">
        <w:trPr>
          <w:gridAfter w:val="1"/>
          <w:wAfter w:w="2745" w:type="dxa"/>
          <w:trHeight w:val="300"/>
        </w:trPr>
        <w:tc>
          <w:tcPr>
            <w:tcW w:w="6804" w:type="dxa"/>
            <w:gridSpan w:val="2"/>
            <w:tcBorders>
              <w:left w:val="nil"/>
              <w:right w:val="nil"/>
            </w:tcBorders>
            <w:noWrap/>
            <w:hideMark/>
          </w:tcPr>
          <w:p w:rsidRPr="004431DE" w:rsidR="0065120A" w:rsidP="00BC3A1F" w:rsidRDefault="0065120A" w14:paraId="559F029A" w14:textId="77777777">
            <w:pPr>
              <w:ind w:left="171" w:firstLine="28" w:firstLineChars="14"/>
              <w:rPr>
                <w:rFonts w:ascii="Arial" w:hAnsi="Arial" w:eastAsia="Times New Roman" w:cs="Arial"/>
                <w:sz w:val="20"/>
                <w:szCs w:val="20"/>
              </w:rPr>
            </w:pPr>
            <w:r w:rsidRPr="004431DE">
              <w:rPr>
                <w:rFonts w:ascii="Arial" w:hAnsi="Arial"/>
                <w:sz w:val="20"/>
              </w:rPr>
              <w:t>a. Ekspozycje jednostek zależnych prowadzących działalność ubezpieczeniową już uwzględnionych w ostrożnościowym regulacyjnym zakresie konsolidacji</w:t>
            </w:r>
          </w:p>
        </w:tc>
      </w:tr>
      <w:tr w:rsidRPr="004431DE" w:rsidR="0065120A" w:rsidTr="00BC3A1F" w14:paraId="73C29299" w14:textId="77777777">
        <w:trPr>
          <w:trHeight w:val="300"/>
        </w:trPr>
        <w:tc>
          <w:tcPr>
            <w:tcW w:w="6804" w:type="dxa"/>
            <w:gridSpan w:val="2"/>
            <w:tcBorders>
              <w:left w:val="nil"/>
              <w:right w:val="nil"/>
            </w:tcBorders>
            <w:noWrap/>
            <w:hideMark/>
          </w:tcPr>
          <w:p w:rsidRPr="004431DE" w:rsidR="0065120A" w:rsidP="00BC3A1F" w:rsidRDefault="0065120A" w14:paraId="67656AF3" w14:textId="77777777">
            <w:pPr>
              <w:ind w:firstLine="200" w:firstLineChars="100"/>
              <w:rPr>
                <w:rFonts w:ascii="Arial" w:hAnsi="Arial" w:eastAsia="Times New Roman" w:cs="Arial"/>
                <w:sz w:val="20"/>
                <w:szCs w:val="20"/>
              </w:rPr>
            </w:pPr>
            <w:r w:rsidRPr="004431DE">
              <w:rPr>
                <w:rFonts w:ascii="Arial" w:hAnsi="Arial"/>
                <w:sz w:val="20"/>
              </w:rPr>
              <w:t xml:space="preserve">b. Średnia kwartalna wartość łącznych ekspozycji </w:t>
            </w:r>
          </w:p>
        </w:tc>
        <w:tc>
          <w:tcPr>
            <w:tcW w:w="2745" w:type="dxa"/>
            <w:tcBorders>
              <w:left w:val="nil"/>
              <w:right w:val="nil"/>
            </w:tcBorders>
            <w:noWrap/>
            <w:hideMark/>
          </w:tcPr>
          <w:p w:rsidRPr="004431DE" w:rsidR="0065120A" w:rsidP="00BC3A1F" w:rsidRDefault="0065120A" w14:paraId="38C4DF98"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5110886"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0A7EE342" w14:textId="77777777">
            <w:pPr>
              <w:ind w:firstLine="200" w:firstLineChars="100"/>
              <w:rPr>
                <w:rFonts w:ascii="Arial" w:hAnsi="Arial" w:eastAsia="Times New Roman" w:cs="Arial"/>
                <w:sz w:val="20"/>
                <w:szCs w:val="20"/>
              </w:rPr>
            </w:pPr>
            <w:r w:rsidRPr="004431DE">
              <w:rPr>
                <w:rFonts w:ascii="Arial" w:hAnsi="Arial"/>
                <w:sz w:val="20"/>
              </w:rPr>
              <w:t xml:space="preserve">c. Miesięczna średnia wartość łącznych ekspozycji </w:t>
            </w:r>
          </w:p>
        </w:tc>
        <w:tc>
          <w:tcPr>
            <w:tcW w:w="2745" w:type="dxa"/>
            <w:tcBorders>
              <w:left w:val="nil"/>
              <w:bottom w:val="single" w:color="auto" w:sz="4" w:space="0"/>
              <w:right w:val="nil"/>
            </w:tcBorders>
            <w:noWrap/>
            <w:hideMark/>
          </w:tcPr>
          <w:p w:rsidRPr="004431DE" w:rsidR="0065120A" w:rsidP="00BC3A1F" w:rsidRDefault="0065120A" w14:paraId="40E10F3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4FAA3117" w14:textId="77777777">
        <w:trPr>
          <w:trHeight w:val="300"/>
        </w:trPr>
        <w:tc>
          <w:tcPr>
            <w:tcW w:w="6804" w:type="dxa"/>
            <w:gridSpan w:val="2"/>
            <w:tcBorders>
              <w:left w:val="nil"/>
              <w:bottom w:val="nil"/>
              <w:right w:val="nil"/>
            </w:tcBorders>
            <w:noWrap/>
          </w:tcPr>
          <w:p w:rsidRPr="004431DE" w:rsidR="0065120A" w:rsidP="00BC3A1F" w:rsidRDefault="0065120A" w14:paraId="4980ACD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687445E4" w14:textId="77777777">
            <w:pPr>
              <w:jc w:val="center"/>
              <w:rPr>
                <w:rFonts w:ascii="Arial" w:hAnsi="Arial" w:eastAsia="Times New Roman" w:cs="Arial"/>
                <w:b/>
                <w:bCs/>
                <w:sz w:val="20"/>
                <w:szCs w:val="20"/>
                <w:lang w:eastAsia="en-GB"/>
              </w:rPr>
            </w:pPr>
          </w:p>
        </w:tc>
      </w:tr>
      <w:tr w:rsidRPr="004431DE" w:rsidR="0065120A" w:rsidTr="00BC3A1F" w14:paraId="5C78EA27" w14:textId="77777777">
        <w:trPr>
          <w:trHeight w:val="300"/>
        </w:trPr>
        <w:tc>
          <w:tcPr>
            <w:tcW w:w="6804" w:type="dxa"/>
            <w:gridSpan w:val="2"/>
            <w:tcBorders>
              <w:top w:val="nil"/>
              <w:left w:val="nil"/>
              <w:right w:val="nil"/>
            </w:tcBorders>
            <w:noWrap/>
            <w:hideMark/>
          </w:tcPr>
          <w:p w:rsidRPr="004431DE" w:rsidR="0065120A" w:rsidP="00BC3A1F" w:rsidRDefault="0065120A" w14:paraId="4F2A2376" w14:textId="77777777">
            <w:pPr>
              <w:rPr>
                <w:rFonts w:ascii="Arial" w:hAnsi="Arial" w:eastAsia="Times New Roman" w:cs="Arial"/>
                <w:b/>
                <w:bCs/>
                <w:sz w:val="20"/>
                <w:szCs w:val="20"/>
              </w:rPr>
            </w:pPr>
            <w:r w:rsidRPr="004431DE">
              <w:rPr>
                <w:rFonts w:ascii="Arial" w:hAnsi="Arial"/>
                <w:b/>
                <w:sz w:val="20"/>
              </w:rPr>
              <w:t>Sekcja 18 – Pozycje dotyczące wzajemnych powiązań</w:t>
            </w:r>
          </w:p>
        </w:tc>
        <w:tc>
          <w:tcPr>
            <w:tcW w:w="2745" w:type="dxa"/>
            <w:tcBorders>
              <w:top w:val="nil"/>
              <w:left w:val="nil"/>
              <w:right w:val="nil"/>
            </w:tcBorders>
            <w:hideMark/>
          </w:tcPr>
          <w:p w:rsidRPr="004431DE" w:rsidR="0065120A" w:rsidP="00BC3A1F" w:rsidRDefault="0065120A" w14:paraId="1E9F331F"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228BCE7A" w14:textId="77777777">
        <w:trPr>
          <w:trHeight w:val="300"/>
        </w:trPr>
        <w:tc>
          <w:tcPr>
            <w:tcW w:w="6804" w:type="dxa"/>
            <w:gridSpan w:val="2"/>
            <w:tcBorders>
              <w:left w:val="nil"/>
              <w:right w:val="nil"/>
            </w:tcBorders>
            <w:noWrap/>
            <w:hideMark/>
          </w:tcPr>
          <w:p w:rsidRPr="004431DE" w:rsidR="0065120A" w:rsidP="00BC3A1F" w:rsidRDefault="0065120A" w14:paraId="25BBB55C" w14:textId="77777777">
            <w:pPr>
              <w:ind w:firstLine="200" w:firstLineChars="100"/>
              <w:rPr>
                <w:rFonts w:ascii="Arial" w:hAnsi="Arial" w:eastAsia="Times New Roman" w:cs="Arial"/>
                <w:sz w:val="20"/>
                <w:szCs w:val="20"/>
              </w:rPr>
            </w:pPr>
            <w:r w:rsidRPr="004431DE">
              <w:rPr>
                <w:rFonts w:ascii="Arial" w:hAnsi="Arial"/>
                <w:sz w:val="20"/>
              </w:rPr>
              <w:t>a. Wskaźnik aktywów wewnątrz systemu finansowego (stary wskaźnik)</w:t>
            </w:r>
          </w:p>
        </w:tc>
        <w:tc>
          <w:tcPr>
            <w:tcW w:w="2745" w:type="dxa"/>
            <w:tcBorders>
              <w:left w:val="nil"/>
              <w:right w:val="nil"/>
            </w:tcBorders>
            <w:noWrap/>
            <w:hideMark/>
          </w:tcPr>
          <w:p w:rsidRPr="004431DE" w:rsidR="0065120A" w:rsidP="00BC3A1F" w:rsidRDefault="0065120A" w14:paraId="2D294012"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6DFC72D" w14:textId="77777777">
        <w:trPr>
          <w:trHeight w:val="300"/>
        </w:trPr>
        <w:tc>
          <w:tcPr>
            <w:tcW w:w="6804" w:type="dxa"/>
            <w:gridSpan w:val="2"/>
            <w:tcBorders>
              <w:left w:val="nil"/>
              <w:right w:val="nil"/>
            </w:tcBorders>
            <w:noWrap/>
            <w:hideMark/>
          </w:tcPr>
          <w:p w:rsidRPr="004431DE" w:rsidR="0065120A" w:rsidP="00BC3A1F" w:rsidRDefault="0065120A" w14:paraId="687CF349" w14:textId="77777777">
            <w:pPr>
              <w:ind w:firstLine="200" w:firstLineChars="100"/>
              <w:rPr>
                <w:rFonts w:ascii="Arial" w:hAnsi="Arial" w:eastAsia="Times New Roman" w:cs="Arial"/>
                <w:sz w:val="20"/>
                <w:szCs w:val="20"/>
              </w:rPr>
            </w:pPr>
            <w:r w:rsidRPr="004431DE">
              <w:rPr>
                <w:rFonts w:ascii="Arial" w:hAnsi="Arial"/>
                <w:sz w:val="20"/>
              </w:rPr>
              <w:t xml:space="preserve">b. Średnia kwartalna wartość aktywów wewnątrz systemu finansowego </w:t>
            </w:r>
          </w:p>
        </w:tc>
        <w:tc>
          <w:tcPr>
            <w:tcW w:w="2745" w:type="dxa"/>
            <w:tcBorders>
              <w:left w:val="nil"/>
              <w:right w:val="nil"/>
            </w:tcBorders>
            <w:noWrap/>
            <w:hideMark/>
          </w:tcPr>
          <w:p w:rsidRPr="004431DE" w:rsidR="0065120A" w:rsidP="00BC3A1F" w:rsidRDefault="0065120A" w14:paraId="1C8E36FA"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232D20C" w14:textId="77777777">
        <w:trPr>
          <w:trHeight w:val="300"/>
        </w:trPr>
        <w:tc>
          <w:tcPr>
            <w:tcW w:w="6804" w:type="dxa"/>
            <w:gridSpan w:val="2"/>
            <w:tcBorders>
              <w:left w:val="nil"/>
              <w:right w:val="nil"/>
            </w:tcBorders>
            <w:noWrap/>
            <w:hideMark/>
          </w:tcPr>
          <w:p w:rsidRPr="004431DE" w:rsidR="0065120A" w:rsidP="00BC3A1F" w:rsidRDefault="0065120A" w14:paraId="21E8BF39" w14:textId="77777777">
            <w:pPr>
              <w:ind w:firstLine="200" w:firstLineChars="100"/>
              <w:rPr>
                <w:rFonts w:ascii="Arial" w:hAnsi="Arial" w:eastAsia="Times New Roman" w:cs="Arial"/>
                <w:sz w:val="20"/>
                <w:szCs w:val="20"/>
              </w:rPr>
            </w:pPr>
            <w:r w:rsidRPr="004431DE">
              <w:rPr>
                <w:rFonts w:ascii="Arial" w:hAnsi="Arial"/>
                <w:sz w:val="20"/>
              </w:rPr>
              <w:t xml:space="preserve">c. Średnia miesięczna wartość aktywów wewnątrz systemu finansowego </w:t>
            </w:r>
          </w:p>
        </w:tc>
        <w:tc>
          <w:tcPr>
            <w:tcW w:w="2745" w:type="dxa"/>
            <w:tcBorders>
              <w:left w:val="nil"/>
              <w:right w:val="nil"/>
            </w:tcBorders>
            <w:noWrap/>
            <w:hideMark/>
          </w:tcPr>
          <w:p w:rsidRPr="004431DE" w:rsidR="0065120A" w:rsidP="00BC3A1F" w:rsidRDefault="0065120A" w14:paraId="78FCB82F"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11F67F3F" w14:textId="77777777">
        <w:trPr>
          <w:trHeight w:val="300"/>
        </w:trPr>
        <w:tc>
          <w:tcPr>
            <w:tcW w:w="6804" w:type="dxa"/>
            <w:gridSpan w:val="2"/>
            <w:tcBorders>
              <w:left w:val="nil"/>
              <w:right w:val="nil"/>
            </w:tcBorders>
            <w:noWrap/>
            <w:hideMark/>
          </w:tcPr>
          <w:p w:rsidRPr="004431DE" w:rsidR="0065120A" w:rsidP="00BC3A1F" w:rsidRDefault="0065120A" w14:paraId="42B0CA49" w14:textId="77777777">
            <w:pPr>
              <w:ind w:firstLine="200" w:firstLineChars="100"/>
              <w:rPr>
                <w:rFonts w:ascii="Arial" w:hAnsi="Arial" w:eastAsia="Times New Roman" w:cs="Arial"/>
                <w:sz w:val="20"/>
                <w:szCs w:val="20"/>
              </w:rPr>
            </w:pPr>
            <w:r w:rsidRPr="004431DE">
              <w:rPr>
                <w:rFonts w:ascii="Arial" w:hAnsi="Arial"/>
                <w:sz w:val="20"/>
              </w:rPr>
              <w:t>d. Wskaźnik zobowiązań wewnątrz systemu finansowego (stary wskaźnik)</w:t>
            </w:r>
          </w:p>
        </w:tc>
        <w:tc>
          <w:tcPr>
            <w:tcW w:w="2745" w:type="dxa"/>
            <w:tcBorders>
              <w:left w:val="nil"/>
              <w:right w:val="nil"/>
            </w:tcBorders>
            <w:noWrap/>
            <w:hideMark/>
          </w:tcPr>
          <w:p w:rsidRPr="004431DE" w:rsidR="0065120A" w:rsidP="00BC3A1F" w:rsidRDefault="0065120A" w14:paraId="134D27A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7198990" w14:textId="77777777">
        <w:trPr>
          <w:trHeight w:val="300"/>
        </w:trPr>
        <w:tc>
          <w:tcPr>
            <w:tcW w:w="6804" w:type="dxa"/>
            <w:gridSpan w:val="2"/>
            <w:tcBorders>
              <w:left w:val="nil"/>
              <w:right w:val="nil"/>
            </w:tcBorders>
            <w:noWrap/>
            <w:hideMark/>
          </w:tcPr>
          <w:p w:rsidRPr="004431DE" w:rsidR="0065120A" w:rsidP="00BC3A1F" w:rsidRDefault="0065120A" w14:paraId="387C3DFF" w14:textId="77777777">
            <w:pPr>
              <w:ind w:firstLine="200" w:firstLineChars="100"/>
              <w:rPr>
                <w:rFonts w:ascii="Arial" w:hAnsi="Arial" w:eastAsia="Times New Roman" w:cs="Arial"/>
                <w:sz w:val="20"/>
                <w:szCs w:val="20"/>
              </w:rPr>
            </w:pPr>
            <w:r w:rsidRPr="004431DE">
              <w:rPr>
                <w:rFonts w:ascii="Arial" w:hAnsi="Arial"/>
                <w:sz w:val="20"/>
              </w:rPr>
              <w:t xml:space="preserve">e. Średnia kwartalna wartość zobowiązań wewnątrz systemu finansowego </w:t>
            </w:r>
          </w:p>
        </w:tc>
        <w:tc>
          <w:tcPr>
            <w:tcW w:w="2745" w:type="dxa"/>
            <w:tcBorders>
              <w:left w:val="nil"/>
              <w:right w:val="nil"/>
            </w:tcBorders>
            <w:noWrap/>
            <w:hideMark/>
          </w:tcPr>
          <w:p w:rsidRPr="004431DE" w:rsidR="0065120A" w:rsidP="00BC3A1F" w:rsidRDefault="0065120A" w14:paraId="11633CA0"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3119A6CC" w14:textId="77777777">
        <w:trPr>
          <w:trHeight w:val="300"/>
        </w:trPr>
        <w:tc>
          <w:tcPr>
            <w:tcW w:w="6804" w:type="dxa"/>
            <w:gridSpan w:val="2"/>
            <w:tcBorders>
              <w:left w:val="nil"/>
              <w:right w:val="nil"/>
            </w:tcBorders>
            <w:noWrap/>
            <w:hideMark/>
          </w:tcPr>
          <w:p w:rsidRPr="004431DE" w:rsidR="0065120A" w:rsidP="00BC3A1F" w:rsidRDefault="0065120A" w14:paraId="19BF1F13" w14:textId="77777777">
            <w:pPr>
              <w:ind w:firstLine="200" w:firstLineChars="100"/>
              <w:rPr>
                <w:rFonts w:ascii="Arial" w:hAnsi="Arial" w:eastAsia="Times New Roman" w:cs="Arial"/>
                <w:sz w:val="20"/>
                <w:szCs w:val="20"/>
              </w:rPr>
            </w:pPr>
            <w:r w:rsidRPr="004431DE">
              <w:rPr>
                <w:rFonts w:ascii="Arial" w:hAnsi="Arial"/>
                <w:sz w:val="20"/>
              </w:rPr>
              <w:t xml:space="preserve">f. Miesięczna średnia wartość zobowiązań w ramach systemu finansowego </w:t>
            </w:r>
          </w:p>
        </w:tc>
        <w:tc>
          <w:tcPr>
            <w:tcW w:w="2745" w:type="dxa"/>
            <w:tcBorders>
              <w:left w:val="nil"/>
              <w:right w:val="nil"/>
            </w:tcBorders>
            <w:noWrap/>
            <w:hideMark/>
          </w:tcPr>
          <w:p w:rsidRPr="004431DE" w:rsidR="0065120A" w:rsidP="00BC3A1F" w:rsidRDefault="0065120A" w14:paraId="5417D380"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D62E92E" w14:textId="77777777">
        <w:trPr>
          <w:trHeight w:val="300"/>
        </w:trPr>
        <w:tc>
          <w:tcPr>
            <w:tcW w:w="6804" w:type="dxa"/>
            <w:gridSpan w:val="2"/>
            <w:tcBorders>
              <w:left w:val="nil"/>
              <w:right w:val="nil"/>
            </w:tcBorders>
            <w:noWrap/>
            <w:hideMark/>
          </w:tcPr>
          <w:p w:rsidRPr="004431DE" w:rsidR="0065120A" w:rsidP="00BC3A1F" w:rsidRDefault="0065120A" w14:paraId="4020BD05" w14:textId="77777777">
            <w:pPr>
              <w:ind w:firstLine="200" w:firstLineChars="100"/>
              <w:rPr>
                <w:rFonts w:ascii="Arial" w:hAnsi="Arial" w:eastAsia="Times New Roman" w:cs="Arial"/>
                <w:sz w:val="20"/>
                <w:szCs w:val="20"/>
              </w:rPr>
            </w:pPr>
            <w:r w:rsidRPr="004431DE">
              <w:rPr>
                <w:rFonts w:ascii="Arial" w:hAnsi="Arial"/>
                <w:sz w:val="20"/>
              </w:rPr>
              <w:t>g. Wskaźnik wyemitowanych papierów wartościowych (stary wskaźnik)</w:t>
            </w:r>
          </w:p>
        </w:tc>
        <w:tc>
          <w:tcPr>
            <w:tcW w:w="2745" w:type="dxa"/>
            <w:tcBorders>
              <w:left w:val="nil"/>
              <w:right w:val="nil"/>
            </w:tcBorders>
            <w:noWrap/>
            <w:hideMark/>
          </w:tcPr>
          <w:p w:rsidRPr="004431DE" w:rsidR="0065120A" w:rsidP="00BC3A1F" w:rsidRDefault="0065120A" w14:paraId="43004BA6"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2C42600" w14:textId="77777777">
        <w:trPr>
          <w:trHeight w:val="300"/>
        </w:trPr>
        <w:tc>
          <w:tcPr>
            <w:tcW w:w="6804" w:type="dxa"/>
            <w:gridSpan w:val="2"/>
            <w:tcBorders>
              <w:left w:val="nil"/>
              <w:right w:val="nil"/>
            </w:tcBorders>
            <w:noWrap/>
            <w:hideMark/>
          </w:tcPr>
          <w:p w:rsidRPr="004431DE" w:rsidR="0065120A" w:rsidP="00BC3A1F" w:rsidRDefault="0065120A" w14:paraId="56988DA9" w14:textId="77777777">
            <w:pPr>
              <w:ind w:firstLine="200" w:firstLineChars="100"/>
              <w:rPr>
                <w:rFonts w:ascii="Arial" w:hAnsi="Arial" w:eastAsia="Times New Roman" w:cs="Arial"/>
                <w:sz w:val="20"/>
                <w:szCs w:val="20"/>
              </w:rPr>
            </w:pPr>
            <w:r w:rsidRPr="004431DE">
              <w:rPr>
                <w:rFonts w:ascii="Arial" w:hAnsi="Arial"/>
                <w:sz w:val="20"/>
              </w:rPr>
              <w:t xml:space="preserve">h. Średnia kwartalna wartość wyemitowanych papierów wartościowych </w:t>
            </w:r>
          </w:p>
        </w:tc>
        <w:tc>
          <w:tcPr>
            <w:tcW w:w="2745" w:type="dxa"/>
            <w:tcBorders>
              <w:left w:val="nil"/>
              <w:right w:val="nil"/>
            </w:tcBorders>
            <w:noWrap/>
            <w:hideMark/>
          </w:tcPr>
          <w:p w:rsidRPr="004431DE" w:rsidR="0065120A" w:rsidP="00BC3A1F" w:rsidRDefault="0065120A" w14:paraId="357F614A"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5F844333"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69F2D132" w14:textId="77777777">
            <w:pPr>
              <w:ind w:firstLine="200" w:firstLineChars="100"/>
              <w:rPr>
                <w:rFonts w:ascii="Arial" w:hAnsi="Arial" w:eastAsia="Times New Roman" w:cs="Arial"/>
                <w:sz w:val="20"/>
                <w:szCs w:val="20"/>
              </w:rPr>
            </w:pPr>
            <w:r w:rsidRPr="004431DE">
              <w:rPr>
                <w:rFonts w:ascii="Arial" w:hAnsi="Arial"/>
                <w:sz w:val="20"/>
              </w:rPr>
              <w:t xml:space="preserve">i. Średnia miesięczna wartość wyemitowanych papierów wartościowych </w:t>
            </w:r>
          </w:p>
        </w:tc>
        <w:tc>
          <w:tcPr>
            <w:tcW w:w="2745" w:type="dxa"/>
            <w:tcBorders>
              <w:left w:val="nil"/>
              <w:bottom w:val="single" w:color="auto" w:sz="4" w:space="0"/>
              <w:right w:val="nil"/>
            </w:tcBorders>
            <w:noWrap/>
            <w:hideMark/>
          </w:tcPr>
          <w:p w:rsidRPr="004431DE" w:rsidR="0065120A" w:rsidP="00BC3A1F" w:rsidRDefault="0065120A" w14:paraId="23506D77"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48656C5" w14:textId="77777777">
        <w:trPr>
          <w:trHeight w:val="300"/>
        </w:trPr>
        <w:tc>
          <w:tcPr>
            <w:tcW w:w="6804" w:type="dxa"/>
            <w:gridSpan w:val="2"/>
            <w:tcBorders>
              <w:left w:val="nil"/>
              <w:bottom w:val="nil"/>
              <w:right w:val="nil"/>
            </w:tcBorders>
            <w:noWrap/>
          </w:tcPr>
          <w:p w:rsidRPr="004431DE" w:rsidR="0065120A" w:rsidP="00BC3A1F" w:rsidRDefault="0065120A" w14:paraId="7012D49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1D738A1E" w14:textId="77777777">
            <w:pPr>
              <w:jc w:val="center"/>
              <w:rPr>
                <w:rFonts w:ascii="Arial" w:hAnsi="Arial" w:eastAsia="Times New Roman" w:cs="Arial"/>
                <w:b/>
                <w:bCs/>
                <w:sz w:val="20"/>
                <w:szCs w:val="20"/>
                <w:lang w:eastAsia="en-GB"/>
              </w:rPr>
            </w:pPr>
          </w:p>
        </w:tc>
      </w:tr>
      <w:tr w:rsidRPr="004431DE" w:rsidR="0065120A" w:rsidTr="00BC3A1F" w14:paraId="0367A7B6" w14:textId="77777777">
        <w:trPr>
          <w:trHeight w:val="300"/>
        </w:trPr>
        <w:tc>
          <w:tcPr>
            <w:tcW w:w="6804" w:type="dxa"/>
            <w:gridSpan w:val="2"/>
            <w:tcBorders>
              <w:top w:val="nil"/>
              <w:left w:val="nil"/>
              <w:bottom w:val="single" w:color="auto" w:sz="4" w:space="0"/>
              <w:right w:val="nil"/>
            </w:tcBorders>
            <w:noWrap/>
            <w:hideMark/>
          </w:tcPr>
          <w:p w:rsidRPr="004431DE" w:rsidR="0065120A" w:rsidP="00BC3A1F" w:rsidRDefault="0065120A" w14:paraId="60BBB468" w14:textId="77777777">
            <w:pPr>
              <w:rPr>
                <w:rFonts w:ascii="Arial" w:hAnsi="Arial" w:eastAsia="Times New Roman" w:cs="Arial"/>
                <w:b/>
                <w:bCs/>
                <w:sz w:val="20"/>
                <w:szCs w:val="20"/>
              </w:rPr>
            </w:pPr>
            <w:r w:rsidRPr="004431DE">
              <w:rPr>
                <w:rFonts w:ascii="Arial" w:hAnsi="Arial"/>
                <w:b/>
                <w:sz w:val="20"/>
              </w:rPr>
              <w:t xml:space="preserve">Sekcja 19 – Pozycje dotyczące zastępowalności/infrastruktury finansowej  </w:t>
            </w:r>
          </w:p>
        </w:tc>
        <w:tc>
          <w:tcPr>
            <w:tcW w:w="2745" w:type="dxa"/>
            <w:tcBorders>
              <w:top w:val="nil"/>
              <w:left w:val="nil"/>
              <w:right w:val="nil"/>
            </w:tcBorders>
            <w:hideMark/>
          </w:tcPr>
          <w:p w:rsidRPr="004431DE" w:rsidR="0065120A" w:rsidP="00BC3A1F" w:rsidRDefault="0065120A" w14:paraId="1C04E8E7"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7738F94C" w14:textId="77777777">
        <w:trPr>
          <w:trHeight w:val="300"/>
        </w:trPr>
        <w:tc>
          <w:tcPr>
            <w:tcW w:w="6804" w:type="dxa"/>
            <w:gridSpan w:val="2"/>
            <w:tcBorders>
              <w:left w:val="nil"/>
              <w:right w:val="nil"/>
            </w:tcBorders>
            <w:noWrap/>
          </w:tcPr>
          <w:p w:rsidRPr="004431DE" w:rsidR="0065120A" w:rsidP="00BC3A1F" w:rsidRDefault="0065120A" w14:paraId="3A9990AA" w14:textId="77777777">
            <w:pPr>
              <w:ind w:left="171" w:firstLine="28" w:firstLineChars="14"/>
              <w:rPr>
                <w:rFonts w:ascii="Arial" w:hAnsi="Arial" w:eastAsia="Times New Roman" w:cs="Arial"/>
                <w:sz w:val="20"/>
                <w:szCs w:val="20"/>
              </w:rPr>
            </w:pPr>
            <w:r w:rsidRPr="004431DE">
              <w:rPr>
                <w:rFonts w:ascii="Arial" w:hAnsi="Arial"/>
                <w:sz w:val="20"/>
              </w:rPr>
              <w:t>a. Wolumen obrotu papierami wartościowymi wyemitowanymi przez rządy, z wyłączeniem transakcji wewnątrzgrupowych</w:t>
            </w:r>
          </w:p>
        </w:tc>
        <w:tc>
          <w:tcPr>
            <w:tcW w:w="2745" w:type="dxa"/>
            <w:tcBorders>
              <w:left w:val="nil"/>
              <w:right w:val="nil"/>
            </w:tcBorders>
            <w:noWrap/>
          </w:tcPr>
          <w:p w:rsidRPr="004431DE" w:rsidR="0065120A" w:rsidP="00BC3A1F" w:rsidRDefault="0065120A" w14:paraId="304F8F4B" w14:textId="77777777">
            <w:pPr>
              <w:jc w:val="right"/>
              <w:rPr>
                <w:rFonts w:ascii="Arial" w:hAnsi="Arial" w:eastAsia="Times New Roman" w:cs="Arial"/>
                <w:sz w:val="20"/>
                <w:szCs w:val="20"/>
                <w:lang w:eastAsia="en-GB"/>
              </w:rPr>
            </w:pPr>
          </w:p>
        </w:tc>
      </w:tr>
      <w:tr w:rsidRPr="004431DE" w:rsidR="0065120A" w:rsidTr="00BC3A1F" w14:paraId="2F8D305A" w14:textId="77777777">
        <w:trPr>
          <w:trHeight w:val="300"/>
        </w:trPr>
        <w:tc>
          <w:tcPr>
            <w:tcW w:w="6804" w:type="dxa"/>
            <w:gridSpan w:val="2"/>
            <w:tcBorders>
              <w:left w:val="nil"/>
              <w:right w:val="nil"/>
            </w:tcBorders>
            <w:noWrap/>
          </w:tcPr>
          <w:p w:rsidRPr="004431DE" w:rsidR="0065120A" w:rsidP="00BC3A1F" w:rsidRDefault="0065120A" w14:paraId="5FC0DCA2" w14:textId="77777777">
            <w:pPr>
              <w:ind w:left="171"/>
              <w:rPr>
                <w:rFonts w:ascii="Arial" w:hAnsi="Arial" w:eastAsia="Times New Roman" w:cs="Arial"/>
                <w:sz w:val="20"/>
                <w:szCs w:val="20"/>
              </w:rPr>
            </w:pPr>
            <w:r w:rsidRPr="004431DE">
              <w:rPr>
                <w:rFonts w:ascii="Arial" w:hAnsi="Arial"/>
                <w:sz w:val="20"/>
              </w:rPr>
              <w:t>b. Początkowy depozyt zabezpieczający przekazany kontrahentom centralnym (CCP) w imieniu klientów</w:t>
            </w:r>
          </w:p>
        </w:tc>
        <w:tc>
          <w:tcPr>
            <w:tcW w:w="2745" w:type="dxa"/>
            <w:tcBorders>
              <w:left w:val="nil"/>
              <w:right w:val="nil"/>
            </w:tcBorders>
            <w:noWrap/>
          </w:tcPr>
          <w:p w:rsidRPr="004431DE" w:rsidR="0065120A" w:rsidP="00BC3A1F" w:rsidRDefault="0065120A" w14:paraId="04DD0ECB" w14:textId="77777777">
            <w:pPr>
              <w:jc w:val="right"/>
              <w:rPr>
                <w:rFonts w:ascii="Arial" w:hAnsi="Arial" w:eastAsia="Times New Roman" w:cs="Arial"/>
                <w:sz w:val="20"/>
                <w:szCs w:val="20"/>
                <w:lang w:eastAsia="en-GB"/>
              </w:rPr>
            </w:pPr>
          </w:p>
        </w:tc>
      </w:tr>
      <w:tr w:rsidRPr="004431DE" w:rsidR="0065120A" w:rsidTr="00BC3A1F" w14:paraId="491E7089" w14:textId="77777777">
        <w:trPr>
          <w:trHeight w:val="300"/>
        </w:trPr>
        <w:tc>
          <w:tcPr>
            <w:tcW w:w="6804" w:type="dxa"/>
            <w:gridSpan w:val="2"/>
            <w:tcBorders>
              <w:left w:val="nil"/>
              <w:right w:val="nil"/>
            </w:tcBorders>
            <w:noWrap/>
          </w:tcPr>
          <w:p w:rsidRPr="004431DE" w:rsidR="0065120A" w:rsidP="00BC3A1F" w:rsidRDefault="0065120A" w14:paraId="5684C5C9" w14:textId="77777777">
            <w:pPr>
              <w:ind w:firstLine="200" w:firstLineChars="100"/>
              <w:rPr>
                <w:rFonts w:ascii="Arial" w:hAnsi="Arial" w:eastAsia="Times New Roman" w:cs="Arial"/>
                <w:sz w:val="20"/>
                <w:szCs w:val="20"/>
              </w:rPr>
            </w:pPr>
            <w:r w:rsidRPr="004431DE">
              <w:rPr>
                <w:rFonts w:ascii="Arial" w:hAnsi="Arial"/>
                <w:sz w:val="20"/>
              </w:rPr>
              <w:t>c. Początkowy depozyt zabezpieczający przekazany CCP na rachunek własny grupy sprawozdającej</w:t>
            </w:r>
          </w:p>
        </w:tc>
        <w:tc>
          <w:tcPr>
            <w:tcW w:w="2745" w:type="dxa"/>
            <w:tcBorders>
              <w:left w:val="nil"/>
              <w:right w:val="nil"/>
            </w:tcBorders>
            <w:noWrap/>
          </w:tcPr>
          <w:p w:rsidRPr="004431DE" w:rsidR="0065120A" w:rsidP="00BC3A1F" w:rsidRDefault="0065120A" w14:paraId="3EA488BC" w14:textId="77777777">
            <w:pPr>
              <w:jc w:val="right"/>
              <w:rPr>
                <w:rFonts w:ascii="Arial" w:hAnsi="Arial" w:eastAsia="Times New Roman" w:cs="Arial"/>
                <w:sz w:val="20"/>
                <w:szCs w:val="20"/>
                <w:lang w:eastAsia="en-GB"/>
              </w:rPr>
            </w:pPr>
          </w:p>
        </w:tc>
      </w:tr>
      <w:tr w:rsidRPr="004431DE" w:rsidR="0065120A" w:rsidTr="00BC3A1F" w14:paraId="5E33C0C5" w14:textId="77777777">
        <w:trPr>
          <w:trHeight w:val="300"/>
        </w:trPr>
        <w:tc>
          <w:tcPr>
            <w:tcW w:w="6804" w:type="dxa"/>
            <w:gridSpan w:val="2"/>
            <w:tcBorders>
              <w:left w:val="nil"/>
              <w:right w:val="nil"/>
            </w:tcBorders>
            <w:noWrap/>
            <w:hideMark/>
          </w:tcPr>
          <w:p w:rsidRPr="004431DE" w:rsidR="0065120A" w:rsidP="00BC3A1F" w:rsidRDefault="0065120A" w14:paraId="2FD00240" w14:textId="77777777">
            <w:pPr>
              <w:ind w:firstLine="200" w:firstLineChars="100"/>
              <w:rPr>
                <w:rFonts w:ascii="Arial" w:hAnsi="Arial" w:eastAsia="Times New Roman" w:cs="Arial"/>
                <w:sz w:val="20"/>
                <w:szCs w:val="20"/>
              </w:rPr>
            </w:pPr>
            <w:r w:rsidRPr="004431DE">
              <w:rPr>
                <w:rFonts w:ascii="Arial" w:hAnsi="Arial"/>
                <w:sz w:val="20"/>
              </w:rPr>
              <w:t>d. Wpłaty do funduszu na wypadek niewykonania zobowiązania, przekazane CCP</w:t>
            </w:r>
          </w:p>
        </w:tc>
        <w:tc>
          <w:tcPr>
            <w:tcW w:w="2745" w:type="dxa"/>
            <w:tcBorders>
              <w:left w:val="nil"/>
              <w:right w:val="nil"/>
            </w:tcBorders>
            <w:noWrap/>
            <w:hideMark/>
          </w:tcPr>
          <w:p w:rsidRPr="004431DE" w:rsidR="0065120A" w:rsidP="00BC3A1F" w:rsidRDefault="0065120A" w14:paraId="59F319DB"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080F3E9D" w14:textId="77777777">
        <w:trPr>
          <w:trHeight w:val="300"/>
        </w:trPr>
        <w:tc>
          <w:tcPr>
            <w:tcW w:w="6804" w:type="dxa"/>
            <w:gridSpan w:val="2"/>
            <w:tcBorders>
              <w:left w:val="nil"/>
              <w:right w:val="nil"/>
            </w:tcBorders>
            <w:noWrap/>
            <w:hideMark/>
          </w:tcPr>
          <w:p w:rsidRPr="004431DE" w:rsidR="0065120A" w:rsidP="00BC3A1F" w:rsidRDefault="0065120A" w14:paraId="02773A15" w14:textId="77777777">
            <w:pPr>
              <w:ind w:firstLine="200" w:firstLineChars="100"/>
              <w:rPr>
                <w:rFonts w:ascii="Arial" w:hAnsi="Arial" w:eastAsia="Times New Roman" w:cs="Arial"/>
                <w:sz w:val="20"/>
                <w:szCs w:val="20"/>
              </w:rPr>
            </w:pPr>
            <w:r w:rsidRPr="004431DE">
              <w:rPr>
                <w:rFonts w:ascii="Arial" w:hAnsi="Arial"/>
                <w:sz w:val="20"/>
              </w:rPr>
              <w:t>e. Inne instrumenty przekazane CCP</w:t>
            </w:r>
          </w:p>
        </w:tc>
        <w:tc>
          <w:tcPr>
            <w:tcW w:w="2745" w:type="dxa"/>
            <w:tcBorders>
              <w:left w:val="nil"/>
              <w:right w:val="nil"/>
            </w:tcBorders>
            <w:noWrap/>
            <w:hideMark/>
          </w:tcPr>
          <w:p w:rsidRPr="004431DE" w:rsidR="0065120A" w:rsidP="00BC3A1F" w:rsidRDefault="0065120A" w14:paraId="32FBFC6A"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2D55C244" w14:textId="77777777">
        <w:trPr>
          <w:gridAfter w:val="1"/>
          <w:wAfter w:w="2745" w:type="dxa"/>
          <w:trHeight w:val="300"/>
        </w:trPr>
        <w:tc>
          <w:tcPr>
            <w:tcW w:w="6804" w:type="dxa"/>
            <w:gridSpan w:val="2"/>
            <w:tcBorders>
              <w:left w:val="nil"/>
              <w:right w:val="nil"/>
            </w:tcBorders>
            <w:noWrap/>
            <w:hideMark/>
          </w:tcPr>
          <w:p w:rsidRPr="004431DE" w:rsidR="0065120A" w:rsidP="00BC3A1F" w:rsidRDefault="0065120A" w14:paraId="4BE1B7D2" w14:textId="77777777">
            <w:pPr>
              <w:ind w:left="171"/>
              <w:rPr>
                <w:rFonts w:ascii="Arial" w:hAnsi="Arial" w:eastAsia="Times New Roman" w:cs="Arial"/>
                <w:sz w:val="20"/>
                <w:szCs w:val="20"/>
              </w:rPr>
            </w:pPr>
            <w:r w:rsidRPr="004431DE">
              <w:rPr>
                <w:rFonts w:ascii="Arial" w:hAnsi="Arial"/>
                <w:sz w:val="20"/>
              </w:rPr>
              <w:t>f. Świadczenie usług rozrachunkowych w związku z transakcjami rozliczanymi centralnie</w:t>
            </w:r>
          </w:p>
        </w:tc>
      </w:tr>
      <w:tr w:rsidRPr="004431DE" w:rsidR="0065120A" w:rsidTr="00BC3A1F" w14:paraId="011597D9" w14:textId="77777777">
        <w:trPr>
          <w:trHeight w:val="300"/>
        </w:trPr>
        <w:tc>
          <w:tcPr>
            <w:tcW w:w="6804" w:type="dxa"/>
            <w:gridSpan w:val="2"/>
            <w:tcBorders>
              <w:left w:val="nil"/>
              <w:right w:val="nil"/>
            </w:tcBorders>
            <w:noWrap/>
            <w:hideMark/>
          </w:tcPr>
          <w:p w:rsidRPr="004431DE" w:rsidR="0065120A" w:rsidP="00BC3A1F" w:rsidRDefault="0065120A" w14:paraId="4E0A6F69" w14:textId="77777777">
            <w:pPr>
              <w:ind w:firstLine="200" w:firstLineChars="100"/>
              <w:rPr>
                <w:rFonts w:ascii="Arial" w:hAnsi="Arial" w:eastAsia="Times New Roman" w:cs="Arial"/>
                <w:sz w:val="20"/>
                <w:szCs w:val="20"/>
              </w:rPr>
            </w:pPr>
            <w:r w:rsidRPr="004431DE">
              <w:rPr>
                <w:rFonts w:ascii="Arial" w:hAnsi="Arial"/>
                <w:sz w:val="20"/>
              </w:rPr>
              <w:t xml:space="preserve">g. Kwartalna średnia wartość przechowywanych aktywów </w:t>
            </w:r>
          </w:p>
        </w:tc>
        <w:tc>
          <w:tcPr>
            <w:tcW w:w="2745" w:type="dxa"/>
            <w:tcBorders>
              <w:left w:val="nil"/>
              <w:right w:val="nil"/>
            </w:tcBorders>
            <w:noWrap/>
            <w:hideMark/>
          </w:tcPr>
          <w:p w:rsidRPr="004431DE" w:rsidR="0065120A" w:rsidP="00BC3A1F" w:rsidRDefault="0065120A" w14:paraId="0160FEA4"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8FC2F37" w14:textId="77777777">
        <w:trPr>
          <w:trHeight w:val="300"/>
        </w:trPr>
        <w:tc>
          <w:tcPr>
            <w:tcW w:w="6804" w:type="dxa"/>
            <w:gridSpan w:val="2"/>
            <w:tcBorders>
              <w:left w:val="nil"/>
              <w:bottom w:val="single" w:color="auto" w:sz="4" w:space="0"/>
              <w:right w:val="nil"/>
            </w:tcBorders>
            <w:noWrap/>
            <w:hideMark/>
          </w:tcPr>
          <w:p w:rsidRPr="004431DE" w:rsidR="0065120A" w:rsidP="00BC3A1F" w:rsidRDefault="0065120A" w14:paraId="346F1123" w14:textId="77777777">
            <w:pPr>
              <w:ind w:firstLine="200" w:firstLineChars="100"/>
              <w:rPr>
                <w:rFonts w:ascii="Arial" w:hAnsi="Arial" w:eastAsia="Times New Roman" w:cs="Arial"/>
                <w:sz w:val="20"/>
                <w:szCs w:val="20"/>
              </w:rPr>
            </w:pPr>
            <w:r w:rsidRPr="004431DE">
              <w:rPr>
                <w:rFonts w:ascii="Arial" w:hAnsi="Arial"/>
                <w:sz w:val="20"/>
              </w:rPr>
              <w:t xml:space="preserve">h. Miesięczna średnia wartość przechowywanych aktywów </w:t>
            </w:r>
          </w:p>
        </w:tc>
        <w:tc>
          <w:tcPr>
            <w:tcW w:w="2745" w:type="dxa"/>
            <w:tcBorders>
              <w:left w:val="nil"/>
              <w:bottom w:val="single" w:color="auto" w:sz="4" w:space="0"/>
              <w:right w:val="nil"/>
            </w:tcBorders>
            <w:noWrap/>
            <w:hideMark/>
          </w:tcPr>
          <w:p w:rsidRPr="004431DE" w:rsidR="0065120A" w:rsidP="00BC3A1F" w:rsidRDefault="0065120A" w14:paraId="23F13E9F"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A69A9C1" w14:textId="77777777">
        <w:trPr>
          <w:trHeight w:val="300"/>
        </w:trPr>
        <w:tc>
          <w:tcPr>
            <w:tcW w:w="6804" w:type="dxa"/>
            <w:gridSpan w:val="2"/>
            <w:tcBorders>
              <w:left w:val="nil"/>
              <w:bottom w:val="nil"/>
              <w:right w:val="nil"/>
            </w:tcBorders>
            <w:noWrap/>
          </w:tcPr>
          <w:p w:rsidRPr="004431DE" w:rsidR="0065120A" w:rsidP="00BC3A1F" w:rsidRDefault="0065120A" w14:paraId="7DAC442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431DE" w:rsidR="0065120A" w:rsidP="00BC3A1F" w:rsidRDefault="0065120A" w14:paraId="54C09038" w14:textId="77777777">
            <w:pPr>
              <w:jc w:val="center"/>
              <w:rPr>
                <w:rFonts w:ascii="Arial" w:hAnsi="Arial" w:eastAsia="Times New Roman" w:cs="Arial"/>
                <w:b/>
                <w:bCs/>
                <w:sz w:val="20"/>
                <w:szCs w:val="20"/>
                <w:lang w:eastAsia="en-GB"/>
              </w:rPr>
            </w:pPr>
          </w:p>
        </w:tc>
      </w:tr>
      <w:tr w:rsidRPr="004431DE" w:rsidR="0065120A" w:rsidTr="00BC3A1F" w14:paraId="53C7C4E0" w14:textId="77777777">
        <w:trPr>
          <w:trHeight w:val="300"/>
        </w:trPr>
        <w:tc>
          <w:tcPr>
            <w:tcW w:w="6804" w:type="dxa"/>
            <w:gridSpan w:val="2"/>
            <w:tcBorders>
              <w:top w:val="nil"/>
              <w:left w:val="nil"/>
              <w:right w:val="nil"/>
            </w:tcBorders>
            <w:noWrap/>
            <w:hideMark/>
          </w:tcPr>
          <w:p w:rsidRPr="004431DE" w:rsidR="0065120A" w:rsidP="00BC3A1F" w:rsidRDefault="0065120A" w14:paraId="42A24328" w14:textId="77777777">
            <w:pPr>
              <w:rPr>
                <w:rFonts w:ascii="Arial" w:hAnsi="Arial" w:eastAsia="Times New Roman" w:cs="Arial"/>
                <w:b/>
                <w:bCs/>
                <w:sz w:val="20"/>
                <w:szCs w:val="20"/>
              </w:rPr>
            </w:pPr>
            <w:r w:rsidRPr="004431DE">
              <w:rPr>
                <w:rFonts w:ascii="Arial" w:hAnsi="Arial"/>
                <w:b/>
                <w:sz w:val="20"/>
              </w:rPr>
              <w:t>Sekcja 20 – Pozycje dotyczące złożoności</w:t>
            </w:r>
          </w:p>
        </w:tc>
        <w:tc>
          <w:tcPr>
            <w:tcW w:w="2745" w:type="dxa"/>
            <w:tcBorders>
              <w:top w:val="nil"/>
              <w:left w:val="nil"/>
              <w:right w:val="nil"/>
            </w:tcBorders>
            <w:hideMark/>
          </w:tcPr>
          <w:p w:rsidRPr="004431DE" w:rsidR="0065120A" w:rsidP="00BC3A1F" w:rsidRDefault="0065120A" w14:paraId="65F71AB0"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3129026A" w14:textId="77777777">
        <w:trPr>
          <w:trHeight w:val="300"/>
        </w:trPr>
        <w:tc>
          <w:tcPr>
            <w:tcW w:w="6804" w:type="dxa"/>
            <w:gridSpan w:val="2"/>
            <w:tcBorders>
              <w:left w:val="nil"/>
              <w:right w:val="nil"/>
            </w:tcBorders>
            <w:noWrap/>
            <w:hideMark/>
          </w:tcPr>
          <w:p w:rsidRPr="004431DE" w:rsidR="0065120A" w:rsidP="00BC3A1F" w:rsidRDefault="0065120A" w14:paraId="31D8B7A4" w14:textId="77777777">
            <w:pPr>
              <w:ind w:firstLine="200" w:firstLineChars="100"/>
              <w:rPr>
                <w:rFonts w:ascii="Arial" w:hAnsi="Arial" w:eastAsia="Times New Roman" w:cs="Arial"/>
                <w:sz w:val="20"/>
                <w:szCs w:val="20"/>
              </w:rPr>
            </w:pPr>
            <w:r w:rsidRPr="004431DE">
              <w:rPr>
                <w:rFonts w:ascii="Arial" w:hAnsi="Arial"/>
                <w:sz w:val="20"/>
              </w:rPr>
              <w:lastRenderedPageBreak/>
              <w:t>a. Wskaźnik instrumentów pochodnych poza rynkiem regulowanym (stary wskaźnik)</w:t>
            </w:r>
          </w:p>
        </w:tc>
        <w:tc>
          <w:tcPr>
            <w:tcW w:w="2745" w:type="dxa"/>
            <w:tcBorders>
              <w:left w:val="nil"/>
              <w:right w:val="nil"/>
            </w:tcBorders>
            <w:noWrap/>
            <w:hideMark/>
          </w:tcPr>
          <w:p w:rsidRPr="004431DE" w:rsidR="0065120A" w:rsidP="00BC3A1F" w:rsidRDefault="0065120A" w14:paraId="6209E87E" w14:textId="77777777">
            <w:pPr>
              <w:jc w:val="right"/>
              <w:rPr>
                <w:rFonts w:ascii="Arial" w:hAnsi="Arial" w:eastAsia="Times New Roman" w:cs="Arial"/>
                <w:sz w:val="20"/>
                <w:szCs w:val="20"/>
              </w:rPr>
            </w:pPr>
            <w:r w:rsidRPr="004431DE">
              <w:rPr>
                <w:rFonts w:ascii="Arial" w:hAnsi="Arial"/>
                <w:sz w:val="20"/>
              </w:rPr>
              <w:t> </w:t>
            </w:r>
          </w:p>
        </w:tc>
      </w:tr>
      <w:tr w:rsidRPr="004431DE" w:rsidR="0065120A" w:rsidTr="00BC3A1F" w14:paraId="786EF26B" w14:textId="77777777">
        <w:trPr>
          <w:trHeight w:val="300"/>
        </w:trPr>
        <w:tc>
          <w:tcPr>
            <w:tcW w:w="6804" w:type="dxa"/>
            <w:gridSpan w:val="2"/>
            <w:tcBorders>
              <w:left w:val="nil"/>
              <w:right w:val="nil"/>
            </w:tcBorders>
            <w:noWrap/>
          </w:tcPr>
          <w:p w:rsidRPr="004431DE" w:rsidR="0065120A" w:rsidP="00BC3A1F" w:rsidRDefault="0065120A" w14:paraId="0D4E71C8" w14:textId="77777777">
            <w:pPr>
              <w:ind w:left="171" w:firstLine="28" w:firstLineChars="14"/>
              <w:rPr>
                <w:rFonts w:ascii="Arial" w:hAnsi="Arial" w:eastAsia="Times New Roman" w:cs="Arial"/>
                <w:sz w:val="20"/>
                <w:szCs w:val="20"/>
              </w:rPr>
            </w:pPr>
            <w:r w:rsidRPr="004431DE">
              <w:rPr>
                <w:rFonts w:ascii="Arial" w:hAnsi="Arial"/>
                <w:sz w:val="20"/>
              </w:rPr>
              <w:t>b. Wartość nominalna instrumentów pochodnych poza rynkiem regulowanym, w tym dotyczących jednostek zależnych prowadzących działalność ubezpieczeniową</w:t>
            </w:r>
          </w:p>
        </w:tc>
        <w:tc>
          <w:tcPr>
            <w:tcW w:w="2745" w:type="dxa"/>
            <w:tcBorders>
              <w:left w:val="nil"/>
              <w:right w:val="nil"/>
            </w:tcBorders>
            <w:noWrap/>
          </w:tcPr>
          <w:p w:rsidRPr="004431DE" w:rsidR="0065120A" w:rsidP="00BC3A1F" w:rsidRDefault="0065120A" w14:paraId="156FADE5" w14:textId="77777777">
            <w:pPr>
              <w:jc w:val="right"/>
              <w:rPr>
                <w:rFonts w:ascii="Arial" w:hAnsi="Arial" w:eastAsia="Times New Roman" w:cs="Arial"/>
                <w:sz w:val="20"/>
                <w:szCs w:val="20"/>
                <w:lang w:eastAsia="en-GB"/>
              </w:rPr>
            </w:pPr>
          </w:p>
        </w:tc>
      </w:tr>
      <w:tr w:rsidRPr="004431DE" w:rsidR="0065120A" w:rsidTr="00BC3A1F" w14:paraId="170BCFFB" w14:textId="77777777">
        <w:trPr>
          <w:trHeight w:val="300"/>
        </w:trPr>
        <w:tc>
          <w:tcPr>
            <w:tcW w:w="6804" w:type="dxa"/>
            <w:gridSpan w:val="2"/>
            <w:tcBorders>
              <w:left w:val="nil"/>
              <w:right w:val="nil"/>
            </w:tcBorders>
            <w:noWrap/>
          </w:tcPr>
          <w:p w:rsidRPr="004431DE" w:rsidR="0065120A" w:rsidP="00BC3A1F" w:rsidRDefault="0065120A" w14:paraId="5356F6F8" w14:textId="77777777">
            <w:pPr>
              <w:ind w:left="313"/>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Rozliczanych za pośrednictwem CCP, w przypadku gdy grupa (w tym jednostki zależne prowadzące działalność ubezpieczeniową) działa jako pośrednik finansowy (etap CCP)</w:t>
            </w:r>
          </w:p>
        </w:tc>
        <w:tc>
          <w:tcPr>
            <w:tcW w:w="2745" w:type="dxa"/>
            <w:tcBorders>
              <w:left w:val="nil"/>
              <w:right w:val="nil"/>
            </w:tcBorders>
            <w:noWrap/>
          </w:tcPr>
          <w:p w:rsidRPr="004431DE" w:rsidR="0065120A" w:rsidP="00BC3A1F" w:rsidRDefault="0065120A" w14:paraId="4A4D6AED" w14:textId="77777777">
            <w:pPr>
              <w:jc w:val="right"/>
              <w:rPr>
                <w:rFonts w:ascii="Arial" w:hAnsi="Arial" w:eastAsia="Times New Roman" w:cs="Arial"/>
                <w:sz w:val="20"/>
                <w:szCs w:val="20"/>
                <w:lang w:eastAsia="en-GB"/>
              </w:rPr>
            </w:pPr>
          </w:p>
        </w:tc>
      </w:tr>
      <w:tr w:rsidRPr="004431DE" w:rsidR="0065120A" w:rsidTr="00BC3A1F" w14:paraId="24AD601A" w14:textId="77777777">
        <w:trPr>
          <w:trHeight w:val="300"/>
        </w:trPr>
        <w:tc>
          <w:tcPr>
            <w:tcW w:w="6804" w:type="dxa"/>
            <w:gridSpan w:val="2"/>
            <w:tcBorders>
              <w:left w:val="nil"/>
              <w:right w:val="nil"/>
            </w:tcBorders>
            <w:noWrap/>
          </w:tcPr>
          <w:p w:rsidRPr="004431DE" w:rsidR="0065120A" w:rsidP="00BC3A1F" w:rsidRDefault="0065120A" w14:paraId="3B368768" w14:textId="77777777">
            <w:pPr>
              <w:ind w:left="313" w:firstLine="58" w:firstLineChars="29"/>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 xml:space="preserve">Rozliczanych za pośrednictwem CCP, przypadku gdy grupa (w tym jednostki zależne prowadzące działalność ubezpieczeniową) działa jako pośrednik finansowy (etap klienta) </w:t>
            </w:r>
          </w:p>
        </w:tc>
        <w:tc>
          <w:tcPr>
            <w:tcW w:w="2745" w:type="dxa"/>
            <w:tcBorders>
              <w:left w:val="nil"/>
              <w:right w:val="nil"/>
            </w:tcBorders>
            <w:noWrap/>
          </w:tcPr>
          <w:p w:rsidRPr="004431DE" w:rsidR="0065120A" w:rsidP="00BC3A1F" w:rsidRDefault="0065120A" w14:paraId="35F5759A" w14:textId="77777777">
            <w:pPr>
              <w:jc w:val="right"/>
              <w:rPr>
                <w:rFonts w:ascii="Arial" w:hAnsi="Arial" w:eastAsia="Times New Roman" w:cs="Arial"/>
                <w:sz w:val="20"/>
                <w:szCs w:val="20"/>
                <w:lang w:eastAsia="en-GB"/>
              </w:rPr>
            </w:pPr>
          </w:p>
        </w:tc>
      </w:tr>
      <w:tr w:rsidRPr="004431DE" w:rsidR="0065120A" w:rsidTr="00BC3A1F" w14:paraId="415B05C9" w14:textId="77777777">
        <w:trPr>
          <w:trHeight w:val="300"/>
        </w:trPr>
        <w:tc>
          <w:tcPr>
            <w:tcW w:w="6804" w:type="dxa"/>
            <w:gridSpan w:val="2"/>
            <w:tcBorders>
              <w:left w:val="nil"/>
              <w:right w:val="nil"/>
            </w:tcBorders>
            <w:noWrap/>
          </w:tcPr>
          <w:p w:rsidRPr="004431DE" w:rsidR="0065120A" w:rsidP="00BC3A1F" w:rsidRDefault="0065120A" w14:paraId="2A4C800A" w14:textId="77777777">
            <w:pPr>
              <w:ind w:left="313"/>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 xml:space="preserve">Rozliczanych za pośrednictwem CCP, w przypadku gdy grupa (w tym jednostki zależne prowadzące działalność ubezpieczeniową) działa jako agent </w:t>
            </w:r>
          </w:p>
        </w:tc>
        <w:tc>
          <w:tcPr>
            <w:tcW w:w="2745" w:type="dxa"/>
            <w:tcBorders>
              <w:left w:val="nil"/>
              <w:right w:val="nil"/>
            </w:tcBorders>
            <w:noWrap/>
          </w:tcPr>
          <w:p w:rsidRPr="004431DE" w:rsidR="0065120A" w:rsidP="00BC3A1F" w:rsidRDefault="0065120A" w14:paraId="53D8DB1F" w14:textId="77777777">
            <w:pPr>
              <w:jc w:val="right"/>
              <w:rPr>
                <w:rFonts w:ascii="Arial" w:hAnsi="Arial" w:eastAsia="Times New Roman" w:cs="Arial"/>
                <w:sz w:val="20"/>
                <w:szCs w:val="20"/>
                <w:lang w:eastAsia="en-GB"/>
              </w:rPr>
            </w:pPr>
          </w:p>
        </w:tc>
      </w:tr>
      <w:tr w:rsidRPr="004431DE" w:rsidR="0065120A" w:rsidTr="00BC3A1F" w14:paraId="29500B9A" w14:textId="77777777">
        <w:trPr>
          <w:trHeight w:val="300"/>
        </w:trPr>
        <w:tc>
          <w:tcPr>
            <w:tcW w:w="6804" w:type="dxa"/>
            <w:gridSpan w:val="2"/>
            <w:tcBorders>
              <w:left w:val="nil"/>
              <w:right w:val="nil"/>
            </w:tcBorders>
            <w:noWrap/>
          </w:tcPr>
          <w:p w:rsidRPr="004431DE" w:rsidR="0065120A" w:rsidP="00BC3A1F" w:rsidRDefault="0065120A" w14:paraId="5BF9BB79" w14:textId="77777777">
            <w:pPr>
              <w:ind w:left="313" w:hanging="1"/>
              <w:rPr>
                <w:rFonts w:ascii="Arial" w:hAnsi="Arial" w:eastAsia="Times New Roman" w:cs="Arial"/>
                <w:sz w:val="20"/>
                <w:szCs w:val="20"/>
              </w:rPr>
            </w:pPr>
            <w:r w:rsidRPr="004431DE">
              <w:rPr>
                <w:rFonts w:ascii="Arial" w:hAnsi="Arial"/>
                <w:sz w:val="20"/>
                <w:lang w:eastAsia="en-GB"/>
              </w:rPr>
              <w:t xml:space="preserve">(4) </w:t>
            </w:r>
            <w:r w:rsidRPr="004431DE">
              <w:rPr>
                <w:rFonts w:ascii="Arial" w:hAnsi="Arial"/>
                <w:sz w:val="20"/>
              </w:rPr>
              <w:t>Rozliczanych za pośrednictwem CCP, w przypadku gdy grupa (w tym jednostki zależne prowadzące działalność ubezpieczeniową) dokonuje transakcji na własny rachunek</w:t>
            </w:r>
          </w:p>
        </w:tc>
        <w:tc>
          <w:tcPr>
            <w:tcW w:w="2745" w:type="dxa"/>
            <w:tcBorders>
              <w:left w:val="nil"/>
              <w:right w:val="nil"/>
            </w:tcBorders>
            <w:noWrap/>
          </w:tcPr>
          <w:p w:rsidRPr="004431DE" w:rsidR="0065120A" w:rsidP="00BC3A1F" w:rsidRDefault="0065120A" w14:paraId="1699E76D" w14:textId="77777777">
            <w:pPr>
              <w:jc w:val="right"/>
              <w:rPr>
                <w:rFonts w:ascii="Arial" w:hAnsi="Arial" w:eastAsia="Times New Roman" w:cs="Arial"/>
                <w:sz w:val="20"/>
                <w:szCs w:val="20"/>
                <w:lang w:eastAsia="en-GB"/>
              </w:rPr>
            </w:pPr>
          </w:p>
        </w:tc>
      </w:tr>
      <w:tr w:rsidRPr="004431DE" w:rsidR="0065120A" w:rsidTr="00BC3A1F" w14:paraId="36AF37B7" w14:textId="77777777">
        <w:trPr>
          <w:trHeight w:val="300"/>
        </w:trPr>
        <w:tc>
          <w:tcPr>
            <w:tcW w:w="6804" w:type="dxa"/>
            <w:gridSpan w:val="2"/>
            <w:tcBorders>
              <w:left w:val="nil"/>
              <w:right w:val="nil"/>
            </w:tcBorders>
            <w:noWrap/>
          </w:tcPr>
          <w:p w:rsidRPr="004431DE" w:rsidR="0065120A" w:rsidP="00BC3A1F" w:rsidRDefault="0065120A" w14:paraId="7ED9E5F6" w14:textId="77777777">
            <w:pPr>
              <w:ind w:left="171" w:firstLine="28" w:firstLineChars="14"/>
              <w:rPr>
                <w:rFonts w:ascii="Arial" w:hAnsi="Arial" w:eastAsia="Times New Roman" w:cs="Arial"/>
                <w:sz w:val="20"/>
                <w:szCs w:val="20"/>
              </w:rPr>
            </w:pPr>
            <w:r w:rsidRPr="004431DE">
              <w:rPr>
                <w:rFonts w:ascii="Arial" w:hAnsi="Arial"/>
                <w:sz w:val="20"/>
              </w:rPr>
              <w:t>c. Instrumenty pochodne poza rynkiem regulowanym (OTC) rozliczane za pośrednictwem CCP (wyłączenie przejścia na LIBOR)</w:t>
            </w:r>
          </w:p>
        </w:tc>
        <w:tc>
          <w:tcPr>
            <w:tcW w:w="2745" w:type="dxa"/>
            <w:tcBorders>
              <w:left w:val="nil"/>
              <w:right w:val="nil"/>
            </w:tcBorders>
            <w:noWrap/>
          </w:tcPr>
          <w:p w:rsidRPr="004431DE" w:rsidR="0065120A" w:rsidP="00BC3A1F" w:rsidRDefault="0065120A" w14:paraId="08581877" w14:textId="77777777">
            <w:pPr>
              <w:jc w:val="right"/>
              <w:rPr>
                <w:rFonts w:ascii="Arial" w:hAnsi="Arial" w:eastAsia="Times New Roman" w:cs="Arial"/>
                <w:sz w:val="20"/>
                <w:szCs w:val="20"/>
                <w:lang w:eastAsia="en-GB"/>
              </w:rPr>
            </w:pPr>
          </w:p>
        </w:tc>
      </w:tr>
      <w:tr w:rsidRPr="004431DE" w:rsidR="0065120A" w:rsidTr="00BC3A1F" w14:paraId="17904EE2" w14:textId="77777777">
        <w:trPr>
          <w:trHeight w:val="300"/>
        </w:trPr>
        <w:tc>
          <w:tcPr>
            <w:tcW w:w="6804" w:type="dxa"/>
            <w:gridSpan w:val="2"/>
            <w:tcBorders>
              <w:left w:val="nil"/>
              <w:right w:val="nil"/>
            </w:tcBorders>
            <w:noWrap/>
          </w:tcPr>
          <w:p w:rsidRPr="004431DE" w:rsidR="0065120A" w:rsidP="00BC3A1F" w:rsidRDefault="0065120A" w14:paraId="7AF940F1" w14:textId="77777777">
            <w:pPr>
              <w:ind w:left="171" w:firstLine="28" w:firstLineChars="14"/>
              <w:rPr>
                <w:rFonts w:ascii="Arial" w:hAnsi="Arial" w:eastAsia="Times New Roman" w:cs="Arial"/>
                <w:sz w:val="20"/>
                <w:szCs w:val="20"/>
              </w:rPr>
            </w:pPr>
            <w:r w:rsidRPr="004431DE">
              <w:rPr>
                <w:rFonts w:ascii="Arial" w:hAnsi="Arial"/>
                <w:sz w:val="20"/>
              </w:rPr>
              <w:t xml:space="preserve">d. Średnia kwartalna wartość kwoty nominalnej instrumentów pochodnych OTC </w:t>
            </w:r>
          </w:p>
        </w:tc>
        <w:tc>
          <w:tcPr>
            <w:tcW w:w="2745" w:type="dxa"/>
            <w:tcBorders>
              <w:left w:val="nil"/>
              <w:right w:val="nil"/>
            </w:tcBorders>
            <w:noWrap/>
          </w:tcPr>
          <w:p w:rsidRPr="004431DE" w:rsidR="0065120A" w:rsidP="00BC3A1F" w:rsidRDefault="0065120A" w14:paraId="473D591C" w14:textId="77777777">
            <w:pPr>
              <w:jc w:val="right"/>
              <w:rPr>
                <w:rFonts w:ascii="Arial" w:hAnsi="Arial" w:eastAsia="Times New Roman" w:cs="Arial"/>
                <w:sz w:val="20"/>
                <w:szCs w:val="20"/>
                <w:lang w:eastAsia="en-GB"/>
              </w:rPr>
            </w:pPr>
          </w:p>
        </w:tc>
      </w:tr>
      <w:tr w:rsidRPr="004431DE" w:rsidR="0065120A" w:rsidTr="00BC3A1F" w14:paraId="131EA798" w14:textId="77777777">
        <w:trPr>
          <w:trHeight w:val="300"/>
        </w:trPr>
        <w:tc>
          <w:tcPr>
            <w:tcW w:w="6804" w:type="dxa"/>
            <w:gridSpan w:val="2"/>
            <w:tcBorders>
              <w:left w:val="nil"/>
              <w:right w:val="nil"/>
            </w:tcBorders>
            <w:noWrap/>
          </w:tcPr>
          <w:p w:rsidRPr="004431DE" w:rsidR="0065120A" w:rsidP="00BC3A1F" w:rsidRDefault="0065120A" w14:paraId="162EE110" w14:textId="77777777">
            <w:pPr>
              <w:ind w:left="171" w:firstLine="28" w:firstLineChars="14"/>
              <w:rPr>
                <w:rFonts w:ascii="Arial" w:hAnsi="Arial" w:eastAsia="Times New Roman" w:cs="Arial"/>
                <w:sz w:val="20"/>
                <w:szCs w:val="20"/>
              </w:rPr>
            </w:pPr>
            <w:r w:rsidRPr="004431DE">
              <w:rPr>
                <w:rFonts w:ascii="Arial" w:hAnsi="Arial"/>
                <w:sz w:val="20"/>
              </w:rPr>
              <w:t xml:space="preserve">e. Średnia miesięczna wartość kwoty nominalnej instrumentów pochodnych OTC </w:t>
            </w:r>
          </w:p>
        </w:tc>
        <w:tc>
          <w:tcPr>
            <w:tcW w:w="2745" w:type="dxa"/>
            <w:tcBorders>
              <w:left w:val="nil"/>
              <w:right w:val="nil"/>
            </w:tcBorders>
            <w:noWrap/>
          </w:tcPr>
          <w:p w:rsidRPr="004431DE" w:rsidR="0065120A" w:rsidP="00BC3A1F" w:rsidRDefault="0065120A" w14:paraId="1F7CD5B1" w14:textId="77777777">
            <w:pPr>
              <w:jc w:val="right"/>
              <w:rPr>
                <w:rFonts w:ascii="Arial" w:hAnsi="Arial" w:eastAsia="Times New Roman" w:cs="Arial"/>
                <w:sz w:val="20"/>
                <w:szCs w:val="20"/>
                <w:lang w:eastAsia="en-GB"/>
              </w:rPr>
            </w:pPr>
          </w:p>
        </w:tc>
      </w:tr>
      <w:tr w:rsidRPr="004431DE" w:rsidR="0065120A" w:rsidTr="00BC3A1F" w14:paraId="38B04C29" w14:textId="77777777">
        <w:trPr>
          <w:trHeight w:val="300"/>
        </w:trPr>
        <w:tc>
          <w:tcPr>
            <w:tcW w:w="6804" w:type="dxa"/>
            <w:gridSpan w:val="2"/>
            <w:tcBorders>
              <w:left w:val="nil"/>
              <w:right w:val="nil"/>
            </w:tcBorders>
            <w:noWrap/>
          </w:tcPr>
          <w:p w:rsidRPr="004431DE" w:rsidR="0065120A" w:rsidP="00BC3A1F" w:rsidRDefault="0065120A" w14:paraId="1A101FDA" w14:textId="77777777">
            <w:pPr>
              <w:ind w:firstLine="200" w:firstLineChars="100"/>
              <w:rPr>
                <w:rFonts w:ascii="Arial" w:hAnsi="Arial" w:eastAsia="Times New Roman" w:cs="Arial"/>
                <w:sz w:val="20"/>
                <w:szCs w:val="20"/>
              </w:rPr>
            </w:pPr>
            <w:r w:rsidRPr="004431DE">
              <w:rPr>
                <w:rFonts w:ascii="Arial" w:hAnsi="Arial"/>
                <w:sz w:val="20"/>
              </w:rPr>
              <w:t xml:space="preserve">f. Średnia kwartalna wartość papierów wartościowych przeznaczonych do obrotu i dostępnych do sprzedaży </w:t>
            </w:r>
          </w:p>
        </w:tc>
        <w:tc>
          <w:tcPr>
            <w:tcW w:w="2745" w:type="dxa"/>
            <w:tcBorders>
              <w:left w:val="nil"/>
              <w:right w:val="nil"/>
            </w:tcBorders>
            <w:noWrap/>
          </w:tcPr>
          <w:p w:rsidRPr="004431DE" w:rsidR="0065120A" w:rsidP="00BC3A1F" w:rsidRDefault="0065120A" w14:paraId="77A2B96C" w14:textId="77777777">
            <w:pPr>
              <w:jc w:val="right"/>
              <w:rPr>
                <w:rFonts w:ascii="Arial" w:hAnsi="Arial" w:eastAsia="Times New Roman" w:cs="Arial"/>
                <w:sz w:val="20"/>
                <w:szCs w:val="20"/>
                <w:lang w:eastAsia="en-GB"/>
              </w:rPr>
            </w:pPr>
          </w:p>
        </w:tc>
      </w:tr>
      <w:tr w:rsidRPr="004431DE" w:rsidR="0065120A" w:rsidTr="00BC3A1F" w14:paraId="0A1799FC" w14:textId="77777777">
        <w:trPr>
          <w:trHeight w:val="300"/>
        </w:trPr>
        <w:tc>
          <w:tcPr>
            <w:tcW w:w="6804" w:type="dxa"/>
            <w:gridSpan w:val="2"/>
            <w:tcBorders>
              <w:left w:val="nil"/>
              <w:right w:val="nil"/>
            </w:tcBorders>
            <w:noWrap/>
          </w:tcPr>
          <w:p w:rsidRPr="004431DE" w:rsidR="0065120A" w:rsidP="00BC3A1F" w:rsidRDefault="0065120A" w14:paraId="5E669856" w14:textId="77777777">
            <w:pPr>
              <w:ind w:firstLine="200" w:firstLineChars="100"/>
              <w:rPr>
                <w:rFonts w:ascii="Arial" w:hAnsi="Arial" w:eastAsia="Times New Roman" w:cs="Arial"/>
                <w:sz w:val="20"/>
                <w:szCs w:val="20"/>
              </w:rPr>
            </w:pPr>
            <w:r w:rsidRPr="004431DE">
              <w:rPr>
                <w:rFonts w:ascii="Arial" w:hAnsi="Arial"/>
                <w:sz w:val="20"/>
              </w:rPr>
              <w:t xml:space="preserve">g. Średnia miesięczna wartość papierów wartościowych przeznaczonych do obrotu i dostępnych do sprzedaży </w:t>
            </w:r>
          </w:p>
        </w:tc>
        <w:tc>
          <w:tcPr>
            <w:tcW w:w="2745" w:type="dxa"/>
            <w:tcBorders>
              <w:left w:val="nil"/>
              <w:right w:val="nil"/>
            </w:tcBorders>
            <w:noWrap/>
          </w:tcPr>
          <w:p w:rsidRPr="004431DE" w:rsidR="0065120A" w:rsidP="00BC3A1F" w:rsidRDefault="0065120A" w14:paraId="20EEF41C" w14:textId="77777777">
            <w:pPr>
              <w:jc w:val="right"/>
              <w:rPr>
                <w:rFonts w:ascii="Arial" w:hAnsi="Arial" w:eastAsia="Times New Roman" w:cs="Arial"/>
                <w:sz w:val="20"/>
                <w:szCs w:val="20"/>
                <w:lang w:eastAsia="en-GB"/>
              </w:rPr>
            </w:pPr>
          </w:p>
        </w:tc>
      </w:tr>
      <w:tr w:rsidRPr="004431DE" w:rsidR="0065120A" w:rsidTr="00BC3A1F" w14:paraId="76FAE80B" w14:textId="77777777">
        <w:trPr>
          <w:trHeight w:val="300"/>
        </w:trPr>
        <w:tc>
          <w:tcPr>
            <w:tcW w:w="6804" w:type="dxa"/>
            <w:gridSpan w:val="2"/>
            <w:tcBorders>
              <w:left w:val="nil"/>
              <w:right w:val="nil"/>
            </w:tcBorders>
            <w:noWrap/>
          </w:tcPr>
          <w:p w:rsidRPr="004431DE" w:rsidR="0065120A" w:rsidP="00BC3A1F" w:rsidRDefault="0065120A" w14:paraId="467B1AC9" w14:textId="77777777">
            <w:pPr>
              <w:ind w:firstLine="200" w:firstLineChars="100"/>
              <w:rPr>
                <w:rFonts w:ascii="Arial" w:hAnsi="Arial" w:eastAsia="Times New Roman" w:cs="Arial"/>
                <w:sz w:val="20"/>
                <w:szCs w:val="20"/>
              </w:rPr>
            </w:pPr>
            <w:r w:rsidRPr="004431DE">
              <w:rPr>
                <w:rFonts w:ascii="Arial" w:hAnsi="Arial"/>
                <w:sz w:val="20"/>
              </w:rPr>
              <w:t>h. Wskaźnik aktywów poziomu 3 (stary wskaźnik)</w:t>
            </w:r>
          </w:p>
        </w:tc>
        <w:tc>
          <w:tcPr>
            <w:tcW w:w="2745" w:type="dxa"/>
            <w:tcBorders>
              <w:left w:val="nil"/>
              <w:right w:val="nil"/>
            </w:tcBorders>
            <w:noWrap/>
          </w:tcPr>
          <w:p w:rsidRPr="004431DE" w:rsidR="0065120A" w:rsidP="00BC3A1F" w:rsidRDefault="0065120A" w14:paraId="7BBF5A5F" w14:textId="77777777">
            <w:pPr>
              <w:jc w:val="right"/>
              <w:rPr>
                <w:rFonts w:ascii="Arial" w:hAnsi="Arial" w:eastAsia="Times New Roman" w:cs="Arial"/>
                <w:sz w:val="20"/>
                <w:szCs w:val="20"/>
                <w:lang w:eastAsia="en-GB"/>
              </w:rPr>
            </w:pPr>
          </w:p>
        </w:tc>
      </w:tr>
      <w:tr w:rsidRPr="004431DE" w:rsidR="0065120A" w:rsidTr="00BC3A1F" w14:paraId="3F6FAEC8" w14:textId="77777777">
        <w:trPr>
          <w:trHeight w:val="300"/>
        </w:trPr>
        <w:tc>
          <w:tcPr>
            <w:tcW w:w="6804" w:type="dxa"/>
            <w:gridSpan w:val="2"/>
            <w:tcBorders>
              <w:left w:val="nil"/>
              <w:right w:val="nil"/>
            </w:tcBorders>
            <w:noWrap/>
          </w:tcPr>
          <w:p w:rsidRPr="004431DE" w:rsidR="0065120A" w:rsidP="00BC3A1F" w:rsidRDefault="0065120A" w14:paraId="12A4DFD1" w14:textId="77777777">
            <w:pPr>
              <w:ind w:firstLine="200" w:firstLineChars="100"/>
              <w:rPr>
                <w:rFonts w:ascii="Arial" w:hAnsi="Arial" w:eastAsia="Times New Roman" w:cs="Arial"/>
                <w:sz w:val="20"/>
                <w:szCs w:val="20"/>
              </w:rPr>
            </w:pPr>
            <w:r w:rsidRPr="004431DE">
              <w:rPr>
                <w:rFonts w:ascii="Arial" w:hAnsi="Arial"/>
                <w:sz w:val="20"/>
              </w:rPr>
              <w:t xml:space="preserve">i. Kwartalna średnia wartość aktywów poziomu 3 </w:t>
            </w:r>
          </w:p>
        </w:tc>
        <w:tc>
          <w:tcPr>
            <w:tcW w:w="2745" w:type="dxa"/>
            <w:tcBorders>
              <w:left w:val="nil"/>
              <w:right w:val="nil"/>
            </w:tcBorders>
            <w:noWrap/>
          </w:tcPr>
          <w:p w:rsidRPr="004431DE" w:rsidR="0065120A" w:rsidP="00BC3A1F" w:rsidRDefault="0065120A" w14:paraId="5A2B051A" w14:textId="77777777">
            <w:pPr>
              <w:jc w:val="right"/>
              <w:rPr>
                <w:rFonts w:ascii="Arial" w:hAnsi="Arial" w:eastAsia="Times New Roman" w:cs="Arial"/>
                <w:sz w:val="20"/>
                <w:szCs w:val="20"/>
                <w:lang w:eastAsia="en-GB"/>
              </w:rPr>
            </w:pPr>
          </w:p>
        </w:tc>
      </w:tr>
      <w:tr w:rsidRPr="004431DE" w:rsidR="0065120A" w:rsidTr="00BC3A1F" w14:paraId="5292978D" w14:textId="77777777">
        <w:trPr>
          <w:trHeight w:val="300"/>
        </w:trPr>
        <w:tc>
          <w:tcPr>
            <w:tcW w:w="6804" w:type="dxa"/>
            <w:gridSpan w:val="2"/>
            <w:tcBorders>
              <w:left w:val="nil"/>
              <w:right w:val="nil"/>
            </w:tcBorders>
            <w:noWrap/>
          </w:tcPr>
          <w:p w:rsidRPr="004431DE" w:rsidR="0065120A" w:rsidP="00BC3A1F" w:rsidRDefault="0065120A" w14:paraId="3A90FD8E" w14:textId="77777777">
            <w:pPr>
              <w:ind w:firstLine="200" w:firstLineChars="100"/>
              <w:rPr>
                <w:rFonts w:ascii="Arial" w:hAnsi="Arial" w:eastAsia="Times New Roman" w:cs="Arial"/>
                <w:sz w:val="20"/>
                <w:szCs w:val="20"/>
              </w:rPr>
            </w:pPr>
            <w:r w:rsidRPr="004431DE">
              <w:rPr>
                <w:rFonts w:ascii="Arial" w:hAnsi="Arial"/>
                <w:sz w:val="20"/>
              </w:rPr>
              <w:t xml:space="preserve">j. Miesięczna średnia wartość aktywów poziomu 3  </w:t>
            </w:r>
          </w:p>
        </w:tc>
        <w:tc>
          <w:tcPr>
            <w:tcW w:w="2745" w:type="dxa"/>
            <w:tcBorders>
              <w:left w:val="nil"/>
              <w:right w:val="nil"/>
            </w:tcBorders>
            <w:noWrap/>
          </w:tcPr>
          <w:p w:rsidRPr="004431DE" w:rsidR="0065120A" w:rsidP="00BC3A1F" w:rsidRDefault="0065120A" w14:paraId="675C14B0" w14:textId="77777777">
            <w:pPr>
              <w:jc w:val="right"/>
              <w:rPr>
                <w:rFonts w:ascii="Arial" w:hAnsi="Arial" w:eastAsia="Times New Roman" w:cs="Arial"/>
                <w:sz w:val="20"/>
                <w:szCs w:val="20"/>
                <w:lang w:eastAsia="en-GB"/>
              </w:rPr>
            </w:pPr>
          </w:p>
        </w:tc>
      </w:tr>
      <w:tr w:rsidRPr="004431DE" w:rsidR="0065120A" w:rsidTr="00BC3A1F" w14:paraId="52DDEE3D" w14:textId="77777777">
        <w:trPr>
          <w:trHeight w:val="300"/>
        </w:trPr>
        <w:tc>
          <w:tcPr>
            <w:tcW w:w="6804" w:type="dxa"/>
            <w:gridSpan w:val="2"/>
            <w:tcBorders>
              <w:left w:val="nil"/>
              <w:right w:val="nil"/>
            </w:tcBorders>
            <w:noWrap/>
          </w:tcPr>
          <w:p w:rsidRPr="004431DE" w:rsidR="0065120A" w:rsidP="00BC3A1F" w:rsidRDefault="0065120A" w14:paraId="5CCCE07A" w14:textId="77777777">
            <w:pPr>
              <w:ind w:firstLine="200" w:firstLineChars="100"/>
              <w:rPr>
                <w:rFonts w:ascii="Arial" w:hAnsi="Arial" w:eastAsia="Times New Roman" w:cs="Arial"/>
                <w:sz w:val="20"/>
                <w:szCs w:val="20"/>
              </w:rPr>
            </w:pPr>
            <w:r w:rsidRPr="004431DE">
              <w:rPr>
                <w:rFonts w:ascii="Arial" w:hAnsi="Arial"/>
                <w:sz w:val="20"/>
              </w:rPr>
              <w:t>k. Aktywa poziomu 2, w tym jednostek zależnych prowadzących działalność ubezpieczeniową</w:t>
            </w:r>
          </w:p>
        </w:tc>
        <w:tc>
          <w:tcPr>
            <w:tcW w:w="2745" w:type="dxa"/>
            <w:tcBorders>
              <w:left w:val="nil"/>
              <w:right w:val="nil"/>
            </w:tcBorders>
            <w:noWrap/>
          </w:tcPr>
          <w:p w:rsidRPr="004431DE" w:rsidR="0065120A" w:rsidP="00BC3A1F" w:rsidRDefault="0065120A" w14:paraId="3ACC8382" w14:textId="77777777">
            <w:pPr>
              <w:jc w:val="right"/>
              <w:rPr>
                <w:rFonts w:ascii="Arial" w:hAnsi="Arial" w:eastAsia="Times New Roman" w:cs="Arial"/>
                <w:sz w:val="20"/>
                <w:szCs w:val="20"/>
                <w:lang w:eastAsia="en-GB"/>
              </w:rPr>
            </w:pPr>
          </w:p>
        </w:tc>
      </w:tr>
      <w:tr w:rsidRPr="004431DE" w:rsidR="0065120A" w:rsidTr="00BC3A1F" w14:paraId="129835D1" w14:textId="77777777">
        <w:trPr>
          <w:trHeight w:val="300"/>
        </w:trPr>
        <w:tc>
          <w:tcPr>
            <w:tcW w:w="6804" w:type="dxa"/>
            <w:gridSpan w:val="2"/>
            <w:tcBorders>
              <w:left w:val="nil"/>
              <w:right w:val="nil"/>
            </w:tcBorders>
            <w:noWrap/>
          </w:tcPr>
          <w:p w:rsidRPr="004431DE" w:rsidR="0065120A" w:rsidP="00BC3A1F" w:rsidRDefault="0065120A" w14:paraId="27097619" w14:textId="77777777">
            <w:pPr>
              <w:ind w:left="454" w:hanging="141"/>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Aktywa poziomu 2, w tym jednostek zależnych prowadzących działalność ubezpieczeniową, rozliczane za pośrednictwem kontrahenta centralnego</w:t>
            </w:r>
          </w:p>
        </w:tc>
        <w:tc>
          <w:tcPr>
            <w:tcW w:w="2745" w:type="dxa"/>
            <w:tcBorders>
              <w:left w:val="nil"/>
              <w:right w:val="nil"/>
            </w:tcBorders>
            <w:noWrap/>
          </w:tcPr>
          <w:p w:rsidRPr="004431DE" w:rsidR="0065120A" w:rsidP="00BC3A1F" w:rsidRDefault="0065120A" w14:paraId="3104720D" w14:textId="77777777">
            <w:pPr>
              <w:jc w:val="right"/>
              <w:rPr>
                <w:rFonts w:ascii="Arial" w:hAnsi="Arial" w:eastAsia="Times New Roman" w:cs="Arial"/>
                <w:sz w:val="20"/>
                <w:szCs w:val="20"/>
                <w:lang w:eastAsia="en-GB"/>
              </w:rPr>
            </w:pPr>
          </w:p>
        </w:tc>
      </w:tr>
      <w:tr w:rsidRPr="004431DE" w:rsidR="0065120A" w:rsidTr="00BC3A1F" w14:paraId="357BAA76" w14:textId="77777777">
        <w:trPr>
          <w:trHeight w:val="300"/>
        </w:trPr>
        <w:tc>
          <w:tcPr>
            <w:tcW w:w="6804" w:type="dxa"/>
            <w:gridSpan w:val="2"/>
            <w:tcBorders>
              <w:left w:val="nil"/>
              <w:right w:val="nil"/>
            </w:tcBorders>
            <w:noWrap/>
          </w:tcPr>
          <w:p w:rsidRPr="004431DE" w:rsidR="0065120A" w:rsidP="00BC3A1F" w:rsidRDefault="0065120A" w14:paraId="74554546" w14:textId="77777777">
            <w:pPr>
              <w:ind w:left="454" w:hanging="141"/>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Aktywa poziomu 2, w tym jednostek zależnych prowadzących działalność ubezpieczeniową, rozliczane dwustronnie</w:t>
            </w:r>
          </w:p>
        </w:tc>
        <w:tc>
          <w:tcPr>
            <w:tcW w:w="2745" w:type="dxa"/>
            <w:tcBorders>
              <w:left w:val="nil"/>
              <w:right w:val="nil"/>
            </w:tcBorders>
            <w:noWrap/>
          </w:tcPr>
          <w:p w:rsidRPr="004431DE" w:rsidR="0065120A" w:rsidP="00BC3A1F" w:rsidRDefault="0065120A" w14:paraId="064F9109" w14:textId="77777777">
            <w:pPr>
              <w:jc w:val="right"/>
              <w:rPr>
                <w:rFonts w:ascii="Arial" w:hAnsi="Arial" w:eastAsia="Times New Roman" w:cs="Arial"/>
                <w:sz w:val="20"/>
                <w:szCs w:val="20"/>
                <w:lang w:eastAsia="en-GB"/>
              </w:rPr>
            </w:pPr>
          </w:p>
        </w:tc>
      </w:tr>
      <w:tr w:rsidRPr="004431DE" w:rsidR="0065120A" w:rsidTr="00BC3A1F" w14:paraId="76522AF7" w14:textId="77777777">
        <w:trPr>
          <w:trHeight w:val="300"/>
        </w:trPr>
        <w:tc>
          <w:tcPr>
            <w:tcW w:w="6804" w:type="dxa"/>
            <w:gridSpan w:val="2"/>
            <w:tcBorders>
              <w:left w:val="nil"/>
              <w:right w:val="nil"/>
            </w:tcBorders>
            <w:noWrap/>
          </w:tcPr>
          <w:p w:rsidRPr="004431DE" w:rsidR="0065120A" w:rsidP="00BC3A1F" w:rsidRDefault="0065120A" w14:paraId="64474070" w14:textId="77777777">
            <w:pPr>
              <w:ind w:firstLine="313"/>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Inne aktywa poziomu 2, w tym jednostek zależnych prowadzących działalność ubezpieczeniową</w:t>
            </w:r>
          </w:p>
        </w:tc>
        <w:tc>
          <w:tcPr>
            <w:tcW w:w="2745" w:type="dxa"/>
            <w:tcBorders>
              <w:left w:val="nil"/>
              <w:right w:val="nil"/>
            </w:tcBorders>
            <w:noWrap/>
          </w:tcPr>
          <w:p w:rsidRPr="004431DE" w:rsidR="0065120A" w:rsidP="00BC3A1F" w:rsidRDefault="0065120A" w14:paraId="1C800525" w14:textId="77777777">
            <w:pPr>
              <w:jc w:val="right"/>
              <w:rPr>
                <w:rFonts w:ascii="Arial" w:hAnsi="Arial" w:eastAsia="Times New Roman" w:cs="Arial"/>
                <w:sz w:val="20"/>
                <w:szCs w:val="20"/>
                <w:lang w:eastAsia="en-GB"/>
              </w:rPr>
            </w:pPr>
          </w:p>
        </w:tc>
      </w:tr>
      <w:tr w:rsidRPr="004431DE" w:rsidR="0065120A" w:rsidTr="00BC3A1F" w14:paraId="0B881C43"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9472D5B" w14:textId="77777777">
            <w:pPr>
              <w:ind w:firstLine="200" w:firstLineChars="100"/>
              <w:rPr>
                <w:rFonts w:ascii="Arial" w:hAnsi="Arial" w:eastAsia="Times New Roman" w:cs="Arial"/>
                <w:sz w:val="20"/>
                <w:szCs w:val="20"/>
              </w:rPr>
            </w:pPr>
            <w:r w:rsidRPr="004431DE">
              <w:rPr>
                <w:rFonts w:ascii="Arial" w:hAnsi="Arial"/>
                <w:sz w:val="20"/>
              </w:rPr>
              <w:t>l. Średnia wartość aktywów poziomu 2, w tym jednostek zależnych prowadzących działalność ubezpieczeniową</w:t>
            </w:r>
          </w:p>
        </w:tc>
        <w:tc>
          <w:tcPr>
            <w:tcW w:w="2745" w:type="dxa"/>
            <w:tcBorders>
              <w:left w:val="nil"/>
              <w:bottom w:val="single" w:color="auto" w:sz="4" w:space="0"/>
              <w:right w:val="nil"/>
            </w:tcBorders>
            <w:noWrap/>
          </w:tcPr>
          <w:p w:rsidRPr="004431DE" w:rsidR="0065120A" w:rsidP="00BC3A1F" w:rsidRDefault="0065120A" w14:paraId="4AA3DDFD" w14:textId="77777777">
            <w:pPr>
              <w:jc w:val="right"/>
              <w:rPr>
                <w:rFonts w:ascii="Arial" w:hAnsi="Arial" w:eastAsia="Times New Roman" w:cs="Arial"/>
                <w:sz w:val="20"/>
                <w:szCs w:val="20"/>
                <w:lang w:eastAsia="en-GB"/>
              </w:rPr>
            </w:pPr>
          </w:p>
        </w:tc>
      </w:tr>
      <w:tr w:rsidRPr="004431DE" w:rsidR="0065120A" w:rsidTr="00BC3A1F" w14:paraId="06C05554" w14:textId="77777777">
        <w:trPr>
          <w:trHeight w:val="300"/>
        </w:trPr>
        <w:tc>
          <w:tcPr>
            <w:tcW w:w="6804" w:type="dxa"/>
            <w:gridSpan w:val="2"/>
            <w:tcBorders>
              <w:left w:val="nil"/>
              <w:bottom w:val="nil"/>
              <w:right w:val="nil"/>
            </w:tcBorders>
            <w:noWrap/>
          </w:tcPr>
          <w:p w:rsidRPr="004431DE" w:rsidR="0065120A" w:rsidP="00BC3A1F" w:rsidRDefault="0065120A" w14:paraId="7FB0F8A6"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4431DE" w:rsidR="0065120A" w:rsidP="00BC3A1F" w:rsidRDefault="0065120A" w14:paraId="433FEEFE" w14:textId="77777777">
            <w:pPr>
              <w:jc w:val="center"/>
              <w:rPr>
                <w:rFonts w:ascii="Arial" w:hAnsi="Arial" w:eastAsia="Times New Roman" w:cs="Arial"/>
                <w:b/>
                <w:bCs/>
                <w:sz w:val="20"/>
                <w:szCs w:val="20"/>
                <w:lang w:eastAsia="en-GB"/>
              </w:rPr>
            </w:pPr>
          </w:p>
        </w:tc>
      </w:tr>
      <w:tr w:rsidRPr="004431DE" w:rsidR="0065120A" w:rsidTr="00BC3A1F" w14:paraId="7BFFA6F7" w14:textId="77777777">
        <w:trPr>
          <w:trHeight w:val="300"/>
        </w:trPr>
        <w:tc>
          <w:tcPr>
            <w:tcW w:w="6804" w:type="dxa"/>
            <w:gridSpan w:val="2"/>
            <w:tcBorders>
              <w:top w:val="nil"/>
              <w:left w:val="nil"/>
              <w:right w:val="nil"/>
            </w:tcBorders>
            <w:noWrap/>
          </w:tcPr>
          <w:p w:rsidRPr="004431DE" w:rsidR="0065120A" w:rsidP="00BC3A1F" w:rsidRDefault="0065120A" w14:paraId="1B961CD5" w14:textId="77777777">
            <w:pPr>
              <w:rPr>
                <w:rFonts w:ascii="Arial" w:hAnsi="Arial" w:eastAsia="Times New Roman" w:cs="Arial"/>
                <w:sz w:val="20"/>
                <w:szCs w:val="20"/>
              </w:rPr>
            </w:pPr>
            <w:r w:rsidRPr="004431DE">
              <w:rPr>
                <w:rFonts w:ascii="Arial" w:hAnsi="Arial"/>
                <w:b/>
                <w:sz w:val="20"/>
              </w:rPr>
              <w:t>Sekcja 21 – Pozycje dotyczące działalności transgranicznej</w:t>
            </w:r>
          </w:p>
        </w:tc>
        <w:tc>
          <w:tcPr>
            <w:tcW w:w="2745" w:type="dxa"/>
            <w:tcBorders>
              <w:top w:val="nil"/>
              <w:left w:val="nil"/>
              <w:right w:val="nil"/>
            </w:tcBorders>
            <w:noWrap/>
          </w:tcPr>
          <w:p w:rsidRPr="004431DE" w:rsidR="0065120A" w:rsidP="00BC3A1F" w:rsidRDefault="0065120A" w14:paraId="68DCDC63" w14:textId="77777777">
            <w:pPr>
              <w:jc w:val="center"/>
              <w:rPr>
                <w:rFonts w:ascii="Arial" w:hAnsi="Arial" w:eastAsia="Times New Roman" w:cs="Arial"/>
                <w:b/>
                <w:bCs/>
                <w:sz w:val="20"/>
                <w:szCs w:val="20"/>
              </w:rPr>
            </w:pPr>
            <w:r w:rsidRPr="004431DE">
              <w:rPr>
                <w:rFonts w:ascii="Arial" w:hAnsi="Arial"/>
                <w:b/>
                <w:sz w:val="20"/>
              </w:rPr>
              <w:t>Kwota</w:t>
            </w:r>
          </w:p>
        </w:tc>
      </w:tr>
      <w:tr w:rsidRPr="004431DE" w:rsidR="0065120A" w:rsidTr="00BC3A1F" w14:paraId="721BC4B4" w14:textId="77777777">
        <w:trPr>
          <w:trHeight w:val="300"/>
        </w:trPr>
        <w:tc>
          <w:tcPr>
            <w:tcW w:w="6804" w:type="dxa"/>
            <w:gridSpan w:val="2"/>
            <w:tcBorders>
              <w:left w:val="nil"/>
              <w:right w:val="nil"/>
            </w:tcBorders>
            <w:noWrap/>
          </w:tcPr>
          <w:p w:rsidRPr="004431DE" w:rsidR="0065120A" w:rsidP="00BC3A1F" w:rsidRDefault="0065120A" w14:paraId="19B54C3E" w14:textId="77777777">
            <w:pPr>
              <w:rPr>
                <w:rFonts w:ascii="Arial" w:hAnsi="Arial" w:eastAsia="Times New Roman" w:cs="Arial"/>
                <w:sz w:val="20"/>
                <w:szCs w:val="20"/>
              </w:rPr>
            </w:pPr>
            <w:r w:rsidRPr="004431DE">
              <w:rPr>
                <w:rFonts w:ascii="Arial" w:hAnsi="Arial"/>
                <w:sz w:val="20"/>
              </w:rPr>
              <w:t>a. Wskaźnik zobowiązań transgranicznych (stary wskaźnik)</w:t>
            </w:r>
          </w:p>
        </w:tc>
        <w:tc>
          <w:tcPr>
            <w:tcW w:w="2745" w:type="dxa"/>
            <w:tcBorders>
              <w:left w:val="nil"/>
              <w:right w:val="nil"/>
            </w:tcBorders>
            <w:noWrap/>
          </w:tcPr>
          <w:p w:rsidRPr="004431DE" w:rsidR="0065120A" w:rsidP="00BC3A1F" w:rsidRDefault="0065120A" w14:paraId="5B3A9966" w14:textId="77777777">
            <w:pPr>
              <w:jc w:val="right"/>
              <w:rPr>
                <w:rFonts w:ascii="Arial" w:hAnsi="Arial" w:eastAsia="Times New Roman" w:cs="Arial"/>
                <w:sz w:val="20"/>
                <w:szCs w:val="20"/>
                <w:lang w:eastAsia="en-GB"/>
              </w:rPr>
            </w:pPr>
          </w:p>
        </w:tc>
      </w:tr>
      <w:tr w:rsidRPr="004431DE" w:rsidR="0065120A" w:rsidTr="00BC3A1F" w14:paraId="3A1E2D9E" w14:textId="77777777">
        <w:trPr>
          <w:trHeight w:val="300"/>
        </w:trPr>
        <w:tc>
          <w:tcPr>
            <w:tcW w:w="6804" w:type="dxa"/>
            <w:gridSpan w:val="2"/>
            <w:tcBorders>
              <w:left w:val="nil"/>
              <w:right w:val="nil"/>
            </w:tcBorders>
            <w:noWrap/>
          </w:tcPr>
          <w:p w:rsidRPr="004431DE" w:rsidR="0065120A" w:rsidP="00BC3A1F" w:rsidRDefault="0065120A" w14:paraId="2E5627C0" w14:textId="77777777">
            <w:pPr>
              <w:ind w:left="313"/>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Zobowiązania zagraniczne (z wyłączeniem instrumentów pochodnych i zobowiązań lokalnych w walucie lokalnej)</w:t>
            </w:r>
          </w:p>
        </w:tc>
        <w:tc>
          <w:tcPr>
            <w:tcW w:w="2745" w:type="dxa"/>
            <w:tcBorders>
              <w:left w:val="nil"/>
              <w:right w:val="nil"/>
            </w:tcBorders>
            <w:noWrap/>
          </w:tcPr>
          <w:p w:rsidRPr="004431DE" w:rsidR="0065120A" w:rsidP="00BC3A1F" w:rsidRDefault="0065120A" w14:paraId="3A3FBC0E" w14:textId="77777777">
            <w:pPr>
              <w:jc w:val="right"/>
              <w:rPr>
                <w:rFonts w:ascii="Arial" w:hAnsi="Arial" w:eastAsia="Times New Roman" w:cs="Arial"/>
                <w:sz w:val="20"/>
                <w:szCs w:val="20"/>
                <w:lang w:eastAsia="en-GB"/>
              </w:rPr>
            </w:pPr>
          </w:p>
        </w:tc>
      </w:tr>
      <w:tr w:rsidRPr="004431DE" w:rsidR="0065120A" w:rsidTr="00BC3A1F" w14:paraId="19683F65" w14:textId="77777777">
        <w:trPr>
          <w:trHeight w:val="300"/>
        </w:trPr>
        <w:tc>
          <w:tcPr>
            <w:tcW w:w="6804" w:type="dxa"/>
            <w:gridSpan w:val="2"/>
            <w:tcBorders>
              <w:left w:val="nil"/>
              <w:right w:val="nil"/>
            </w:tcBorders>
            <w:noWrap/>
          </w:tcPr>
          <w:p w:rsidRPr="004431DE" w:rsidR="0065120A" w:rsidP="00BC3A1F" w:rsidRDefault="0065120A" w14:paraId="32C8D9A5" w14:textId="77777777">
            <w:pPr>
              <w:ind w:left="-2" w:leftChars="-1" w:firstLine="312" w:firstLineChars="156"/>
              <w:rPr>
                <w:rFonts w:ascii="Arial" w:hAnsi="Arial" w:eastAsia="Times New Roman" w:cs="Arial"/>
                <w:sz w:val="20"/>
                <w:szCs w:val="20"/>
              </w:rPr>
            </w:pPr>
            <w:r w:rsidRPr="004431DE">
              <w:rPr>
                <w:rFonts w:ascii="Arial" w:hAnsi="Arial"/>
                <w:sz w:val="20"/>
                <w:lang w:eastAsia="en-GB"/>
              </w:rPr>
              <w:t xml:space="preserve">(2) </w:t>
            </w:r>
            <w:r w:rsidRPr="004431DE">
              <w:rPr>
                <w:rFonts w:ascii="Arial" w:hAnsi="Arial"/>
                <w:sz w:val="20"/>
              </w:rPr>
              <w:t>Wszelkie zobowiązania zagraniczne wobec jednostek powiązanych ujęte w pozycji 21.a.(1)</w:t>
            </w:r>
          </w:p>
        </w:tc>
        <w:tc>
          <w:tcPr>
            <w:tcW w:w="2745" w:type="dxa"/>
            <w:tcBorders>
              <w:left w:val="nil"/>
              <w:right w:val="nil"/>
            </w:tcBorders>
            <w:noWrap/>
          </w:tcPr>
          <w:p w:rsidRPr="004431DE" w:rsidR="0065120A" w:rsidP="00BC3A1F" w:rsidRDefault="0065120A" w14:paraId="5E526136" w14:textId="77777777">
            <w:pPr>
              <w:jc w:val="right"/>
              <w:rPr>
                <w:rFonts w:ascii="Arial" w:hAnsi="Arial" w:eastAsia="Times New Roman" w:cs="Arial"/>
                <w:sz w:val="20"/>
                <w:szCs w:val="20"/>
                <w:lang w:eastAsia="en-GB"/>
              </w:rPr>
            </w:pPr>
          </w:p>
        </w:tc>
      </w:tr>
      <w:tr w:rsidRPr="004431DE" w:rsidR="0065120A" w:rsidTr="00BC3A1F" w14:paraId="694F59B5" w14:textId="77777777">
        <w:trPr>
          <w:trHeight w:val="300"/>
        </w:trPr>
        <w:tc>
          <w:tcPr>
            <w:tcW w:w="6804" w:type="dxa"/>
            <w:gridSpan w:val="2"/>
            <w:tcBorders>
              <w:left w:val="nil"/>
              <w:right w:val="nil"/>
            </w:tcBorders>
            <w:noWrap/>
          </w:tcPr>
          <w:p w:rsidRPr="004431DE" w:rsidR="0065120A" w:rsidP="00BC3A1F" w:rsidRDefault="0065120A" w14:paraId="4F54B2F3" w14:textId="77777777">
            <w:pPr>
              <w:ind w:left="-2" w:leftChars="-1" w:firstLine="312" w:firstLineChars="156"/>
              <w:rPr>
                <w:rFonts w:ascii="Arial" w:hAnsi="Arial" w:eastAsia="Times New Roman" w:cs="Arial"/>
                <w:sz w:val="20"/>
                <w:szCs w:val="20"/>
              </w:rPr>
            </w:pPr>
            <w:r w:rsidRPr="004431DE">
              <w:rPr>
                <w:rFonts w:ascii="Arial" w:hAnsi="Arial"/>
                <w:sz w:val="20"/>
                <w:lang w:eastAsia="en-GB"/>
              </w:rPr>
              <w:t xml:space="preserve">(3) </w:t>
            </w:r>
            <w:r w:rsidRPr="004431DE">
              <w:rPr>
                <w:rFonts w:ascii="Arial" w:hAnsi="Arial"/>
                <w:sz w:val="20"/>
              </w:rPr>
              <w:t>Zobowiązania lokalne w walucie lokalnej (z wyłączeniem działalności związanej z instrumentami pochodnymi)</w:t>
            </w:r>
          </w:p>
        </w:tc>
        <w:tc>
          <w:tcPr>
            <w:tcW w:w="2745" w:type="dxa"/>
            <w:tcBorders>
              <w:left w:val="nil"/>
              <w:right w:val="nil"/>
            </w:tcBorders>
            <w:noWrap/>
          </w:tcPr>
          <w:p w:rsidRPr="004431DE" w:rsidR="0065120A" w:rsidP="00BC3A1F" w:rsidRDefault="0065120A" w14:paraId="7F61E306" w14:textId="77777777">
            <w:pPr>
              <w:jc w:val="right"/>
              <w:rPr>
                <w:rFonts w:ascii="Arial" w:hAnsi="Arial" w:eastAsia="Times New Roman" w:cs="Arial"/>
                <w:sz w:val="20"/>
                <w:szCs w:val="20"/>
                <w:lang w:eastAsia="en-GB"/>
              </w:rPr>
            </w:pPr>
          </w:p>
        </w:tc>
      </w:tr>
      <w:tr w:rsidRPr="004431DE" w:rsidR="0065120A" w:rsidTr="00BC3A1F" w14:paraId="3066185C" w14:textId="77777777">
        <w:trPr>
          <w:trHeight w:val="300"/>
        </w:trPr>
        <w:tc>
          <w:tcPr>
            <w:tcW w:w="6804" w:type="dxa"/>
            <w:gridSpan w:val="2"/>
            <w:tcBorders>
              <w:left w:val="nil"/>
              <w:right w:val="nil"/>
            </w:tcBorders>
            <w:noWrap/>
          </w:tcPr>
          <w:p w:rsidRPr="004431DE" w:rsidR="0065120A" w:rsidP="00BC3A1F" w:rsidRDefault="0065120A" w14:paraId="243170C3" w14:textId="77777777">
            <w:pPr>
              <w:ind w:firstLine="200" w:firstLineChars="100"/>
              <w:rPr>
                <w:rFonts w:ascii="Arial" w:hAnsi="Arial" w:eastAsia="Times New Roman" w:cs="Arial"/>
                <w:sz w:val="20"/>
                <w:szCs w:val="20"/>
              </w:rPr>
            </w:pPr>
            <w:r w:rsidRPr="004431DE">
              <w:rPr>
                <w:rFonts w:ascii="Arial" w:hAnsi="Arial"/>
                <w:sz w:val="20"/>
              </w:rPr>
              <w:t>b. Zobowiązania lokalne w walucie lokalnej (w tym z tytułu transakcji na instrumentach pochodnych)</w:t>
            </w:r>
          </w:p>
        </w:tc>
        <w:tc>
          <w:tcPr>
            <w:tcW w:w="2745" w:type="dxa"/>
            <w:tcBorders>
              <w:left w:val="nil"/>
              <w:right w:val="nil"/>
            </w:tcBorders>
            <w:noWrap/>
          </w:tcPr>
          <w:p w:rsidRPr="004431DE" w:rsidR="0065120A" w:rsidP="00BC3A1F" w:rsidRDefault="0065120A" w14:paraId="17BFB3EC" w14:textId="77777777">
            <w:pPr>
              <w:jc w:val="right"/>
              <w:rPr>
                <w:rFonts w:ascii="Arial" w:hAnsi="Arial" w:eastAsia="Times New Roman" w:cs="Arial"/>
                <w:sz w:val="20"/>
                <w:szCs w:val="20"/>
                <w:lang w:eastAsia="en-GB"/>
              </w:rPr>
            </w:pPr>
          </w:p>
        </w:tc>
      </w:tr>
      <w:tr w:rsidRPr="004431DE" w:rsidR="0065120A" w:rsidTr="00BC3A1F" w14:paraId="0E308510" w14:textId="77777777">
        <w:trPr>
          <w:trHeight w:val="300"/>
        </w:trPr>
        <w:tc>
          <w:tcPr>
            <w:tcW w:w="6804" w:type="dxa"/>
            <w:gridSpan w:val="2"/>
            <w:tcBorders>
              <w:left w:val="nil"/>
              <w:right w:val="nil"/>
            </w:tcBorders>
            <w:noWrap/>
          </w:tcPr>
          <w:p w:rsidRPr="004431DE" w:rsidR="0065120A" w:rsidP="00BC3A1F" w:rsidRDefault="0065120A" w14:paraId="57C16107" w14:textId="77777777">
            <w:pPr>
              <w:ind w:left="171" w:firstLine="28" w:firstLineChars="14"/>
              <w:rPr>
                <w:rFonts w:ascii="Arial" w:hAnsi="Arial" w:eastAsia="Times New Roman" w:cs="Arial"/>
                <w:sz w:val="20"/>
                <w:szCs w:val="20"/>
              </w:rPr>
            </w:pPr>
            <w:r w:rsidRPr="004431DE">
              <w:rPr>
                <w:rFonts w:ascii="Arial" w:hAnsi="Arial"/>
                <w:sz w:val="20"/>
              </w:rPr>
              <w:t>c. Należności transgraniczne lokalne w walucie lokalnej (z wyłączeniem działalności związanej z instrumentami pochodnymi)</w:t>
            </w:r>
          </w:p>
        </w:tc>
        <w:tc>
          <w:tcPr>
            <w:tcW w:w="2745" w:type="dxa"/>
            <w:tcBorders>
              <w:left w:val="nil"/>
              <w:right w:val="nil"/>
            </w:tcBorders>
            <w:noWrap/>
          </w:tcPr>
          <w:p w:rsidRPr="004431DE" w:rsidR="0065120A" w:rsidP="00BC3A1F" w:rsidRDefault="0065120A" w14:paraId="30B4410E" w14:textId="77777777">
            <w:pPr>
              <w:jc w:val="right"/>
              <w:rPr>
                <w:rFonts w:ascii="Arial" w:hAnsi="Arial" w:eastAsia="Times New Roman" w:cs="Arial"/>
                <w:sz w:val="20"/>
                <w:szCs w:val="20"/>
                <w:lang w:eastAsia="en-GB"/>
              </w:rPr>
            </w:pPr>
          </w:p>
        </w:tc>
      </w:tr>
      <w:tr w:rsidRPr="004431DE" w:rsidR="0065120A" w:rsidTr="00BC3A1F" w14:paraId="6BAEC5D3" w14:textId="77777777">
        <w:trPr>
          <w:trHeight w:val="300"/>
        </w:trPr>
        <w:tc>
          <w:tcPr>
            <w:tcW w:w="6804" w:type="dxa"/>
            <w:gridSpan w:val="2"/>
            <w:tcBorders>
              <w:left w:val="nil"/>
              <w:right w:val="nil"/>
            </w:tcBorders>
            <w:noWrap/>
          </w:tcPr>
          <w:p w:rsidRPr="004431DE" w:rsidR="0065120A" w:rsidP="00BC3A1F" w:rsidRDefault="0065120A" w14:paraId="766D7B85" w14:textId="77777777">
            <w:pPr>
              <w:ind w:left="171" w:firstLine="28" w:firstLineChars="14"/>
              <w:rPr>
                <w:rFonts w:ascii="Arial" w:hAnsi="Arial" w:eastAsia="Times New Roman" w:cs="Arial"/>
                <w:sz w:val="20"/>
                <w:szCs w:val="20"/>
              </w:rPr>
            </w:pPr>
            <w:r w:rsidRPr="004431DE">
              <w:rPr>
                <w:rFonts w:ascii="Arial" w:hAnsi="Arial"/>
                <w:sz w:val="20"/>
              </w:rPr>
              <w:lastRenderedPageBreak/>
              <w:t>d. Należności transgraniczne lokalne w walucie lokalnej (z uwzględnieniem transakcji na instrumentach pochodnych)</w:t>
            </w:r>
          </w:p>
        </w:tc>
        <w:tc>
          <w:tcPr>
            <w:tcW w:w="2745" w:type="dxa"/>
            <w:tcBorders>
              <w:left w:val="nil"/>
              <w:right w:val="nil"/>
            </w:tcBorders>
            <w:noWrap/>
          </w:tcPr>
          <w:p w:rsidRPr="004431DE" w:rsidR="0065120A" w:rsidP="00BC3A1F" w:rsidRDefault="0065120A" w14:paraId="61288CCF" w14:textId="77777777">
            <w:pPr>
              <w:jc w:val="right"/>
              <w:rPr>
                <w:rFonts w:ascii="Arial" w:hAnsi="Arial" w:eastAsia="Times New Roman" w:cs="Arial"/>
                <w:sz w:val="20"/>
                <w:szCs w:val="20"/>
                <w:lang w:eastAsia="en-GB"/>
              </w:rPr>
            </w:pPr>
          </w:p>
        </w:tc>
      </w:tr>
      <w:tr w:rsidRPr="004431DE" w:rsidR="0065120A" w:rsidTr="00BC3A1F" w14:paraId="6EE78FBC" w14:textId="77777777">
        <w:trPr>
          <w:trHeight w:val="300"/>
        </w:trPr>
        <w:tc>
          <w:tcPr>
            <w:tcW w:w="6804" w:type="dxa"/>
            <w:gridSpan w:val="2"/>
            <w:tcBorders>
              <w:left w:val="nil"/>
              <w:right w:val="nil"/>
            </w:tcBorders>
            <w:noWrap/>
          </w:tcPr>
          <w:p w:rsidRPr="004431DE" w:rsidR="0065120A" w:rsidP="00BC3A1F" w:rsidRDefault="0065120A" w14:paraId="2AE82DAF" w14:textId="77777777">
            <w:pPr>
              <w:ind w:left="171" w:firstLine="28" w:firstLineChars="14"/>
              <w:rPr>
                <w:rFonts w:ascii="Arial" w:hAnsi="Arial" w:eastAsia="Times New Roman" w:cs="Arial"/>
                <w:sz w:val="20"/>
                <w:szCs w:val="20"/>
              </w:rPr>
            </w:pPr>
            <w:r w:rsidRPr="004431DE">
              <w:rPr>
                <w:rFonts w:ascii="Arial" w:hAnsi="Arial"/>
                <w:sz w:val="20"/>
              </w:rPr>
              <w:t>e. Łączne należności zagraniczne na podstawie ostatecznego ryzyka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282D5A22" w14:textId="77777777">
            <w:pPr>
              <w:jc w:val="right"/>
              <w:rPr>
                <w:rFonts w:ascii="Arial" w:hAnsi="Arial" w:eastAsia="Times New Roman" w:cs="Arial"/>
                <w:sz w:val="20"/>
                <w:szCs w:val="20"/>
                <w:lang w:eastAsia="en-GB"/>
              </w:rPr>
            </w:pPr>
          </w:p>
        </w:tc>
      </w:tr>
      <w:tr w:rsidRPr="004431DE" w:rsidR="0065120A" w:rsidTr="00BC3A1F" w14:paraId="14FE1113" w14:textId="77777777">
        <w:trPr>
          <w:trHeight w:val="300"/>
        </w:trPr>
        <w:tc>
          <w:tcPr>
            <w:tcW w:w="6804" w:type="dxa"/>
            <w:gridSpan w:val="2"/>
            <w:tcBorders>
              <w:left w:val="nil"/>
              <w:right w:val="nil"/>
            </w:tcBorders>
            <w:noWrap/>
          </w:tcPr>
          <w:p w:rsidRPr="004431DE" w:rsidR="0065120A" w:rsidP="00BC3A1F" w:rsidRDefault="0065120A" w14:paraId="448200C7" w14:textId="77777777">
            <w:pPr>
              <w:ind w:left="171" w:firstLine="28" w:firstLineChars="14"/>
              <w:rPr>
                <w:rFonts w:ascii="Arial" w:hAnsi="Arial" w:eastAsia="Times New Roman" w:cs="Arial"/>
                <w:sz w:val="20"/>
                <w:szCs w:val="20"/>
              </w:rPr>
            </w:pPr>
            <w:r w:rsidRPr="004431DE">
              <w:rPr>
                <w:rFonts w:ascii="Arial" w:hAnsi="Arial"/>
                <w:sz w:val="20"/>
              </w:rPr>
              <w:t>f. Należności z tytułu zagranicznych instrumentów pochodnych na podstawie ostatecznego ryzyka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4A64B845" w14:textId="77777777">
            <w:pPr>
              <w:jc w:val="right"/>
              <w:rPr>
                <w:rFonts w:ascii="Arial" w:hAnsi="Arial" w:eastAsia="Times New Roman" w:cs="Arial"/>
                <w:sz w:val="20"/>
                <w:szCs w:val="20"/>
                <w:lang w:eastAsia="en-GB"/>
              </w:rPr>
            </w:pPr>
          </w:p>
        </w:tc>
      </w:tr>
      <w:tr w:rsidRPr="004431DE" w:rsidR="0065120A" w:rsidTr="00BC3A1F" w14:paraId="54CECE62" w14:textId="77777777">
        <w:trPr>
          <w:trHeight w:val="300"/>
        </w:trPr>
        <w:tc>
          <w:tcPr>
            <w:tcW w:w="6804" w:type="dxa"/>
            <w:gridSpan w:val="2"/>
            <w:tcBorders>
              <w:left w:val="nil"/>
              <w:right w:val="nil"/>
            </w:tcBorders>
            <w:noWrap/>
          </w:tcPr>
          <w:p w:rsidRPr="004431DE" w:rsidR="0065120A" w:rsidP="00BC3A1F" w:rsidRDefault="0065120A" w14:paraId="71E1CFDB" w14:textId="77777777">
            <w:pPr>
              <w:ind w:left="171" w:firstLine="28" w:firstLineChars="14"/>
              <w:rPr>
                <w:rFonts w:ascii="Arial" w:hAnsi="Arial" w:eastAsia="Times New Roman" w:cs="Arial"/>
                <w:sz w:val="20"/>
                <w:szCs w:val="20"/>
              </w:rPr>
            </w:pPr>
            <w:r w:rsidRPr="004431DE">
              <w:rPr>
                <w:rFonts w:ascii="Arial" w:hAnsi="Arial"/>
                <w:sz w:val="20"/>
              </w:rPr>
              <w:t>g. Zobowiązania zagraniczne na podstawie bezpośredniego ryzyka, w tym z tytułu działalności związanej z instrumentami pochodnymi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7EEFE91C" w14:textId="77777777">
            <w:pPr>
              <w:jc w:val="right"/>
              <w:rPr>
                <w:rFonts w:ascii="Arial" w:hAnsi="Arial" w:eastAsia="Times New Roman" w:cs="Arial"/>
                <w:sz w:val="20"/>
                <w:szCs w:val="20"/>
                <w:lang w:eastAsia="en-GB"/>
              </w:rPr>
            </w:pPr>
          </w:p>
        </w:tc>
      </w:tr>
      <w:tr w:rsidRPr="004431DE" w:rsidR="0065120A" w:rsidTr="00BC3A1F" w14:paraId="7D1B4208" w14:textId="77777777">
        <w:trPr>
          <w:trHeight w:val="300"/>
        </w:trPr>
        <w:tc>
          <w:tcPr>
            <w:tcW w:w="6804" w:type="dxa"/>
            <w:gridSpan w:val="2"/>
            <w:tcBorders>
              <w:left w:val="nil"/>
              <w:right w:val="nil"/>
            </w:tcBorders>
            <w:noWrap/>
          </w:tcPr>
          <w:p w:rsidRPr="004431DE" w:rsidR="0065120A" w:rsidP="00BC3A1F" w:rsidRDefault="0065120A" w14:paraId="1CD05F25" w14:textId="77777777">
            <w:pPr>
              <w:ind w:left="171" w:firstLine="28" w:firstLineChars="14"/>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Zobowiązania z tytułu zagranicznych instrumentów pochodnych na podstawie bezpośredniego ryzyka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00DEC43E" w14:textId="77777777">
            <w:pPr>
              <w:jc w:val="right"/>
              <w:rPr>
                <w:rFonts w:ascii="Arial" w:hAnsi="Arial" w:eastAsia="Times New Roman" w:cs="Arial"/>
                <w:sz w:val="20"/>
                <w:szCs w:val="20"/>
                <w:lang w:eastAsia="en-GB"/>
              </w:rPr>
            </w:pPr>
          </w:p>
        </w:tc>
      </w:tr>
      <w:tr w:rsidRPr="004431DE" w:rsidR="0065120A" w:rsidTr="00BC3A1F" w14:paraId="004AED15" w14:textId="77777777">
        <w:trPr>
          <w:trHeight w:val="300"/>
        </w:trPr>
        <w:tc>
          <w:tcPr>
            <w:tcW w:w="6804" w:type="dxa"/>
            <w:gridSpan w:val="2"/>
            <w:tcBorders>
              <w:left w:val="nil"/>
              <w:right w:val="nil"/>
            </w:tcBorders>
            <w:noWrap/>
          </w:tcPr>
          <w:p w:rsidRPr="004431DE" w:rsidR="0065120A" w:rsidP="00BC3A1F" w:rsidRDefault="0065120A" w14:paraId="19C12000" w14:textId="77777777">
            <w:pPr>
              <w:ind w:firstLine="200" w:firstLineChars="100"/>
              <w:rPr>
                <w:rFonts w:ascii="Arial" w:hAnsi="Arial" w:eastAsia="Times New Roman" w:cs="Arial"/>
                <w:sz w:val="20"/>
                <w:szCs w:val="20"/>
              </w:rPr>
            </w:pPr>
            <w:r w:rsidRPr="004431DE">
              <w:rPr>
                <w:rFonts w:ascii="Arial" w:hAnsi="Arial"/>
                <w:sz w:val="20"/>
              </w:rPr>
              <w:t>h. Należności transgraniczne lokalne w walucie lokalnej, z wyłączeniem działalności związanej z instrumentami pochodnymi (uwzględniając strefę euro jako jedną jurysdykcję)</w:t>
            </w:r>
          </w:p>
        </w:tc>
        <w:tc>
          <w:tcPr>
            <w:tcW w:w="2745" w:type="dxa"/>
            <w:tcBorders>
              <w:left w:val="nil"/>
              <w:right w:val="nil"/>
            </w:tcBorders>
            <w:noWrap/>
          </w:tcPr>
          <w:p w:rsidRPr="004431DE" w:rsidR="0065120A" w:rsidP="00BC3A1F" w:rsidRDefault="0065120A" w14:paraId="20F55F04" w14:textId="77777777">
            <w:pPr>
              <w:jc w:val="right"/>
              <w:rPr>
                <w:rFonts w:ascii="Arial" w:hAnsi="Arial" w:eastAsia="Times New Roman" w:cs="Arial"/>
                <w:sz w:val="20"/>
                <w:szCs w:val="20"/>
                <w:lang w:eastAsia="en-GB"/>
              </w:rPr>
            </w:pPr>
          </w:p>
        </w:tc>
      </w:tr>
      <w:tr w:rsidRPr="004431DE" w:rsidR="0065120A" w:rsidTr="00BC3A1F" w14:paraId="56352883" w14:textId="77777777">
        <w:trPr>
          <w:trHeight w:val="300"/>
        </w:trPr>
        <w:tc>
          <w:tcPr>
            <w:tcW w:w="6804" w:type="dxa"/>
            <w:gridSpan w:val="2"/>
            <w:tcBorders>
              <w:left w:val="nil"/>
              <w:right w:val="nil"/>
            </w:tcBorders>
            <w:noWrap/>
          </w:tcPr>
          <w:p w:rsidRPr="004431DE" w:rsidR="0065120A" w:rsidP="00BC3A1F" w:rsidRDefault="0065120A" w14:paraId="5575DCD3" w14:textId="77777777">
            <w:pPr>
              <w:ind w:left="171" w:firstLine="28" w:firstLineChars="14"/>
              <w:rPr>
                <w:rFonts w:ascii="Arial" w:hAnsi="Arial" w:eastAsia="Times New Roman" w:cs="Arial"/>
                <w:sz w:val="20"/>
                <w:szCs w:val="20"/>
              </w:rPr>
            </w:pPr>
            <w:r w:rsidRPr="004431DE">
              <w:rPr>
                <w:rFonts w:ascii="Arial" w:hAnsi="Arial"/>
                <w:sz w:val="20"/>
              </w:rPr>
              <w:t>i. Należności transgraniczne lokalne w walucie lokalnej, włącznie z działalnością związaną z instrumentami pochodnymi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25A56C36" w14:textId="77777777">
            <w:pPr>
              <w:jc w:val="right"/>
              <w:rPr>
                <w:rFonts w:ascii="Arial" w:hAnsi="Arial" w:eastAsia="Times New Roman" w:cs="Arial"/>
                <w:sz w:val="20"/>
                <w:szCs w:val="20"/>
                <w:lang w:eastAsia="en-GB"/>
              </w:rPr>
            </w:pPr>
          </w:p>
        </w:tc>
      </w:tr>
      <w:tr w:rsidRPr="004431DE" w:rsidR="0065120A" w:rsidTr="00BC3A1F" w14:paraId="2A7CD981" w14:textId="77777777">
        <w:trPr>
          <w:trHeight w:val="300"/>
        </w:trPr>
        <w:tc>
          <w:tcPr>
            <w:tcW w:w="6804" w:type="dxa"/>
            <w:gridSpan w:val="2"/>
            <w:tcBorders>
              <w:left w:val="nil"/>
              <w:right w:val="nil"/>
            </w:tcBorders>
            <w:noWrap/>
          </w:tcPr>
          <w:p w:rsidRPr="004431DE" w:rsidR="0065120A" w:rsidP="00BC3A1F" w:rsidRDefault="0065120A" w14:paraId="505FFBB6" w14:textId="77777777">
            <w:pPr>
              <w:ind w:left="171" w:firstLine="28" w:firstLineChars="14"/>
              <w:rPr>
                <w:rFonts w:ascii="Arial" w:hAnsi="Arial" w:eastAsia="Times New Roman" w:cs="Arial"/>
                <w:sz w:val="20"/>
                <w:szCs w:val="20"/>
              </w:rPr>
            </w:pPr>
            <w:r w:rsidRPr="004431DE">
              <w:rPr>
                <w:rFonts w:ascii="Arial" w:hAnsi="Arial"/>
                <w:sz w:val="20"/>
              </w:rPr>
              <w:t>j. Zobowiązania zagraniczne, z wyłączeniem zobowiązań z tytułu instrumentów pochodnych i zobowiązań lokalnych w walucie lokalnej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0D4851F5" w14:textId="77777777">
            <w:pPr>
              <w:jc w:val="right"/>
              <w:rPr>
                <w:rFonts w:ascii="Arial" w:hAnsi="Arial" w:eastAsia="Times New Roman" w:cs="Arial"/>
                <w:sz w:val="20"/>
                <w:szCs w:val="20"/>
                <w:lang w:eastAsia="en-GB"/>
              </w:rPr>
            </w:pPr>
          </w:p>
        </w:tc>
      </w:tr>
      <w:tr w:rsidRPr="004431DE" w:rsidR="0065120A" w:rsidTr="00BC3A1F" w14:paraId="6A62FE7A" w14:textId="77777777">
        <w:trPr>
          <w:trHeight w:val="300"/>
        </w:trPr>
        <w:tc>
          <w:tcPr>
            <w:tcW w:w="6804" w:type="dxa"/>
            <w:gridSpan w:val="2"/>
            <w:tcBorders>
              <w:left w:val="nil"/>
              <w:right w:val="nil"/>
            </w:tcBorders>
            <w:noWrap/>
          </w:tcPr>
          <w:p w:rsidRPr="004431DE" w:rsidR="0065120A" w:rsidP="00BC3A1F" w:rsidRDefault="0065120A" w14:paraId="12B0F7DE" w14:textId="77777777">
            <w:pPr>
              <w:ind w:left="171" w:firstLine="28" w:firstLineChars="14"/>
              <w:rPr>
                <w:rFonts w:ascii="Arial" w:hAnsi="Arial" w:eastAsia="Times New Roman" w:cs="Arial"/>
                <w:sz w:val="20"/>
                <w:szCs w:val="20"/>
              </w:rPr>
            </w:pPr>
            <w:r w:rsidRPr="004431DE">
              <w:rPr>
                <w:rFonts w:ascii="Arial" w:hAnsi="Arial"/>
                <w:sz w:val="20"/>
                <w:lang w:eastAsia="en-GB"/>
              </w:rPr>
              <w:t xml:space="preserve">(1) </w:t>
            </w:r>
            <w:r w:rsidRPr="004431DE">
              <w:rPr>
                <w:rFonts w:ascii="Arial" w:hAnsi="Arial"/>
                <w:sz w:val="20"/>
              </w:rPr>
              <w:t>Wszelkie zobowiązania zagraniczne wobec jednostek powiązanych ujęte w pozycji 20.j.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2A21B67F" w14:textId="77777777">
            <w:pPr>
              <w:jc w:val="right"/>
              <w:rPr>
                <w:rFonts w:ascii="Arial" w:hAnsi="Arial" w:eastAsia="Times New Roman" w:cs="Arial"/>
                <w:sz w:val="20"/>
                <w:szCs w:val="20"/>
                <w:lang w:eastAsia="en-GB"/>
              </w:rPr>
            </w:pPr>
          </w:p>
        </w:tc>
      </w:tr>
      <w:tr w:rsidRPr="004431DE" w:rsidR="0065120A" w:rsidTr="00BC3A1F" w14:paraId="332F4781" w14:textId="77777777">
        <w:trPr>
          <w:trHeight w:val="300"/>
        </w:trPr>
        <w:tc>
          <w:tcPr>
            <w:tcW w:w="6804" w:type="dxa"/>
            <w:gridSpan w:val="2"/>
            <w:tcBorders>
              <w:left w:val="nil"/>
              <w:right w:val="nil"/>
            </w:tcBorders>
            <w:noWrap/>
          </w:tcPr>
          <w:p w:rsidRPr="004431DE" w:rsidR="0065120A" w:rsidP="00BC3A1F" w:rsidRDefault="0065120A" w14:paraId="72C96E13" w14:textId="77777777">
            <w:pPr>
              <w:ind w:left="171" w:firstLine="28" w:firstLineChars="14"/>
              <w:rPr>
                <w:rFonts w:ascii="Arial" w:hAnsi="Arial" w:eastAsia="Times New Roman" w:cs="Arial"/>
                <w:sz w:val="20"/>
                <w:szCs w:val="20"/>
              </w:rPr>
            </w:pPr>
            <w:r w:rsidRPr="004431DE">
              <w:rPr>
                <w:rFonts w:ascii="Arial" w:hAnsi="Arial"/>
                <w:sz w:val="20"/>
              </w:rPr>
              <w:t>k. Zobowiązania lokalne w walucie lokalnej, z wyłączeniem zobowiązań z tytułu instrumentów pochodnych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3490D45A" w14:textId="77777777">
            <w:pPr>
              <w:jc w:val="right"/>
              <w:rPr>
                <w:rFonts w:ascii="Arial" w:hAnsi="Arial" w:eastAsia="Times New Roman" w:cs="Arial"/>
                <w:sz w:val="20"/>
                <w:szCs w:val="20"/>
                <w:lang w:eastAsia="en-GB"/>
              </w:rPr>
            </w:pPr>
          </w:p>
        </w:tc>
      </w:tr>
      <w:tr w:rsidRPr="004431DE" w:rsidR="0065120A" w:rsidTr="00BC3A1F" w14:paraId="1A0874C7" w14:textId="77777777">
        <w:trPr>
          <w:trHeight w:val="300"/>
        </w:trPr>
        <w:tc>
          <w:tcPr>
            <w:tcW w:w="6804" w:type="dxa"/>
            <w:gridSpan w:val="2"/>
            <w:tcBorders>
              <w:left w:val="nil"/>
              <w:right w:val="nil"/>
            </w:tcBorders>
            <w:noWrap/>
          </w:tcPr>
          <w:p w:rsidRPr="004431DE" w:rsidR="0065120A" w:rsidP="00BC3A1F" w:rsidRDefault="0065120A" w14:paraId="37D6EC4A" w14:textId="77777777">
            <w:pPr>
              <w:ind w:left="171" w:firstLine="28" w:firstLineChars="14"/>
              <w:rPr>
                <w:rFonts w:ascii="Arial" w:hAnsi="Arial" w:eastAsia="Times New Roman" w:cs="Arial"/>
                <w:sz w:val="20"/>
                <w:szCs w:val="20"/>
              </w:rPr>
            </w:pPr>
            <w:r w:rsidRPr="004431DE">
              <w:rPr>
                <w:rFonts w:ascii="Arial" w:hAnsi="Arial"/>
                <w:sz w:val="20"/>
              </w:rPr>
              <w:t>l. Zobowiązania lokalne w walucie lokalnej, włącznie z zobowiązaniami z tytułu instrumentów pochodnych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4B33B736" w14:textId="77777777">
            <w:pPr>
              <w:jc w:val="right"/>
              <w:rPr>
                <w:rFonts w:ascii="Arial" w:hAnsi="Arial" w:eastAsia="Times New Roman" w:cs="Arial"/>
                <w:sz w:val="20"/>
                <w:szCs w:val="20"/>
                <w:lang w:eastAsia="en-GB"/>
              </w:rPr>
            </w:pPr>
          </w:p>
        </w:tc>
      </w:tr>
      <w:tr w:rsidRPr="004431DE" w:rsidR="0065120A" w:rsidTr="00BC3A1F" w14:paraId="3B988865" w14:textId="77777777">
        <w:trPr>
          <w:trHeight w:val="300"/>
        </w:trPr>
        <w:tc>
          <w:tcPr>
            <w:tcW w:w="6804" w:type="dxa"/>
            <w:gridSpan w:val="2"/>
            <w:tcBorders>
              <w:left w:val="nil"/>
              <w:right w:val="nil"/>
            </w:tcBorders>
            <w:noWrap/>
          </w:tcPr>
          <w:p w:rsidRPr="004431DE" w:rsidR="0065120A" w:rsidP="00BC3A1F" w:rsidRDefault="0065120A" w14:paraId="5174A7D2" w14:textId="77777777">
            <w:pPr>
              <w:ind w:left="171" w:firstLine="28" w:firstLineChars="14"/>
              <w:rPr>
                <w:rFonts w:ascii="Arial" w:hAnsi="Arial" w:eastAsia="Times New Roman" w:cs="Arial"/>
                <w:sz w:val="20"/>
                <w:szCs w:val="20"/>
              </w:rPr>
            </w:pPr>
            <w:r w:rsidRPr="004431DE">
              <w:rPr>
                <w:rFonts w:ascii="Arial" w:hAnsi="Arial"/>
                <w:sz w:val="20"/>
              </w:rPr>
              <w:t>m. Łączna lokalna pozycja netto w walucie lokalnej, w tym z tytułu działalności związanej z instrumentami pochodnymi, jeśli wartość netto jest dodatnia</w:t>
            </w:r>
          </w:p>
        </w:tc>
        <w:tc>
          <w:tcPr>
            <w:tcW w:w="2745" w:type="dxa"/>
            <w:tcBorders>
              <w:left w:val="nil"/>
              <w:right w:val="nil"/>
            </w:tcBorders>
            <w:noWrap/>
          </w:tcPr>
          <w:p w:rsidRPr="004431DE" w:rsidR="0065120A" w:rsidP="00BC3A1F" w:rsidRDefault="0065120A" w14:paraId="0356FF9B" w14:textId="77777777">
            <w:pPr>
              <w:jc w:val="right"/>
              <w:rPr>
                <w:rFonts w:ascii="Arial" w:hAnsi="Arial" w:eastAsia="Times New Roman" w:cs="Arial"/>
                <w:sz w:val="20"/>
                <w:szCs w:val="20"/>
                <w:lang w:eastAsia="en-GB"/>
              </w:rPr>
            </w:pPr>
          </w:p>
        </w:tc>
      </w:tr>
      <w:tr w:rsidRPr="004431DE" w:rsidR="0065120A" w:rsidTr="00BC3A1F" w14:paraId="018D00D2" w14:textId="77777777">
        <w:trPr>
          <w:trHeight w:val="300"/>
        </w:trPr>
        <w:tc>
          <w:tcPr>
            <w:tcW w:w="6804" w:type="dxa"/>
            <w:gridSpan w:val="2"/>
            <w:tcBorders>
              <w:left w:val="nil"/>
              <w:right w:val="nil"/>
            </w:tcBorders>
            <w:noWrap/>
          </w:tcPr>
          <w:p w:rsidRPr="004431DE" w:rsidR="0065120A" w:rsidP="00BC3A1F" w:rsidRDefault="0065120A" w14:paraId="65B54F2D" w14:textId="77777777">
            <w:pPr>
              <w:ind w:left="171" w:firstLine="28" w:firstLineChars="14"/>
              <w:rPr>
                <w:rFonts w:ascii="Arial" w:hAnsi="Arial" w:eastAsia="Times New Roman" w:cs="Arial"/>
                <w:sz w:val="20"/>
                <w:szCs w:val="20"/>
              </w:rPr>
            </w:pPr>
            <w:r w:rsidRPr="004431DE">
              <w:rPr>
                <w:rFonts w:ascii="Arial" w:hAnsi="Arial"/>
                <w:sz w:val="20"/>
              </w:rPr>
              <w:t>n. Łączna lokalna pozycja netto w walucie lokalnej, w tym z tytułu działalności związanej z instrumentami pochodnymi, jeśli wartość netto jest ujemna</w:t>
            </w:r>
          </w:p>
        </w:tc>
        <w:tc>
          <w:tcPr>
            <w:tcW w:w="2745" w:type="dxa"/>
            <w:tcBorders>
              <w:left w:val="nil"/>
              <w:right w:val="nil"/>
            </w:tcBorders>
            <w:noWrap/>
          </w:tcPr>
          <w:p w:rsidRPr="004431DE" w:rsidR="0065120A" w:rsidP="00BC3A1F" w:rsidRDefault="0065120A" w14:paraId="77AB4BEF" w14:textId="77777777">
            <w:pPr>
              <w:jc w:val="right"/>
              <w:rPr>
                <w:rFonts w:ascii="Arial" w:hAnsi="Arial" w:eastAsia="Times New Roman" w:cs="Arial"/>
                <w:sz w:val="20"/>
                <w:szCs w:val="20"/>
                <w:lang w:eastAsia="en-GB"/>
              </w:rPr>
            </w:pPr>
          </w:p>
        </w:tc>
      </w:tr>
      <w:tr w:rsidRPr="004431DE" w:rsidR="0065120A" w:rsidTr="00BC3A1F" w14:paraId="7EB57613" w14:textId="77777777">
        <w:trPr>
          <w:trHeight w:val="300"/>
        </w:trPr>
        <w:tc>
          <w:tcPr>
            <w:tcW w:w="6804" w:type="dxa"/>
            <w:gridSpan w:val="2"/>
            <w:tcBorders>
              <w:left w:val="nil"/>
              <w:right w:val="nil"/>
            </w:tcBorders>
            <w:noWrap/>
          </w:tcPr>
          <w:p w:rsidRPr="004431DE" w:rsidR="0065120A" w:rsidP="00BC3A1F" w:rsidRDefault="0065120A" w14:paraId="19652878" w14:textId="77777777">
            <w:pPr>
              <w:ind w:left="171" w:firstLine="28" w:firstLineChars="14"/>
              <w:rPr>
                <w:rFonts w:ascii="Arial" w:hAnsi="Arial" w:eastAsia="Times New Roman" w:cs="Arial"/>
                <w:sz w:val="20"/>
                <w:szCs w:val="20"/>
              </w:rPr>
            </w:pPr>
            <w:r w:rsidRPr="004431DE">
              <w:rPr>
                <w:rFonts w:ascii="Arial" w:hAnsi="Arial"/>
                <w:sz w:val="20"/>
              </w:rPr>
              <w:t>o. Łączna lokalna pozycja netto w walucie lokalnej w krajach nieobjętych jednolitym mechanizmem restrukturyzacji i uporządkowanej likwidacji, w tym z tytułu działalności związanej z instrumentami pochodnymi, jeśli wartość netto jest dodatnia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58CE5591" w14:textId="77777777">
            <w:pPr>
              <w:jc w:val="right"/>
              <w:rPr>
                <w:rFonts w:ascii="Arial" w:hAnsi="Arial" w:eastAsia="Times New Roman" w:cs="Arial"/>
                <w:sz w:val="20"/>
                <w:szCs w:val="20"/>
                <w:lang w:eastAsia="en-GB"/>
              </w:rPr>
            </w:pPr>
          </w:p>
        </w:tc>
      </w:tr>
      <w:tr w:rsidRPr="004431DE" w:rsidR="0065120A" w:rsidTr="00BC3A1F" w14:paraId="2F3335A5" w14:textId="77777777">
        <w:trPr>
          <w:trHeight w:val="300"/>
        </w:trPr>
        <w:tc>
          <w:tcPr>
            <w:tcW w:w="6804" w:type="dxa"/>
            <w:gridSpan w:val="2"/>
            <w:tcBorders>
              <w:left w:val="nil"/>
              <w:right w:val="nil"/>
            </w:tcBorders>
            <w:noWrap/>
          </w:tcPr>
          <w:p w:rsidRPr="004431DE" w:rsidR="0065120A" w:rsidP="00BC3A1F" w:rsidRDefault="0065120A" w14:paraId="127FA9B2" w14:textId="77777777">
            <w:pPr>
              <w:ind w:left="171" w:firstLine="28" w:firstLineChars="14"/>
              <w:rPr>
                <w:rFonts w:ascii="Arial" w:hAnsi="Arial" w:eastAsia="Times New Roman" w:cs="Arial"/>
                <w:sz w:val="20"/>
                <w:szCs w:val="20"/>
              </w:rPr>
            </w:pPr>
            <w:r w:rsidRPr="004431DE">
              <w:rPr>
                <w:rFonts w:ascii="Arial" w:hAnsi="Arial"/>
                <w:sz w:val="20"/>
              </w:rPr>
              <w:t>p. Łączna lokalna pozycja netto w walucie lokalnej w krajach nieobjętych jednolitym mechanizmem restrukturyzacji i uporządkowanej likwidacji, w tym z tytułu działalności związanej z instrumentami pochodnymi, jeśli wartość netto jest ujemna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469DCFA1" w14:textId="77777777">
            <w:pPr>
              <w:jc w:val="right"/>
              <w:rPr>
                <w:rFonts w:ascii="Arial" w:hAnsi="Arial" w:eastAsia="Times New Roman" w:cs="Arial"/>
                <w:sz w:val="20"/>
                <w:szCs w:val="20"/>
                <w:lang w:eastAsia="en-GB"/>
              </w:rPr>
            </w:pPr>
          </w:p>
        </w:tc>
      </w:tr>
      <w:tr w:rsidRPr="004431DE" w:rsidR="0065120A" w:rsidTr="00BC3A1F" w14:paraId="77E984BF" w14:textId="77777777">
        <w:trPr>
          <w:trHeight w:val="300"/>
        </w:trPr>
        <w:tc>
          <w:tcPr>
            <w:tcW w:w="6804" w:type="dxa"/>
            <w:gridSpan w:val="2"/>
            <w:tcBorders>
              <w:left w:val="nil"/>
              <w:right w:val="nil"/>
            </w:tcBorders>
            <w:noWrap/>
          </w:tcPr>
          <w:p w:rsidRPr="004431DE" w:rsidR="0065120A" w:rsidP="00BC3A1F" w:rsidRDefault="0065120A" w14:paraId="5A9DD2D5" w14:textId="77777777">
            <w:pPr>
              <w:ind w:left="171" w:firstLine="28" w:firstLineChars="14"/>
              <w:rPr>
                <w:rFonts w:ascii="Arial" w:hAnsi="Arial" w:eastAsia="Times New Roman" w:cs="Arial"/>
                <w:sz w:val="20"/>
                <w:szCs w:val="20"/>
              </w:rPr>
            </w:pPr>
            <w:r w:rsidRPr="004431DE">
              <w:rPr>
                <w:rFonts w:ascii="Arial" w:hAnsi="Arial"/>
                <w:sz w:val="20"/>
              </w:rPr>
              <w:t xml:space="preserve">q. Łączna lokalna pozycja netto w walucie lokalnej w krajach objętych jednolitym mechanizmem restrukturyzacji i uporządkowanej likwidacji, w tym z tytułu działalności związanej z instrumentami pochodnymi </w:t>
            </w:r>
            <w:r w:rsidRPr="004431DE">
              <w:rPr>
                <w:rFonts w:ascii="Arial" w:hAnsi="Arial"/>
                <w:sz w:val="20"/>
              </w:rPr>
              <w:lastRenderedPageBreak/>
              <w:t>(uwzględniając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73AE11B0" w14:textId="77777777">
            <w:pPr>
              <w:jc w:val="right"/>
              <w:rPr>
                <w:rFonts w:ascii="Arial" w:hAnsi="Arial" w:eastAsia="Times New Roman" w:cs="Arial"/>
                <w:sz w:val="20"/>
                <w:szCs w:val="20"/>
                <w:lang w:eastAsia="en-GB"/>
              </w:rPr>
            </w:pPr>
          </w:p>
        </w:tc>
      </w:tr>
      <w:tr w:rsidRPr="004431DE" w:rsidR="0065120A" w:rsidTr="00BC3A1F" w14:paraId="2593505B" w14:textId="77777777">
        <w:trPr>
          <w:trHeight w:val="300"/>
        </w:trPr>
        <w:tc>
          <w:tcPr>
            <w:tcW w:w="6804" w:type="dxa"/>
            <w:gridSpan w:val="2"/>
            <w:tcBorders>
              <w:left w:val="nil"/>
              <w:right w:val="nil"/>
            </w:tcBorders>
            <w:noWrap/>
          </w:tcPr>
          <w:p w:rsidRPr="004431DE" w:rsidR="0065120A" w:rsidP="00BC3A1F" w:rsidRDefault="0065120A" w14:paraId="54967E4F" w14:textId="77777777">
            <w:pPr>
              <w:ind w:firstLine="200" w:firstLineChars="100"/>
              <w:rPr>
                <w:rFonts w:ascii="Arial" w:hAnsi="Arial" w:eastAsia="Times New Roman" w:cs="Arial"/>
                <w:sz w:val="20"/>
                <w:szCs w:val="20"/>
              </w:rPr>
            </w:pPr>
            <w:r w:rsidRPr="004431DE">
              <w:rPr>
                <w:rFonts w:ascii="Arial" w:hAnsi="Arial"/>
                <w:sz w:val="20"/>
              </w:rPr>
              <w:t xml:space="preserve">r. Należności wewnątrzgrupowe wykazywane przez zagraniczne jednostki zależne </w:t>
            </w:r>
          </w:p>
        </w:tc>
        <w:tc>
          <w:tcPr>
            <w:tcW w:w="2745" w:type="dxa"/>
            <w:tcBorders>
              <w:left w:val="nil"/>
              <w:right w:val="nil"/>
            </w:tcBorders>
            <w:noWrap/>
          </w:tcPr>
          <w:p w:rsidRPr="004431DE" w:rsidR="0065120A" w:rsidP="00BC3A1F" w:rsidRDefault="0065120A" w14:paraId="2C787E55" w14:textId="77777777">
            <w:pPr>
              <w:jc w:val="right"/>
              <w:rPr>
                <w:rFonts w:ascii="Arial" w:hAnsi="Arial" w:eastAsia="Times New Roman" w:cs="Arial"/>
                <w:sz w:val="20"/>
                <w:szCs w:val="20"/>
                <w:lang w:eastAsia="en-GB"/>
              </w:rPr>
            </w:pPr>
          </w:p>
        </w:tc>
      </w:tr>
      <w:tr w:rsidRPr="004431DE" w:rsidR="0065120A" w:rsidTr="00BC3A1F" w14:paraId="1DF619BD" w14:textId="77777777">
        <w:trPr>
          <w:trHeight w:val="300"/>
        </w:trPr>
        <w:tc>
          <w:tcPr>
            <w:tcW w:w="6804" w:type="dxa"/>
            <w:gridSpan w:val="2"/>
            <w:tcBorders>
              <w:left w:val="nil"/>
              <w:right w:val="nil"/>
            </w:tcBorders>
            <w:noWrap/>
          </w:tcPr>
          <w:p w:rsidRPr="004431DE" w:rsidR="0065120A" w:rsidP="00BC3A1F" w:rsidRDefault="0065120A" w14:paraId="1F7E85DB" w14:textId="77777777">
            <w:pPr>
              <w:ind w:firstLine="200" w:firstLineChars="100"/>
              <w:rPr>
                <w:rFonts w:ascii="Arial" w:hAnsi="Arial" w:eastAsia="Times New Roman" w:cs="Arial"/>
                <w:sz w:val="20"/>
                <w:szCs w:val="20"/>
              </w:rPr>
            </w:pPr>
            <w:r w:rsidRPr="004431DE">
              <w:rPr>
                <w:rFonts w:ascii="Arial" w:hAnsi="Arial"/>
                <w:sz w:val="20"/>
              </w:rPr>
              <w:t xml:space="preserve">s. Należności wewnątrzgrupowe wykazywane przez zagraniczne oddziały </w:t>
            </w:r>
          </w:p>
        </w:tc>
        <w:tc>
          <w:tcPr>
            <w:tcW w:w="2745" w:type="dxa"/>
            <w:tcBorders>
              <w:left w:val="nil"/>
              <w:right w:val="nil"/>
            </w:tcBorders>
            <w:noWrap/>
          </w:tcPr>
          <w:p w:rsidRPr="004431DE" w:rsidR="0065120A" w:rsidP="00BC3A1F" w:rsidRDefault="0065120A" w14:paraId="53E1F162" w14:textId="77777777">
            <w:pPr>
              <w:jc w:val="right"/>
              <w:rPr>
                <w:rFonts w:ascii="Arial" w:hAnsi="Arial" w:eastAsia="Times New Roman" w:cs="Arial"/>
                <w:sz w:val="20"/>
                <w:szCs w:val="20"/>
                <w:lang w:eastAsia="en-GB"/>
              </w:rPr>
            </w:pPr>
          </w:p>
        </w:tc>
      </w:tr>
      <w:tr w:rsidRPr="004431DE" w:rsidR="0065120A" w:rsidTr="00BC3A1F" w14:paraId="09C4BCBC" w14:textId="77777777">
        <w:trPr>
          <w:trHeight w:val="300"/>
        </w:trPr>
        <w:tc>
          <w:tcPr>
            <w:tcW w:w="6804" w:type="dxa"/>
            <w:gridSpan w:val="2"/>
            <w:tcBorders>
              <w:left w:val="nil"/>
              <w:right w:val="nil"/>
            </w:tcBorders>
            <w:noWrap/>
          </w:tcPr>
          <w:p w:rsidRPr="004431DE" w:rsidR="0065120A" w:rsidP="00BC3A1F" w:rsidRDefault="0065120A" w14:paraId="05463909" w14:textId="77777777">
            <w:pPr>
              <w:ind w:firstLine="200" w:firstLineChars="100"/>
              <w:rPr>
                <w:rFonts w:ascii="Arial" w:hAnsi="Arial" w:eastAsia="Times New Roman" w:cs="Arial"/>
                <w:sz w:val="20"/>
                <w:szCs w:val="20"/>
              </w:rPr>
            </w:pPr>
            <w:r w:rsidRPr="004431DE">
              <w:rPr>
                <w:rFonts w:ascii="Arial" w:hAnsi="Arial"/>
                <w:sz w:val="20"/>
              </w:rPr>
              <w:t>Zobowiązania wewnątrzgrupowe wykazywane przez zagraniczne jednostki zależne</w:t>
            </w:r>
          </w:p>
        </w:tc>
        <w:tc>
          <w:tcPr>
            <w:tcW w:w="2745" w:type="dxa"/>
            <w:tcBorders>
              <w:left w:val="nil"/>
              <w:right w:val="nil"/>
            </w:tcBorders>
            <w:noWrap/>
          </w:tcPr>
          <w:p w:rsidRPr="004431DE" w:rsidR="0065120A" w:rsidP="00BC3A1F" w:rsidRDefault="0065120A" w14:paraId="7206CBC8" w14:textId="77777777">
            <w:pPr>
              <w:jc w:val="right"/>
              <w:rPr>
                <w:rFonts w:ascii="Arial" w:hAnsi="Arial" w:eastAsia="Times New Roman" w:cs="Arial"/>
                <w:sz w:val="20"/>
                <w:szCs w:val="20"/>
                <w:lang w:eastAsia="en-GB"/>
              </w:rPr>
            </w:pPr>
          </w:p>
        </w:tc>
      </w:tr>
      <w:tr w:rsidRPr="004431DE" w:rsidR="0065120A" w:rsidTr="00BC3A1F" w14:paraId="675D1013" w14:textId="77777777">
        <w:trPr>
          <w:trHeight w:val="300"/>
        </w:trPr>
        <w:tc>
          <w:tcPr>
            <w:tcW w:w="6804" w:type="dxa"/>
            <w:gridSpan w:val="2"/>
            <w:tcBorders>
              <w:left w:val="nil"/>
              <w:right w:val="nil"/>
            </w:tcBorders>
            <w:noWrap/>
          </w:tcPr>
          <w:p w:rsidRPr="004431DE" w:rsidR="0065120A" w:rsidP="00BC3A1F" w:rsidRDefault="0065120A" w14:paraId="5B891C30" w14:textId="77777777">
            <w:pPr>
              <w:ind w:firstLine="200" w:firstLineChars="100"/>
              <w:rPr>
                <w:rFonts w:ascii="Arial" w:hAnsi="Arial" w:eastAsia="Times New Roman" w:cs="Arial"/>
                <w:sz w:val="20"/>
                <w:szCs w:val="20"/>
              </w:rPr>
            </w:pPr>
            <w:r w:rsidRPr="004431DE">
              <w:rPr>
                <w:rFonts w:ascii="Arial" w:hAnsi="Arial"/>
                <w:sz w:val="20"/>
              </w:rPr>
              <w:t xml:space="preserve">u. Zobowiązania wewnątrzgrupowe wykazywane przez zagraniczne oddziały </w:t>
            </w:r>
          </w:p>
        </w:tc>
        <w:tc>
          <w:tcPr>
            <w:tcW w:w="2745" w:type="dxa"/>
            <w:tcBorders>
              <w:left w:val="nil"/>
              <w:right w:val="nil"/>
            </w:tcBorders>
            <w:noWrap/>
          </w:tcPr>
          <w:p w:rsidRPr="004431DE" w:rsidR="0065120A" w:rsidP="00BC3A1F" w:rsidRDefault="0065120A" w14:paraId="360B3781" w14:textId="77777777">
            <w:pPr>
              <w:jc w:val="right"/>
              <w:rPr>
                <w:rFonts w:ascii="Arial" w:hAnsi="Arial" w:eastAsia="Times New Roman" w:cs="Arial"/>
                <w:sz w:val="20"/>
                <w:szCs w:val="20"/>
                <w:lang w:eastAsia="en-GB"/>
              </w:rPr>
            </w:pPr>
          </w:p>
        </w:tc>
      </w:tr>
      <w:tr w:rsidRPr="004431DE" w:rsidR="0065120A" w:rsidTr="00BC3A1F" w14:paraId="0AFC86D9" w14:textId="77777777">
        <w:trPr>
          <w:trHeight w:val="300"/>
        </w:trPr>
        <w:tc>
          <w:tcPr>
            <w:tcW w:w="6804" w:type="dxa"/>
            <w:gridSpan w:val="2"/>
            <w:tcBorders>
              <w:left w:val="nil"/>
              <w:right w:val="nil"/>
            </w:tcBorders>
            <w:noWrap/>
          </w:tcPr>
          <w:p w:rsidRPr="004431DE" w:rsidR="0065120A" w:rsidP="00BC3A1F" w:rsidRDefault="0065120A" w14:paraId="783E9C4A" w14:textId="77777777">
            <w:pPr>
              <w:ind w:firstLine="200" w:firstLineChars="100"/>
              <w:rPr>
                <w:rFonts w:ascii="Arial" w:hAnsi="Arial" w:eastAsia="Times New Roman" w:cs="Arial"/>
                <w:sz w:val="20"/>
                <w:szCs w:val="20"/>
              </w:rPr>
            </w:pPr>
            <w:r w:rsidRPr="004431DE">
              <w:rPr>
                <w:rFonts w:ascii="Arial" w:hAnsi="Arial"/>
                <w:sz w:val="20"/>
              </w:rPr>
              <w:t xml:space="preserve">v. Średnia kwartalna wartość należności transgranicznych </w:t>
            </w:r>
          </w:p>
        </w:tc>
        <w:tc>
          <w:tcPr>
            <w:tcW w:w="2745" w:type="dxa"/>
            <w:tcBorders>
              <w:left w:val="nil"/>
              <w:right w:val="nil"/>
            </w:tcBorders>
            <w:noWrap/>
          </w:tcPr>
          <w:p w:rsidRPr="004431DE" w:rsidR="0065120A" w:rsidP="00BC3A1F" w:rsidRDefault="0065120A" w14:paraId="14FEB899" w14:textId="77777777">
            <w:pPr>
              <w:jc w:val="right"/>
              <w:rPr>
                <w:rFonts w:ascii="Arial" w:hAnsi="Arial" w:eastAsia="Times New Roman" w:cs="Arial"/>
                <w:sz w:val="20"/>
                <w:szCs w:val="20"/>
                <w:lang w:eastAsia="en-GB"/>
              </w:rPr>
            </w:pPr>
          </w:p>
        </w:tc>
      </w:tr>
      <w:tr w:rsidRPr="004431DE" w:rsidR="0065120A" w:rsidTr="00BC3A1F" w14:paraId="25E5F634" w14:textId="77777777">
        <w:trPr>
          <w:trHeight w:val="300"/>
        </w:trPr>
        <w:tc>
          <w:tcPr>
            <w:tcW w:w="6804" w:type="dxa"/>
            <w:gridSpan w:val="2"/>
            <w:tcBorders>
              <w:left w:val="nil"/>
              <w:right w:val="nil"/>
            </w:tcBorders>
            <w:noWrap/>
          </w:tcPr>
          <w:p w:rsidRPr="004431DE" w:rsidR="0065120A" w:rsidP="00BC3A1F" w:rsidRDefault="0065120A" w14:paraId="14CDEE54" w14:textId="77777777">
            <w:pPr>
              <w:ind w:firstLine="200" w:firstLineChars="100"/>
              <w:rPr>
                <w:rFonts w:ascii="Arial" w:hAnsi="Arial" w:eastAsia="Times New Roman" w:cs="Arial"/>
                <w:sz w:val="20"/>
                <w:szCs w:val="20"/>
              </w:rPr>
            </w:pPr>
            <w:r w:rsidRPr="004431DE">
              <w:rPr>
                <w:rFonts w:ascii="Arial" w:hAnsi="Arial"/>
                <w:sz w:val="20"/>
              </w:rPr>
              <w:t xml:space="preserve">w. Średnia miesięczna wartość należności transgranicznych </w:t>
            </w:r>
          </w:p>
        </w:tc>
        <w:tc>
          <w:tcPr>
            <w:tcW w:w="2745" w:type="dxa"/>
            <w:tcBorders>
              <w:left w:val="nil"/>
              <w:right w:val="nil"/>
            </w:tcBorders>
            <w:noWrap/>
          </w:tcPr>
          <w:p w:rsidRPr="004431DE" w:rsidR="0065120A" w:rsidP="00BC3A1F" w:rsidRDefault="0065120A" w14:paraId="3B3CC889" w14:textId="77777777">
            <w:pPr>
              <w:jc w:val="right"/>
              <w:rPr>
                <w:rFonts w:ascii="Arial" w:hAnsi="Arial" w:eastAsia="Times New Roman" w:cs="Arial"/>
                <w:sz w:val="20"/>
                <w:szCs w:val="20"/>
                <w:lang w:eastAsia="en-GB"/>
              </w:rPr>
            </w:pPr>
          </w:p>
        </w:tc>
      </w:tr>
      <w:tr w:rsidRPr="004431DE" w:rsidR="0065120A" w:rsidTr="00BC3A1F" w14:paraId="308C2722" w14:textId="77777777">
        <w:trPr>
          <w:trHeight w:val="300"/>
        </w:trPr>
        <w:tc>
          <w:tcPr>
            <w:tcW w:w="6804" w:type="dxa"/>
            <w:gridSpan w:val="2"/>
            <w:tcBorders>
              <w:left w:val="nil"/>
              <w:right w:val="nil"/>
            </w:tcBorders>
            <w:noWrap/>
          </w:tcPr>
          <w:p w:rsidRPr="004431DE" w:rsidR="0065120A" w:rsidP="00BC3A1F" w:rsidRDefault="0065120A" w14:paraId="0222F8D8" w14:textId="77777777">
            <w:pPr>
              <w:ind w:firstLine="200" w:firstLineChars="100"/>
              <w:rPr>
                <w:rFonts w:ascii="Arial" w:hAnsi="Arial" w:eastAsia="Times New Roman" w:cs="Arial"/>
                <w:sz w:val="20"/>
                <w:szCs w:val="20"/>
              </w:rPr>
            </w:pPr>
            <w:r w:rsidRPr="004431DE">
              <w:rPr>
                <w:rFonts w:ascii="Arial" w:hAnsi="Arial"/>
                <w:sz w:val="20"/>
              </w:rPr>
              <w:t xml:space="preserve">x. Średnia kwartalna wartość zobowiązań transgranicznych </w:t>
            </w:r>
          </w:p>
        </w:tc>
        <w:tc>
          <w:tcPr>
            <w:tcW w:w="2745" w:type="dxa"/>
            <w:tcBorders>
              <w:left w:val="nil"/>
              <w:right w:val="nil"/>
            </w:tcBorders>
            <w:noWrap/>
          </w:tcPr>
          <w:p w:rsidRPr="004431DE" w:rsidR="0065120A" w:rsidP="00BC3A1F" w:rsidRDefault="0065120A" w14:paraId="12B122AE" w14:textId="77777777">
            <w:pPr>
              <w:jc w:val="right"/>
              <w:rPr>
                <w:rFonts w:ascii="Arial" w:hAnsi="Arial" w:eastAsia="Times New Roman" w:cs="Arial"/>
                <w:sz w:val="20"/>
                <w:szCs w:val="20"/>
                <w:lang w:eastAsia="en-GB"/>
              </w:rPr>
            </w:pPr>
          </w:p>
        </w:tc>
      </w:tr>
      <w:tr w:rsidRPr="004431DE" w:rsidR="0065120A" w:rsidTr="00BC3A1F" w14:paraId="4D974CE9"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0BC61D7E" w14:textId="77777777">
            <w:pPr>
              <w:ind w:firstLine="200" w:firstLineChars="100"/>
              <w:rPr>
                <w:rFonts w:ascii="Arial" w:hAnsi="Arial" w:eastAsia="Times New Roman" w:cs="Arial"/>
                <w:sz w:val="20"/>
                <w:szCs w:val="20"/>
              </w:rPr>
            </w:pPr>
            <w:r w:rsidRPr="004431DE">
              <w:rPr>
                <w:rFonts w:ascii="Arial" w:hAnsi="Arial"/>
                <w:sz w:val="20"/>
              </w:rPr>
              <w:t xml:space="preserve">y. Średnia miesięczna wartość zobowiązań transgranicznych </w:t>
            </w:r>
          </w:p>
        </w:tc>
        <w:tc>
          <w:tcPr>
            <w:tcW w:w="2745" w:type="dxa"/>
            <w:tcBorders>
              <w:left w:val="nil"/>
              <w:bottom w:val="single" w:color="auto" w:sz="4" w:space="0"/>
              <w:right w:val="nil"/>
            </w:tcBorders>
            <w:noWrap/>
          </w:tcPr>
          <w:p w:rsidRPr="004431DE" w:rsidR="0065120A" w:rsidP="00BC3A1F" w:rsidRDefault="0065120A" w14:paraId="4A6631F4" w14:textId="77777777">
            <w:pPr>
              <w:jc w:val="right"/>
              <w:rPr>
                <w:rFonts w:ascii="Arial" w:hAnsi="Arial" w:eastAsia="Times New Roman" w:cs="Arial"/>
                <w:sz w:val="20"/>
                <w:szCs w:val="20"/>
                <w:lang w:eastAsia="en-GB"/>
              </w:rPr>
            </w:pPr>
          </w:p>
        </w:tc>
      </w:tr>
      <w:tr w:rsidRPr="004431DE" w:rsidR="0065120A" w:rsidTr="00BC3A1F" w14:paraId="2B1C02FF" w14:textId="77777777">
        <w:trPr>
          <w:trHeight w:val="300"/>
        </w:trPr>
        <w:tc>
          <w:tcPr>
            <w:tcW w:w="6804" w:type="dxa"/>
            <w:gridSpan w:val="2"/>
            <w:tcBorders>
              <w:left w:val="nil"/>
              <w:bottom w:val="nil"/>
              <w:right w:val="nil"/>
            </w:tcBorders>
            <w:noWrap/>
          </w:tcPr>
          <w:p w:rsidRPr="004431DE" w:rsidR="0065120A" w:rsidP="00BC3A1F" w:rsidRDefault="0065120A" w14:paraId="406E565E"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4431DE" w:rsidR="0065120A" w:rsidP="00BC3A1F" w:rsidRDefault="0065120A" w14:paraId="63F4382D" w14:textId="77777777">
            <w:pPr>
              <w:jc w:val="right"/>
              <w:rPr>
                <w:rFonts w:ascii="Arial" w:hAnsi="Arial" w:eastAsia="Times New Roman" w:cs="Arial"/>
                <w:sz w:val="20"/>
                <w:szCs w:val="20"/>
                <w:lang w:eastAsia="en-GB"/>
              </w:rPr>
            </w:pPr>
          </w:p>
        </w:tc>
      </w:tr>
      <w:tr w:rsidRPr="004431DE" w:rsidR="0065120A" w:rsidTr="00BC3A1F" w14:paraId="74C10F6E" w14:textId="77777777">
        <w:trPr>
          <w:trHeight w:val="300"/>
        </w:trPr>
        <w:tc>
          <w:tcPr>
            <w:tcW w:w="6804" w:type="dxa"/>
            <w:gridSpan w:val="2"/>
            <w:tcBorders>
              <w:top w:val="nil"/>
              <w:left w:val="nil"/>
              <w:right w:val="nil"/>
            </w:tcBorders>
            <w:noWrap/>
          </w:tcPr>
          <w:p w:rsidRPr="004431DE" w:rsidR="0065120A" w:rsidP="00BC3A1F" w:rsidRDefault="0065120A" w14:paraId="6CABB2A5" w14:textId="77777777">
            <w:pPr>
              <w:rPr>
                <w:rFonts w:ascii="Arial" w:hAnsi="Arial" w:eastAsia="Times New Roman" w:cs="Arial"/>
                <w:sz w:val="20"/>
                <w:szCs w:val="20"/>
              </w:rPr>
            </w:pPr>
            <w:r w:rsidRPr="004431DE">
              <w:rPr>
                <w:rFonts w:ascii="Arial" w:hAnsi="Arial"/>
                <w:b/>
                <w:sz w:val="20"/>
              </w:rPr>
              <w:t>Sekcja 22 – Wskaźniki pomocnicze</w:t>
            </w:r>
          </w:p>
        </w:tc>
        <w:tc>
          <w:tcPr>
            <w:tcW w:w="2745" w:type="dxa"/>
            <w:tcBorders>
              <w:top w:val="nil"/>
              <w:left w:val="nil"/>
              <w:right w:val="nil"/>
            </w:tcBorders>
            <w:noWrap/>
          </w:tcPr>
          <w:p w:rsidRPr="004431DE" w:rsidR="0065120A" w:rsidP="00BC3A1F" w:rsidRDefault="0065120A" w14:paraId="11F1651F" w14:textId="77777777">
            <w:pPr>
              <w:jc w:val="right"/>
              <w:rPr>
                <w:rFonts w:ascii="Arial" w:hAnsi="Arial" w:eastAsia="Times New Roman" w:cs="Arial"/>
                <w:sz w:val="20"/>
                <w:szCs w:val="20"/>
                <w:lang w:eastAsia="en-GB"/>
              </w:rPr>
            </w:pPr>
          </w:p>
        </w:tc>
      </w:tr>
      <w:tr w:rsidRPr="004431DE" w:rsidR="0065120A" w:rsidTr="00BC3A1F" w14:paraId="4B02A371" w14:textId="77777777">
        <w:trPr>
          <w:trHeight w:val="300"/>
        </w:trPr>
        <w:tc>
          <w:tcPr>
            <w:tcW w:w="6804" w:type="dxa"/>
            <w:gridSpan w:val="2"/>
            <w:tcBorders>
              <w:left w:val="nil"/>
              <w:right w:val="nil"/>
            </w:tcBorders>
            <w:noWrap/>
          </w:tcPr>
          <w:p w:rsidRPr="004431DE" w:rsidR="0065120A" w:rsidP="00BC3A1F" w:rsidRDefault="0065120A" w14:paraId="2D79DF81" w14:textId="77777777">
            <w:pPr>
              <w:ind w:firstLine="200" w:firstLineChars="100"/>
              <w:rPr>
                <w:rFonts w:ascii="Arial" w:hAnsi="Arial" w:eastAsia="Times New Roman" w:cs="Arial"/>
                <w:sz w:val="20"/>
                <w:szCs w:val="20"/>
              </w:rPr>
            </w:pPr>
            <w:r w:rsidRPr="004431DE">
              <w:rPr>
                <w:rFonts w:ascii="Arial" w:hAnsi="Arial"/>
                <w:sz w:val="20"/>
              </w:rPr>
              <w:t>a. Przychody zagraniczne netto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37802B1C" w14:textId="77777777">
            <w:pPr>
              <w:jc w:val="right"/>
              <w:rPr>
                <w:rFonts w:ascii="Arial" w:hAnsi="Arial" w:eastAsia="Times New Roman" w:cs="Arial"/>
                <w:sz w:val="20"/>
                <w:szCs w:val="20"/>
                <w:lang w:eastAsia="en-GB"/>
              </w:rPr>
            </w:pPr>
          </w:p>
        </w:tc>
      </w:tr>
      <w:tr w:rsidRPr="004431DE" w:rsidR="0065120A" w:rsidTr="00BC3A1F" w14:paraId="2D32462E"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F4510D3" w14:textId="77777777">
            <w:pPr>
              <w:ind w:firstLine="200" w:firstLineChars="100"/>
              <w:rPr>
                <w:rFonts w:ascii="Arial" w:hAnsi="Arial" w:eastAsia="Times New Roman" w:cs="Arial"/>
                <w:sz w:val="20"/>
                <w:szCs w:val="20"/>
              </w:rPr>
            </w:pPr>
            <w:r w:rsidRPr="004431DE">
              <w:rPr>
                <w:rFonts w:ascii="Arial" w:hAnsi="Arial"/>
                <w:sz w:val="20"/>
              </w:rPr>
              <w:t>b. Liczba jurysdykcji (uwzględniając jednolity mechanizm restrukturyzacji i uporządkowanej likwidacji jako jedną jurysdykcję)</w:t>
            </w:r>
          </w:p>
        </w:tc>
        <w:tc>
          <w:tcPr>
            <w:tcW w:w="2745" w:type="dxa"/>
            <w:tcBorders>
              <w:left w:val="nil"/>
              <w:right w:val="nil"/>
            </w:tcBorders>
            <w:noWrap/>
          </w:tcPr>
          <w:p w:rsidRPr="004431DE" w:rsidR="0065120A" w:rsidP="00BC3A1F" w:rsidRDefault="0065120A" w14:paraId="57A34245" w14:textId="77777777">
            <w:pPr>
              <w:jc w:val="right"/>
              <w:rPr>
                <w:rFonts w:ascii="Arial" w:hAnsi="Arial" w:eastAsia="Times New Roman" w:cs="Arial"/>
                <w:sz w:val="20"/>
                <w:szCs w:val="20"/>
                <w:lang w:eastAsia="en-GB"/>
              </w:rPr>
            </w:pPr>
          </w:p>
        </w:tc>
      </w:tr>
      <w:tr w:rsidRPr="004431DE" w:rsidR="0065120A" w:rsidTr="00BC3A1F" w14:paraId="57675C03" w14:textId="77777777">
        <w:trPr>
          <w:trHeight w:val="300"/>
        </w:trPr>
        <w:tc>
          <w:tcPr>
            <w:tcW w:w="6804" w:type="dxa"/>
            <w:gridSpan w:val="2"/>
            <w:tcBorders>
              <w:left w:val="nil"/>
              <w:bottom w:val="nil"/>
              <w:right w:val="nil"/>
            </w:tcBorders>
            <w:noWrap/>
          </w:tcPr>
          <w:p w:rsidRPr="004431DE" w:rsidR="0065120A" w:rsidP="00BC3A1F" w:rsidRDefault="0065120A" w14:paraId="7CBB28E0"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4431DE" w:rsidR="0065120A" w:rsidP="00BC3A1F" w:rsidRDefault="0065120A" w14:paraId="331C153C" w14:textId="77777777">
            <w:pPr>
              <w:jc w:val="right"/>
              <w:rPr>
                <w:rFonts w:ascii="Arial" w:hAnsi="Arial" w:eastAsia="Times New Roman" w:cs="Arial"/>
                <w:sz w:val="20"/>
                <w:szCs w:val="20"/>
                <w:lang w:eastAsia="en-GB"/>
              </w:rPr>
            </w:pPr>
          </w:p>
        </w:tc>
      </w:tr>
      <w:tr w:rsidRPr="004431DE" w:rsidR="0065120A" w:rsidTr="00BC3A1F" w14:paraId="07EB4155" w14:textId="77777777">
        <w:trPr>
          <w:trHeight w:val="300"/>
        </w:trPr>
        <w:tc>
          <w:tcPr>
            <w:tcW w:w="6804" w:type="dxa"/>
            <w:gridSpan w:val="2"/>
            <w:tcBorders>
              <w:top w:val="nil"/>
              <w:left w:val="nil"/>
              <w:bottom w:val="nil"/>
              <w:right w:val="nil"/>
            </w:tcBorders>
            <w:noWrap/>
          </w:tcPr>
          <w:p w:rsidRPr="004431DE" w:rsidR="0065120A" w:rsidP="00BC3A1F" w:rsidRDefault="0065120A" w14:paraId="3341C84A" w14:textId="77777777">
            <w:pPr>
              <w:ind w:firstLine="221" w:firstLineChars="100"/>
              <w:rPr>
                <w:rFonts w:ascii="Arial" w:hAnsi="Arial" w:eastAsia="Times New Roman" w:cs="Arial"/>
                <w:sz w:val="20"/>
                <w:szCs w:val="20"/>
              </w:rPr>
            </w:pPr>
            <w:r w:rsidRPr="004431DE">
              <w:rPr>
                <w:rFonts w:asciiTheme="majorHAnsi" w:hAnsiTheme="majorHAnsi"/>
                <w:b/>
                <w:i/>
                <w:caps/>
              </w:rPr>
              <w:t>Podsumowanie kontroli</w:t>
            </w:r>
          </w:p>
        </w:tc>
        <w:tc>
          <w:tcPr>
            <w:tcW w:w="2745" w:type="dxa"/>
            <w:tcBorders>
              <w:top w:val="nil"/>
              <w:left w:val="nil"/>
              <w:bottom w:val="nil"/>
              <w:right w:val="nil"/>
            </w:tcBorders>
            <w:noWrap/>
          </w:tcPr>
          <w:p w:rsidRPr="004431DE" w:rsidR="0065120A" w:rsidP="00BC3A1F" w:rsidRDefault="0065120A" w14:paraId="7DAD999E" w14:textId="77777777">
            <w:pPr>
              <w:jc w:val="right"/>
              <w:rPr>
                <w:rFonts w:ascii="Arial" w:hAnsi="Arial" w:eastAsia="Times New Roman" w:cs="Arial"/>
                <w:sz w:val="20"/>
                <w:szCs w:val="20"/>
                <w:lang w:eastAsia="en-GB"/>
              </w:rPr>
            </w:pPr>
          </w:p>
        </w:tc>
      </w:tr>
      <w:tr w:rsidRPr="004431DE" w:rsidR="0065120A" w:rsidTr="00BC3A1F" w14:paraId="0B3758F2" w14:textId="77777777">
        <w:trPr>
          <w:trHeight w:val="300"/>
        </w:trPr>
        <w:tc>
          <w:tcPr>
            <w:tcW w:w="6804" w:type="dxa"/>
            <w:gridSpan w:val="2"/>
            <w:tcBorders>
              <w:top w:val="nil"/>
              <w:left w:val="nil"/>
              <w:bottom w:val="single" w:color="auto" w:sz="4" w:space="0"/>
              <w:right w:val="nil"/>
            </w:tcBorders>
            <w:noWrap/>
          </w:tcPr>
          <w:p w:rsidRPr="004431DE" w:rsidR="0065120A" w:rsidP="00BC3A1F" w:rsidRDefault="0065120A" w14:paraId="673601F7"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4431DE" w:rsidR="0065120A" w:rsidP="00BC3A1F" w:rsidRDefault="0065120A" w14:paraId="1DF64164" w14:textId="77777777">
            <w:pPr>
              <w:jc w:val="right"/>
              <w:rPr>
                <w:rFonts w:ascii="Arial" w:hAnsi="Arial" w:eastAsia="Times New Roman" w:cs="Arial"/>
                <w:sz w:val="20"/>
                <w:szCs w:val="20"/>
                <w:lang w:eastAsia="en-GB"/>
              </w:rPr>
            </w:pPr>
          </w:p>
        </w:tc>
      </w:tr>
      <w:tr w:rsidRPr="004431DE" w:rsidR="0065120A" w:rsidTr="00BC3A1F" w14:paraId="4E576C79"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655BF78E" w14:textId="77777777">
            <w:pPr>
              <w:rPr>
                <w:rFonts w:ascii="Arial" w:hAnsi="Arial" w:eastAsia="Times New Roman" w:cs="Arial"/>
                <w:sz w:val="20"/>
                <w:szCs w:val="20"/>
              </w:rPr>
            </w:pPr>
            <w:r w:rsidRPr="004431DE">
              <w:rPr>
                <w:b/>
              </w:rPr>
              <w:t>Sekcja 23 – Wartości wskaźników (zmieniona metodologia)</w:t>
            </w:r>
          </w:p>
        </w:tc>
        <w:tc>
          <w:tcPr>
            <w:tcW w:w="2745" w:type="dxa"/>
            <w:tcBorders>
              <w:left w:val="nil"/>
              <w:right w:val="nil"/>
            </w:tcBorders>
            <w:noWrap/>
          </w:tcPr>
          <w:p w:rsidRPr="004431DE" w:rsidR="0065120A" w:rsidP="00BC3A1F" w:rsidRDefault="0065120A" w14:paraId="1434F2E8" w14:textId="77777777">
            <w:pPr>
              <w:jc w:val="center"/>
              <w:rPr>
                <w:rFonts w:ascii="Arial" w:hAnsi="Arial" w:eastAsia="Times New Roman" w:cs="Arial"/>
                <w:sz w:val="20"/>
                <w:szCs w:val="20"/>
              </w:rPr>
            </w:pPr>
            <w:r w:rsidRPr="004431DE">
              <w:rPr>
                <w:b/>
              </w:rPr>
              <w:t>Wartość wskaźnika w walucie sprawozdawczej</w:t>
            </w:r>
          </w:p>
        </w:tc>
      </w:tr>
      <w:tr w:rsidRPr="004431DE" w:rsidR="0065120A" w:rsidTr="00BC3A1F" w14:paraId="24C88163"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0AE92EA9" w14:textId="77777777">
            <w:pPr>
              <w:ind w:left="171" w:firstLine="48" w:firstLineChars="22"/>
              <w:rPr>
                <w:rFonts w:ascii="Arial" w:hAnsi="Arial" w:eastAsia="Times New Roman" w:cs="Arial"/>
                <w:sz w:val="20"/>
                <w:szCs w:val="20"/>
              </w:rPr>
            </w:pPr>
            <w:r w:rsidRPr="004431DE">
              <w:t>a. Sekcja 2 – Wskaźnik łącznych ekspozycji, w tym jednostek zależnych prowadzących działalność ubezpieczeniową</w:t>
            </w:r>
          </w:p>
        </w:tc>
        <w:tc>
          <w:tcPr>
            <w:tcW w:w="2745" w:type="dxa"/>
            <w:tcBorders>
              <w:left w:val="nil"/>
              <w:right w:val="nil"/>
            </w:tcBorders>
            <w:noWrap/>
          </w:tcPr>
          <w:p w:rsidRPr="004431DE" w:rsidR="0065120A" w:rsidP="00BC3A1F" w:rsidRDefault="0065120A" w14:paraId="2EAFAE8F" w14:textId="77777777">
            <w:pPr>
              <w:jc w:val="right"/>
              <w:rPr>
                <w:rFonts w:ascii="Arial" w:hAnsi="Arial" w:eastAsia="Times New Roman" w:cs="Arial"/>
                <w:sz w:val="20"/>
                <w:szCs w:val="20"/>
                <w:lang w:eastAsia="en-GB"/>
              </w:rPr>
            </w:pPr>
          </w:p>
        </w:tc>
      </w:tr>
      <w:tr w:rsidRPr="004431DE" w:rsidR="0065120A" w:rsidTr="00BC3A1F" w14:paraId="742A8A46"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B1879D9" w14:textId="77777777">
            <w:pPr>
              <w:ind w:left="171" w:firstLine="48" w:firstLineChars="22"/>
              <w:rPr>
                <w:rFonts w:ascii="Arial" w:hAnsi="Arial" w:eastAsia="Times New Roman" w:cs="Arial"/>
                <w:sz w:val="20"/>
                <w:szCs w:val="20"/>
              </w:rPr>
            </w:pPr>
            <w:r w:rsidRPr="004431DE">
              <w:t>b. Sekcja 3 – Wskaźnik aktywów wewnątrz systemu finansowego, w tym jednostek zależnych prowadzących działalność ubezpieczeniową</w:t>
            </w:r>
          </w:p>
        </w:tc>
        <w:tc>
          <w:tcPr>
            <w:tcW w:w="2745" w:type="dxa"/>
            <w:tcBorders>
              <w:left w:val="nil"/>
              <w:right w:val="nil"/>
            </w:tcBorders>
            <w:noWrap/>
          </w:tcPr>
          <w:p w:rsidRPr="004431DE" w:rsidR="0065120A" w:rsidP="00BC3A1F" w:rsidRDefault="0065120A" w14:paraId="35074D3A" w14:textId="77777777">
            <w:pPr>
              <w:jc w:val="right"/>
              <w:rPr>
                <w:rFonts w:ascii="Arial" w:hAnsi="Arial" w:eastAsia="Times New Roman" w:cs="Arial"/>
                <w:sz w:val="20"/>
                <w:szCs w:val="20"/>
                <w:lang w:eastAsia="en-GB"/>
              </w:rPr>
            </w:pPr>
          </w:p>
        </w:tc>
      </w:tr>
      <w:tr w:rsidRPr="004431DE" w:rsidR="0065120A" w:rsidTr="00BC3A1F" w14:paraId="0F745843"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F07A853" w14:textId="77777777">
            <w:pPr>
              <w:ind w:left="171" w:firstLine="48" w:firstLineChars="22"/>
              <w:rPr>
                <w:rFonts w:ascii="Arial" w:hAnsi="Arial" w:eastAsia="Times New Roman" w:cs="Arial"/>
                <w:sz w:val="20"/>
                <w:szCs w:val="20"/>
              </w:rPr>
            </w:pPr>
            <w:r w:rsidRPr="004431DE">
              <w:t>c. Sekcja 4 – Wskaźnik zobowiązań wewnątrz systemu finansowego, w tym jednostek zależnych prowadzących działalność ubezpieczeniową</w:t>
            </w:r>
          </w:p>
        </w:tc>
        <w:tc>
          <w:tcPr>
            <w:tcW w:w="2745" w:type="dxa"/>
            <w:tcBorders>
              <w:left w:val="nil"/>
              <w:right w:val="nil"/>
            </w:tcBorders>
            <w:noWrap/>
          </w:tcPr>
          <w:p w:rsidRPr="004431DE" w:rsidR="0065120A" w:rsidP="00BC3A1F" w:rsidRDefault="0065120A" w14:paraId="03D14C9A" w14:textId="77777777">
            <w:pPr>
              <w:jc w:val="right"/>
              <w:rPr>
                <w:rFonts w:ascii="Arial" w:hAnsi="Arial" w:eastAsia="Times New Roman" w:cs="Arial"/>
                <w:sz w:val="20"/>
                <w:szCs w:val="20"/>
                <w:lang w:eastAsia="en-GB"/>
              </w:rPr>
            </w:pPr>
          </w:p>
        </w:tc>
      </w:tr>
      <w:tr w:rsidRPr="004431DE" w:rsidR="0065120A" w:rsidTr="00BC3A1F" w14:paraId="27B8DE80"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D6AAB2C" w14:textId="77777777">
            <w:pPr>
              <w:ind w:left="171" w:firstLine="48" w:firstLineChars="22"/>
              <w:rPr>
                <w:rFonts w:ascii="Arial" w:hAnsi="Arial" w:eastAsia="Times New Roman" w:cs="Arial"/>
                <w:sz w:val="20"/>
                <w:szCs w:val="20"/>
              </w:rPr>
            </w:pPr>
            <w:r w:rsidRPr="004431DE">
              <w:t>Sekcja 5 – Wskaźnik wyemitowanych papierów wartościowych, w tym jednostek zależnych prowadzących działalność ubezpieczeniową</w:t>
            </w:r>
          </w:p>
        </w:tc>
        <w:tc>
          <w:tcPr>
            <w:tcW w:w="2745" w:type="dxa"/>
            <w:tcBorders>
              <w:left w:val="nil"/>
              <w:right w:val="nil"/>
            </w:tcBorders>
            <w:noWrap/>
          </w:tcPr>
          <w:p w:rsidRPr="004431DE" w:rsidR="0065120A" w:rsidP="00BC3A1F" w:rsidRDefault="0065120A" w14:paraId="0035B6F7" w14:textId="77777777">
            <w:pPr>
              <w:jc w:val="right"/>
              <w:rPr>
                <w:rFonts w:ascii="Arial" w:hAnsi="Arial" w:eastAsia="Times New Roman" w:cs="Arial"/>
                <w:sz w:val="20"/>
                <w:szCs w:val="20"/>
                <w:lang w:eastAsia="en-GB"/>
              </w:rPr>
            </w:pPr>
          </w:p>
        </w:tc>
      </w:tr>
      <w:tr w:rsidRPr="004431DE" w:rsidR="0065120A" w:rsidTr="00BC3A1F" w14:paraId="55288E06"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A3C93E3" w14:textId="77777777">
            <w:pPr>
              <w:ind w:firstLine="220" w:firstLineChars="100"/>
              <w:rPr>
                <w:rFonts w:ascii="Arial" w:hAnsi="Arial" w:eastAsia="Times New Roman" w:cs="Arial"/>
                <w:sz w:val="20"/>
                <w:szCs w:val="20"/>
              </w:rPr>
            </w:pPr>
            <w:r w:rsidRPr="004431DE">
              <w:t>e. Sekcja 6 – Wskaźnik działalności w zakresie płatności</w:t>
            </w:r>
          </w:p>
        </w:tc>
        <w:tc>
          <w:tcPr>
            <w:tcW w:w="2745" w:type="dxa"/>
            <w:tcBorders>
              <w:left w:val="nil"/>
              <w:right w:val="nil"/>
            </w:tcBorders>
            <w:noWrap/>
          </w:tcPr>
          <w:p w:rsidRPr="004431DE" w:rsidR="0065120A" w:rsidP="00BC3A1F" w:rsidRDefault="0065120A" w14:paraId="01026D52" w14:textId="77777777">
            <w:pPr>
              <w:jc w:val="right"/>
              <w:rPr>
                <w:rFonts w:ascii="Arial" w:hAnsi="Arial" w:eastAsia="Times New Roman" w:cs="Arial"/>
                <w:sz w:val="20"/>
                <w:szCs w:val="20"/>
                <w:lang w:eastAsia="en-GB"/>
              </w:rPr>
            </w:pPr>
          </w:p>
        </w:tc>
      </w:tr>
      <w:tr w:rsidRPr="004431DE" w:rsidR="0065120A" w:rsidTr="00BC3A1F" w14:paraId="5656A0D6"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0FDD4E9B" w14:textId="77777777">
            <w:pPr>
              <w:ind w:firstLine="220" w:firstLineChars="100"/>
              <w:rPr>
                <w:rFonts w:ascii="Arial" w:hAnsi="Arial" w:eastAsia="Times New Roman" w:cs="Arial"/>
                <w:sz w:val="20"/>
                <w:szCs w:val="20"/>
              </w:rPr>
            </w:pPr>
            <w:r w:rsidRPr="004431DE">
              <w:t>f. Sekcja 7 – Wskaźnik przechowywanych aktywów</w:t>
            </w:r>
          </w:p>
        </w:tc>
        <w:tc>
          <w:tcPr>
            <w:tcW w:w="2745" w:type="dxa"/>
            <w:tcBorders>
              <w:left w:val="nil"/>
              <w:right w:val="nil"/>
            </w:tcBorders>
            <w:noWrap/>
          </w:tcPr>
          <w:p w:rsidRPr="004431DE" w:rsidR="0065120A" w:rsidP="00BC3A1F" w:rsidRDefault="0065120A" w14:paraId="381D47C2" w14:textId="77777777">
            <w:pPr>
              <w:jc w:val="right"/>
              <w:rPr>
                <w:rFonts w:ascii="Arial" w:hAnsi="Arial" w:eastAsia="Times New Roman" w:cs="Arial"/>
                <w:sz w:val="20"/>
                <w:szCs w:val="20"/>
                <w:lang w:eastAsia="en-GB"/>
              </w:rPr>
            </w:pPr>
          </w:p>
        </w:tc>
      </w:tr>
      <w:tr w:rsidRPr="004431DE" w:rsidR="0065120A" w:rsidTr="00BC3A1F" w14:paraId="4B6B1B5A"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546516E5" w14:textId="77777777">
            <w:pPr>
              <w:ind w:firstLine="220" w:firstLineChars="100"/>
              <w:rPr>
                <w:rFonts w:ascii="Arial" w:hAnsi="Arial" w:eastAsia="Times New Roman" w:cs="Arial"/>
                <w:sz w:val="20"/>
                <w:szCs w:val="20"/>
              </w:rPr>
            </w:pPr>
            <w:r w:rsidRPr="004431DE">
              <w:t>g. Sekcja 8 – Wskaźnik działalności w zakresie gwarantowania emisji</w:t>
            </w:r>
          </w:p>
        </w:tc>
        <w:tc>
          <w:tcPr>
            <w:tcW w:w="2745" w:type="dxa"/>
            <w:tcBorders>
              <w:left w:val="nil"/>
              <w:right w:val="nil"/>
            </w:tcBorders>
            <w:noWrap/>
          </w:tcPr>
          <w:p w:rsidRPr="004431DE" w:rsidR="0065120A" w:rsidP="00BC3A1F" w:rsidRDefault="0065120A" w14:paraId="452C3146" w14:textId="77777777">
            <w:pPr>
              <w:jc w:val="right"/>
              <w:rPr>
                <w:rFonts w:ascii="Arial" w:hAnsi="Arial" w:eastAsia="Times New Roman" w:cs="Arial"/>
                <w:sz w:val="20"/>
                <w:szCs w:val="20"/>
                <w:lang w:eastAsia="en-GB"/>
              </w:rPr>
            </w:pPr>
          </w:p>
        </w:tc>
      </w:tr>
      <w:tr w:rsidRPr="004431DE" w:rsidR="0065120A" w:rsidTr="00BC3A1F" w14:paraId="1C0090D2"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67052C20" w14:textId="77777777">
            <w:pPr>
              <w:ind w:firstLine="220" w:firstLineChars="100"/>
              <w:rPr>
                <w:rFonts w:ascii="Arial" w:hAnsi="Arial" w:eastAsia="Times New Roman" w:cs="Arial"/>
                <w:sz w:val="20"/>
                <w:szCs w:val="20"/>
              </w:rPr>
            </w:pPr>
            <w:r w:rsidRPr="004431DE">
              <w:t>h. Sekcja 9.c – Podwskaźnik wolumenu obrotu – stała stopa zwrotu</w:t>
            </w:r>
          </w:p>
        </w:tc>
        <w:tc>
          <w:tcPr>
            <w:tcW w:w="2745" w:type="dxa"/>
            <w:tcBorders>
              <w:left w:val="nil"/>
              <w:right w:val="nil"/>
            </w:tcBorders>
            <w:noWrap/>
          </w:tcPr>
          <w:p w:rsidRPr="004431DE" w:rsidR="0065120A" w:rsidP="00BC3A1F" w:rsidRDefault="0065120A" w14:paraId="4C7ABF0F" w14:textId="77777777">
            <w:pPr>
              <w:jc w:val="right"/>
              <w:rPr>
                <w:rFonts w:ascii="Arial" w:hAnsi="Arial" w:eastAsia="Times New Roman" w:cs="Arial"/>
                <w:sz w:val="20"/>
                <w:szCs w:val="20"/>
                <w:lang w:eastAsia="en-GB"/>
              </w:rPr>
            </w:pPr>
          </w:p>
        </w:tc>
      </w:tr>
      <w:tr w:rsidRPr="004431DE" w:rsidR="0065120A" w:rsidTr="00BC3A1F" w14:paraId="33F5509B"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5CC0911E" w14:textId="77777777">
            <w:pPr>
              <w:ind w:left="171" w:firstLine="77" w:firstLineChars="35"/>
              <w:rPr>
                <w:rFonts w:ascii="Arial" w:hAnsi="Arial" w:eastAsia="Times New Roman" w:cs="Arial"/>
                <w:sz w:val="20"/>
                <w:szCs w:val="20"/>
              </w:rPr>
            </w:pPr>
            <w:r w:rsidRPr="004431DE">
              <w:t>i. Sekcja 9.f – Podwskaźnik wolumenu obrotu – akcje i inne papiery wartościowe</w:t>
            </w:r>
          </w:p>
        </w:tc>
        <w:tc>
          <w:tcPr>
            <w:tcW w:w="2745" w:type="dxa"/>
            <w:tcBorders>
              <w:left w:val="nil"/>
              <w:right w:val="nil"/>
            </w:tcBorders>
            <w:noWrap/>
          </w:tcPr>
          <w:p w:rsidRPr="004431DE" w:rsidR="0065120A" w:rsidP="00BC3A1F" w:rsidRDefault="0065120A" w14:paraId="628C1B04" w14:textId="77777777">
            <w:pPr>
              <w:jc w:val="right"/>
              <w:rPr>
                <w:rFonts w:ascii="Arial" w:hAnsi="Arial" w:eastAsia="Times New Roman" w:cs="Arial"/>
                <w:sz w:val="20"/>
                <w:szCs w:val="20"/>
                <w:lang w:eastAsia="en-GB"/>
              </w:rPr>
            </w:pPr>
          </w:p>
        </w:tc>
      </w:tr>
      <w:tr w:rsidRPr="004431DE" w:rsidR="0065120A" w:rsidTr="00BC3A1F" w14:paraId="1382F5CC"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65221037" w14:textId="77777777">
            <w:pPr>
              <w:ind w:left="171" w:firstLine="77" w:firstLineChars="35"/>
              <w:rPr>
                <w:rFonts w:ascii="Arial" w:hAnsi="Arial" w:eastAsia="Times New Roman" w:cs="Arial"/>
                <w:sz w:val="20"/>
                <w:szCs w:val="20"/>
              </w:rPr>
            </w:pPr>
            <w:r w:rsidRPr="004431DE">
              <w:t>j. Sekcja 10 – Wskaźnik instrumentów pochodnych poza rynkiem rogulowanym, w tym jednostek zależnych prowadzących działalność ubezpieczeniową</w:t>
            </w:r>
          </w:p>
        </w:tc>
        <w:tc>
          <w:tcPr>
            <w:tcW w:w="2745" w:type="dxa"/>
            <w:tcBorders>
              <w:left w:val="nil"/>
              <w:right w:val="nil"/>
            </w:tcBorders>
            <w:noWrap/>
          </w:tcPr>
          <w:p w:rsidRPr="004431DE" w:rsidR="0065120A" w:rsidP="00BC3A1F" w:rsidRDefault="0065120A" w14:paraId="66D4F9E0" w14:textId="77777777">
            <w:pPr>
              <w:jc w:val="right"/>
              <w:rPr>
                <w:rFonts w:ascii="Arial" w:hAnsi="Arial" w:eastAsia="Times New Roman" w:cs="Arial"/>
                <w:sz w:val="20"/>
                <w:szCs w:val="20"/>
                <w:lang w:eastAsia="en-GB"/>
              </w:rPr>
            </w:pPr>
          </w:p>
        </w:tc>
      </w:tr>
      <w:tr w:rsidRPr="004431DE" w:rsidR="0065120A" w:rsidTr="00BC3A1F" w14:paraId="0E15CF13"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221C4A69" w14:textId="77777777">
            <w:pPr>
              <w:ind w:firstLine="220" w:firstLineChars="100"/>
              <w:rPr>
                <w:rFonts w:ascii="Arial" w:hAnsi="Arial" w:eastAsia="Times New Roman" w:cs="Arial"/>
                <w:sz w:val="20"/>
                <w:szCs w:val="20"/>
              </w:rPr>
            </w:pPr>
            <w:r w:rsidRPr="004431DE">
              <w:t>k. Sekcja 11 – Wskaźnik papierów wartościowych przeznaczonych do obrotu i dostępnych do sprzedaży</w:t>
            </w:r>
          </w:p>
        </w:tc>
        <w:tc>
          <w:tcPr>
            <w:tcW w:w="2745" w:type="dxa"/>
            <w:tcBorders>
              <w:left w:val="nil"/>
              <w:right w:val="nil"/>
            </w:tcBorders>
            <w:noWrap/>
          </w:tcPr>
          <w:p w:rsidRPr="004431DE" w:rsidR="0065120A" w:rsidP="00BC3A1F" w:rsidRDefault="0065120A" w14:paraId="325F5392" w14:textId="77777777">
            <w:pPr>
              <w:jc w:val="right"/>
              <w:rPr>
                <w:rFonts w:ascii="Arial" w:hAnsi="Arial" w:eastAsia="Times New Roman" w:cs="Arial"/>
                <w:sz w:val="20"/>
                <w:szCs w:val="20"/>
                <w:lang w:eastAsia="en-GB"/>
              </w:rPr>
            </w:pPr>
          </w:p>
        </w:tc>
      </w:tr>
      <w:tr w:rsidRPr="004431DE" w:rsidR="0065120A" w:rsidTr="00BC3A1F" w14:paraId="31B2CA40"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5B5C6DE" w14:textId="77777777">
            <w:pPr>
              <w:ind w:firstLine="220" w:firstLineChars="100"/>
              <w:rPr>
                <w:rFonts w:ascii="Arial" w:hAnsi="Arial" w:eastAsia="Times New Roman" w:cs="Arial"/>
                <w:sz w:val="20"/>
                <w:szCs w:val="20"/>
              </w:rPr>
            </w:pPr>
            <w:r w:rsidRPr="004431DE">
              <w:t>l. Sekcja 12 – Wskaźnik aktywów poziomu 3, w tym jednostek zależnych prowadzących działalność ubezpieczeniową</w:t>
            </w:r>
          </w:p>
        </w:tc>
        <w:tc>
          <w:tcPr>
            <w:tcW w:w="2745" w:type="dxa"/>
            <w:tcBorders>
              <w:left w:val="nil"/>
              <w:right w:val="nil"/>
            </w:tcBorders>
            <w:noWrap/>
          </w:tcPr>
          <w:p w:rsidRPr="004431DE" w:rsidR="0065120A" w:rsidP="00BC3A1F" w:rsidRDefault="0065120A" w14:paraId="599B30FA" w14:textId="77777777">
            <w:pPr>
              <w:jc w:val="right"/>
              <w:rPr>
                <w:rFonts w:ascii="Arial" w:hAnsi="Arial" w:eastAsia="Times New Roman" w:cs="Arial"/>
                <w:sz w:val="20"/>
                <w:szCs w:val="20"/>
                <w:lang w:eastAsia="en-GB"/>
              </w:rPr>
            </w:pPr>
          </w:p>
        </w:tc>
      </w:tr>
      <w:tr w:rsidRPr="004431DE" w:rsidR="0065120A" w:rsidTr="00BC3A1F" w14:paraId="52A220DB"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305D484" w14:textId="77777777">
            <w:pPr>
              <w:ind w:firstLine="220" w:firstLineChars="100"/>
              <w:rPr>
                <w:rFonts w:ascii="Arial" w:hAnsi="Arial" w:eastAsia="Times New Roman" w:cs="Arial"/>
                <w:sz w:val="20"/>
                <w:szCs w:val="20"/>
              </w:rPr>
            </w:pPr>
            <w:r w:rsidRPr="004431DE">
              <w:t>m. Sekcja 13 – Wskaźnik należności transgranicznych</w:t>
            </w:r>
          </w:p>
        </w:tc>
        <w:tc>
          <w:tcPr>
            <w:tcW w:w="2745" w:type="dxa"/>
            <w:tcBorders>
              <w:left w:val="nil"/>
              <w:right w:val="nil"/>
            </w:tcBorders>
            <w:noWrap/>
          </w:tcPr>
          <w:p w:rsidRPr="004431DE" w:rsidR="0065120A" w:rsidP="00BC3A1F" w:rsidRDefault="0065120A" w14:paraId="01B68893" w14:textId="77777777">
            <w:pPr>
              <w:jc w:val="right"/>
              <w:rPr>
                <w:rFonts w:ascii="Arial" w:hAnsi="Arial" w:eastAsia="Times New Roman" w:cs="Arial"/>
                <w:sz w:val="20"/>
                <w:szCs w:val="20"/>
                <w:lang w:eastAsia="en-GB"/>
              </w:rPr>
            </w:pPr>
          </w:p>
        </w:tc>
      </w:tr>
      <w:tr w:rsidRPr="004431DE" w:rsidR="0065120A" w:rsidTr="00BC3A1F" w14:paraId="1470B4D2"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0D346E8" w14:textId="77777777">
            <w:pPr>
              <w:ind w:firstLine="220" w:firstLineChars="100"/>
              <w:rPr>
                <w:rFonts w:ascii="Arial" w:hAnsi="Arial" w:eastAsia="Times New Roman" w:cs="Arial"/>
                <w:sz w:val="20"/>
                <w:szCs w:val="20"/>
              </w:rPr>
            </w:pPr>
            <w:r w:rsidRPr="004431DE">
              <w:t>n. Sekcja 14 – Wskaźnik zobowiązań transgranicznych</w:t>
            </w:r>
          </w:p>
        </w:tc>
        <w:tc>
          <w:tcPr>
            <w:tcW w:w="2745" w:type="dxa"/>
            <w:tcBorders>
              <w:left w:val="nil"/>
              <w:right w:val="nil"/>
            </w:tcBorders>
            <w:noWrap/>
          </w:tcPr>
          <w:p w:rsidRPr="004431DE" w:rsidR="0065120A" w:rsidP="00BC3A1F" w:rsidRDefault="0065120A" w14:paraId="3453F87D" w14:textId="77777777">
            <w:pPr>
              <w:jc w:val="right"/>
              <w:rPr>
                <w:rFonts w:ascii="Arial" w:hAnsi="Arial" w:eastAsia="Times New Roman" w:cs="Arial"/>
                <w:sz w:val="20"/>
                <w:szCs w:val="20"/>
                <w:lang w:eastAsia="en-GB"/>
              </w:rPr>
            </w:pPr>
          </w:p>
        </w:tc>
      </w:tr>
      <w:tr w:rsidRPr="004431DE" w:rsidR="0065120A" w:rsidTr="00BC3A1F" w14:paraId="5C964254"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2D594DC" w14:textId="77777777">
            <w:pPr>
              <w:ind w:firstLine="220" w:firstLineChars="100"/>
              <w:rPr>
                <w:rFonts w:ascii="Arial" w:hAnsi="Arial" w:eastAsia="Times New Roman" w:cs="Arial"/>
                <w:sz w:val="20"/>
                <w:szCs w:val="20"/>
              </w:rPr>
            </w:pPr>
            <w:r w:rsidRPr="004431DE">
              <w:t>o. Pozostałe sekcje</w:t>
            </w:r>
          </w:p>
        </w:tc>
        <w:tc>
          <w:tcPr>
            <w:tcW w:w="2745" w:type="dxa"/>
            <w:tcBorders>
              <w:left w:val="nil"/>
              <w:right w:val="nil"/>
            </w:tcBorders>
            <w:noWrap/>
          </w:tcPr>
          <w:p w:rsidRPr="004431DE" w:rsidR="0065120A" w:rsidP="00BC3A1F" w:rsidRDefault="0065120A" w14:paraId="16BC9B15" w14:textId="77777777">
            <w:pPr>
              <w:jc w:val="right"/>
              <w:rPr>
                <w:rFonts w:ascii="Arial" w:hAnsi="Arial" w:eastAsia="Times New Roman" w:cs="Arial"/>
                <w:sz w:val="20"/>
                <w:szCs w:val="20"/>
                <w:lang w:eastAsia="en-GB"/>
              </w:rPr>
            </w:pPr>
          </w:p>
        </w:tc>
      </w:tr>
      <w:tr w:rsidRPr="004431DE" w:rsidR="0065120A" w:rsidTr="00BC3A1F" w14:paraId="4907C318"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0B7B7838" w14:textId="77777777">
            <w:pPr>
              <w:ind w:firstLine="220" w:firstLineChars="100"/>
              <w:rPr>
                <w:rFonts w:ascii="Arial" w:hAnsi="Arial" w:eastAsia="Times New Roman" w:cs="Arial"/>
                <w:sz w:val="20"/>
                <w:szCs w:val="20"/>
              </w:rPr>
            </w:pPr>
            <w:r w:rsidRPr="004431DE">
              <w:lastRenderedPageBreak/>
              <w:t>(1) Pozycja 1.a – Ogólne informacje przekazywane przez organ nadzoru</w:t>
            </w:r>
          </w:p>
        </w:tc>
        <w:tc>
          <w:tcPr>
            <w:tcW w:w="2745" w:type="dxa"/>
            <w:tcBorders>
              <w:left w:val="nil"/>
              <w:right w:val="nil"/>
            </w:tcBorders>
            <w:noWrap/>
          </w:tcPr>
          <w:p w:rsidRPr="004431DE" w:rsidR="0065120A" w:rsidP="00BC3A1F" w:rsidRDefault="0065120A" w14:paraId="1ABFBECF" w14:textId="77777777">
            <w:pPr>
              <w:jc w:val="right"/>
              <w:rPr>
                <w:rFonts w:ascii="Arial" w:hAnsi="Arial" w:eastAsia="Times New Roman" w:cs="Arial"/>
                <w:sz w:val="20"/>
                <w:szCs w:val="20"/>
                <w:lang w:eastAsia="en-GB"/>
              </w:rPr>
            </w:pPr>
          </w:p>
        </w:tc>
      </w:tr>
      <w:tr w:rsidRPr="004431DE" w:rsidR="0065120A" w:rsidTr="00BC3A1F" w14:paraId="577898F1"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9D45CE4" w14:textId="77777777">
            <w:pPr>
              <w:ind w:firstLine="220" w:firstLineChars="100"/>
              <w:rPr>
                <w:rFonts w:ascii="Arial" w:hAnsi="Arial" w:eastAsia="Times New Roman" w:cs="Arial"/>
                <w:sz w:val="20"/>
                <w:szCs w:val="20"/>
              </w:rPr>
            </w:pPr>
            <w:r w:rsidRPr="004431DE">
              <w:t>(2) Pozycja 1.b – Ogólne informacje przekazywane przez instytucję sprawozdającą</w:t>
            </w:r>
          </w:p>
        </w:tc>
        <w:tc>
          <w:tcPr>
            <w:tcW w:w="2745" w:type="dxa"/>
            <w:tcBorders>
              <w:left w:val="nil"/>
              <w:right w:val="nil"/>
            </w:tcBorders>
            <w:noWrap/>
          </w:tcPr>
          <w:p w:rsidRPr="004431DE" w:rsidR="0065120A" w:rsidP="00BC3A1F" w:rsidRDefault="0065120A" w14:paraId="72FC6341" w14:textId="77777777">
            <w:pPr>
              <w:jc w:val="right"/>
              <w:rPr>
                <w:rFonts w:ascii="Arial" w:hAnsi="Arial" w:eastAsia="Times New Roman" w:cs="Arial"/>
                <w:sz w:val="20"/>
                <w:szCs w:val="20"/>
                <w:lang w:eastAsia="en-GB"/>
              </w:rPr>
            </w:pPr>
          </w:p>
        </w:tc>
      </w:tr>
      <w:tr w:rsidRPr="004431DE" w:rsidR="0065120A" w:rsidTr="00BC3A1F" w14:paraId="5070EA25"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89037C8" w14:textId="77777777">
            <w:pPr>
              <w:ind w:firstLine="220" w:firstLineChars="100"/>
              <w:rPr>
                <w:rFonts w:ascii="Arial" w:hAnsi="Arial" w:eastAsia="Times New Roman" w:cs="Arial"/>
                <w:sz w:val="20"/>
                <w:szCs w:val="20"/>
              </w:rPr>
            </w:pPr>
            <w:r w:rsidRPr="004431DE">
              <w:t>(3) Sekcja 15 – Wskaźniki pomocnicze</w:t>
            </w:r>
          </w:p>
        </w:tc>
        <w:tc>
          <w:tcPr>
            <w:tcW w:w="2745" w:type="dxa"/>
            <w:tcBorders>
              <w:left w:val="nil"/>
              <w:right w:val="nil"/>
            </w:tcBorders>
            <w:noWrap/>
          </w:tcPr>
          <w:p w:rsidRPr="004431DE" w:rsidR="0065120A" w:rsidP="00BC3A1F" w:rsidRDefault="0065120A" w14:paraId="5FB8D284" w14:textId="77777777">
            <w:pPr>
              <w:jc w:val="right"/>
              <w:rPr>
                <w:rFonts w:ascii="Arial" w:hAnsi="Arial" w:eastAsia="Times New Roman" w:cs="Arial"/>
                <w:sz w:val="20"/>
                <w:szCs w:val="20"/>
                <w:lang w:eastAsia="en-GB"/>
              </w:rPr>
            </w:pPr>
          </w:p>
        </w:tc>
      </w:tr>
      <w:tr w:rsidRPr="004431DE" w:rsidR="0065120A" w:rsidTr="00BC3A1F" w14:paraId="345A8A1B"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6D35F44" w14:textId="77777777">
            <w:pPr>
              <w:ind w:firstLine="220" w:firstLineChars="100"/>
              <w:rPr>
                <w:rFonts w:ascii="Arial" w:hAnsi="Arial" w:eastAsia="Times New Roman" w:cs="Arial"/>
                <w:sz w:val="20"/>
                <w:szCs w:val="20"/>
              </w:rPr>
            </w:pPr>
            <w:r w:rsidRPr="004431DE">
              <w:t>(4) Sekcja 16 – Pozycje pomocnicze</w:t>
            </w:r>
          </w:p>
        </w:tc>
        <w:tc>
          <w:tcPr>
            <w:tcW w:w="2745" w:type="dxa"/>
            <w:tcBorders>
              <w:left w:val="nil"/>
              <w:right w:val="nil"/>
            </w:tcBorders>
            <w:noWrap/>
          </w:tcPr>
          <w:p w:rsidRPr="004431DE" w:rsidR="0065120A" w:rsidP="00BC3A1F" w:rsidRDefault="0065120A" w14:paraId="45FA74AA" w14:textId="77777777">
            <w:pPr>
              <w:jc w:val="right"/>
              <w:rPr>
                <w:rFonts w:ascii="Arial" w:hAnsi="Arial" w:eastAsia="Times New Roman" w:cs="Arial"/>
                <w:sz w:val="20"/>
                <w:szCs w:val="20"/>
                <w:lang w:eastAsia="en-GB"/>
              </w:rPr>
            </w:pPr>
          </w:p>
        </w:tc>
      </w:tr>
      <w:tr w:rsidRPr="004431DE" w:rsidR="0065120A" w:rsidTr="00BC3A1F" w14:paraId="771D7BAB"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070FA50" w14:textId="77777777">
            <w:pPr>
              <w:ind w:firstLine="220" w:firstLineChars="100"/>
              <w:rPr>
                <w:rFonts w:ascii="Arial" w:hAnsi="Arial" w:eastAsia="Times New Roman" w:cs="Arial"/>
                <w:sz w:val="20"/>
                <w:szCs w:val="20"/>
              </w:rPr>
            </w:pPr>
            <w:r w:rsidRPr="004431DE">
              <w:t>(5) Sekcja 17 – Pozycje dotyczące wielkości</w:t>
            </w:r>
          </w:p>
        </w:tc>
        <w:tc>
          <w:tcPr>
            <w:tcW w:w="2745" w:type="dxa"/>
            <w:tcBorders>
              <w:left w:val="nil"/>
              <w:right w:val="nil"/>
            </w:tcBorders>
            <w:noWrap/>
          </w:tcPr>
          <w:p w:rsidRPr="004431DE" w:rsidR="0065120A" w:rsidP="00BC3A1F" w:rsidRDefault="0065120A" w14:paraId="593F93FF" w14:textId="77777777">
            <w:pPr>
              <w:jc w:val="right"/>
              <w:rPr>
                <w:rFonts w:ascii="Arial" w:hAnsi="Arial" w:eastAsia="Times New Roman" w:cs="Arial"/>
                <w:sz w:val="20"/>
                <w:szCs w:val="20"/>
                <w:lang w:eastAsia="en-GB"/>
              </w:rPr>
            </w:pPr>
          </w:p>
        </w:tc>
      </w:tr>
      <w:tr w:rsidRPr="004431DE" w:rsidR="0065120A" w:rsidTr="00BC3A1F" w14:paraId="195D2C15"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11E4DC0" w14:textId="77777777">
            <w:pPr>
              <w:ind w:firstLine="220" w:firstLineChars="100"/>
              <w:rPr>
                <w:rFonts w:ascii="Arial" w:hAnsi="Arial" w:eastAsia="Times New Roman" w:cs="Arial"/>
                <w:sz w:val="20"/>
                <w:szCs w:val="20"/>
              </w:rPr>
            </w:pPr>
            <w:r w:rsidRPr="004431DE">
              <w:t>(6) Sekcja 18 – Pozycje dotyczące wzajemnych powiązań</w:t>
            </w:r>
          </w:p>
        </w:tc>
        <w:tc>
          <w:tcPr>
            <w:tcW w:w="2745" w:type="dxa"/>
            <w:tcBorders>
              <w:left w:val="nil"/>
              <w:right w:val="nil"/>
            </w:tcBorders>
            <w:noWrap/>
          </w:tcPr>
          <w:p w:rsidRPr="004431DE" w:rsidR="0065120A" w:rsidP="00BC3A1F" w:rsidRDefault="0065120A" w14:paraId="429997B1" w14:textId="77777777">
            <w:pPr>
              <w:jc w:val="right"/>
              <w:rPr>
                <w:rFonts w:ascii="Arial" w:hAnsi="Arial" w:eastAsia="Times New Roman" w:cs="Arial"/>
                <w:sz w:val="20"/>
                <w:szCs w:val="20"/>
                <w:lang w:eastAsia="en-GB"/>
              </w:rPr>
            </w:pPr>
          </w:p>
        </w:tc>
      </w:tr>
      <w:tr w:rsidRPr="004431DE" w:rsidR="0065120A" w:rsidTr="00BC3A1F" w14:paraId="02F48A8D"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2670DFBF" w14:textId="77777777">
            <w:pPr>
              <w:ind w:firstLine="220" w:firstLineChars="100"/>
              <w:rPr>
                <w:rFonts w:ascii="Arial" w:hAnsi="Arial" w:eastAsia="Times New Roman" w:cs="Arial"/>
                <w:sz w:val="20"/>
                <w:szCs w:val="20"/>
              </w:rPr>
            </w:pPr>
            <w:r w:rsidRPr="004431DE">
              <w:t xml:space="preserve">(7) Sekcja 19 – Pozycje dotyczące zastępowalności/infrastruktury finansowej  </w:t>
            </w:r>
          </w:p>
        </w:tc>
        <w:tc>
          <w:tcPr>
            <w:tcW w:w="2745" w:type="dxa"/>
            <w:tcBorders>
              <w:left w:val="nil"/>
              <w:right w:val="nil"/>
            </w:tcBorders>
            <w:noWrap/>
          </w:tcPr>
          <w:p w:rsidRPr="004431DE" w:rsidR="0065120A" w:rsidP="00BC3A1F" w:rsidRDefault="0065120A" w14:paraId="53446C1E" w14:textId="77777777">
            <w:pPr>
              <w:jc w:val="right"/>
              <w:rPr>
                <w:rFonts w:ascii="Arial" w:hAnsi="Arial" w:eastAsia="Times New Roman" w:cs="Arial"/>
                <w:sz w:val="20"/>
                <w:szCs w:val="20"/>
                <w:lang w:eastAsia="en-GB"/>
              </w:rPr>
            </w:pPr>
          </w:p>
        </w:tc>
      </w:tr>
      <w:tr w:rsidRPr="004431DE" w:rsidR="0065120A" w:rsidTr="00BC3A1F" w14:paraId="2C6446B8"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A73F9EB" w14:textId="77777777">
            <w:pPr>
              <w:ind w:firstLine="220" w:firstLineChars="100"/>
              <w:rPr>
                <w:rFonts w:ascii="Arial" w:hAnsi="Arial" w:eastAsia="Times New Roman" w:cs="Arial"/>
                <w:sz w:val="20"/>
                <w:szCs w:val="20"/>
              </w:rPr>
            </w:pPr>
            <w:r w:rsidRPr="004431DE">
              <w:t>(8) Sekcja 20 – Pozycje dotyczące złożoności</w:t>
            </w:r>
          </w:p>
        </w:tc>
        <w:tc>
          <w:tcPr>
            <w:tcW w:w="2745" w:type="dxa"/>
            <w:tcBorders>
              <w:left w:val="nil"/>
              <w:right w:val="nil"/>
            </w:tcBorders>
            <w:noWrap/>
          </w:tcPr>
          <w:p w:rsidRPr="004431DE" w:rsidR="0065120A" w:rsidP="00BC3A1F" w:rsidRDefault="0065120A" w14:paraId="4E479D24" w14:textId="77777777">
            <w:pPr>
              <w:jc w:val="right"/>
              <w:rPr>
                <w:rFonts w:ascii="Arial" w:hAnsi="Arial" w:eastAsia="Times New Roman" w:cs="Arial"/>
                <w:sz w:val="20"/>
                <w:szCs w:val="20"/>
                <w:lang w:eastAsia="en-GB"/>
              </w:rPr>
            </w:pPr>
          </w:p>
        </w:tc>
      </w:tr>
      <w:tr w:rsidRPr="004431DE" w:rsidR="0065120A" w:rsidTr="00BC3A1F" w14:paraId="223E37F3"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DF9D61D" w14:textId="77777777">
            <w:pPr>
              <w:ind w:firstLine="220" w:firstLineChars="100"/>
              <w:rPr>
                <w:rFonts w:ascii="Arial" w:hAnsi="Arial" w:eastAsia="Times New Roman" w:cs="Arial"/>
                <w:sz w:val="20"/>
                <w:szCs w:val="20"/>
              </w:rPr>
            </w:pPr>
            <w:r w:rsidRPr="004431DE">
              <w:t>(9) Sekcja 21 – Pozycje dotyczące działalności transgranicznej</w:t>
            </w:r>
          </w:p>
        </w:tc>
        <w:tc>
          <w:tcPr>
            <w:tcW w:w="2745" w:type="dxa"/>
            <w:tcBorders>
              <w:left w:val="nil"/>
              <w:right w:val="nil"/>
            </w:tcBorders>
            <w:noWrap/>
          </w:tcPr>
          <w:p w:rsidRPr="004431DE" w:rsidR="0065120A" w:rsidP="00BC3A1F" w:rsidRDefault="0065120A" w14:paraId="1497E523" w14:textId="77777777">
            <w:pPr>
              <w:jc w:val="right"/>
              <w:rPr>
                <w:rFonts w:ascii="Arial" w:hAnsi="Arial" w:eastAsia="Times New Roman" w:cs="Arial"/>
                <w:sz w:val="20"/>
                <w:szCs w:val="20"/>
                <w:lang w:eastAsia="en-GB"/>
              </w:rPr>
            </w:pPr>
          </w:p>
        </w:tc>
      </w:tr>
      <w:tr w:rsidRPr="004431DE" w:rsidR="0065120A" w:rsidTr="00BC3A1F" w14:paraId="6BD7FBB9"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7F51CA6" w14:textId="77777777">
            <w:pPr>
              <w:ind w:firstLine="220" w:firstLineChars="100"/>
              <w:rPr>
                <w:rFonts w:ascii="Arial" w:hAnsi="Arial" w:eastAsia="Times New Roman" w:cs="Arial"/>
                <w:sz w:val="20"/>
                <w:szCs w:val="20"/>
              </w:rPr>
            </w:pPr>
            <w:r w:rsidRPr="004431DE">
              <w:t>(10) Sekcja 22 – Wskaźniki pomocnicze</w:t>
            </w:r>
          </w:p>
        </w:tc>
        <w:tc>
          <w:tcPr>
            <w:tcW w:w="2745" w:type="dxa"/>
            <w:tcBorders>
              <w:left w:val="nil"/>
              <w:right w:val="nil"/>
            </w:tcBorders>
            <w:noWrap/>
          </w:tcPr>
          <w:p w:rsidRPr="004431DE" w:rsidR="0065120A" w:rsidP="00BC3A1F" w:rsidRDefault="0065120A" w14:paraId="2158EF10" w14:textId="77777777">
            <w:pPr>
              <w:jc w:val="right"/>
              <w:rPr>
                <w:rFonts w:ascii="Arial" w:hAnsi="Arial" w:eastAsia="Times New Roman" w:cs="Arial"/>
                <w:sz w:val="20"/>
                <w:szCs w:val="20"/>
                <w:lang w:eastAsia="en-GB"/>
              </w:rPr>
            </w:pPr>
          </w:p>
        </w:tc>
      </w:tr>
      <w:tr w:rsidRPr="004431DE" w:rsidR="0065120A" w:rsidTr="00BC3A1F" w14:paraId="026532D2"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57E0C9EA" w14:textId="77777777">
            <w:pPr>
              <w:rPr>
                <w:b/>
                <w:bCs/>
              </w:rPr>
            </w:pPr>
          </w:p>
        </w:tc>
        <w:tc>
          <w:tcPr>
            <w:tcW w:w="2745" w:type="dxa"/>
            <w:tcBorders>
              <w:left w:val="nil"/>
              <w:right w:val="nil"/>
            </w:tcBorders>
            <w:noWrap/>
          </w:tcPr>
          <w:p w:rsidRPr="004431DE" w:rsidR="0065120A" w:rsidP="00BC3A1F" w:rsidRDefault="0065120A" w14:paraId="65AEEA73" w14:textId="77777777">
            <w:pPr>
              <w:jc w:val="center"/>
              <w:rPr>
                <w:b/>
                <w:bCs/>
              </w:rPr>
            </w:pPr>
          </w:p>
        </w:tc>
      </w:tr>
      <w:tr w:rsidRPr="004431DE" w:rsidR="0065120A" w:rsidTr="00BC3A1F" w14:paraId="6909F25E"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F5B4B1F" w14:textId="77777777">
            <w:pPr>
              <w:rPr>
                <w:rFonts w:ascii="Arial" w:hAnsi="Arial" w:eastAsia="Times New Roman" w:cs="Arial"/>
                <w:sz w:val="20"/>
                <w:szCs w:val="20"/>
              </w:rPr>
            </w:pPr>
            <w:r w:rsidRPr="004431DE">
              <w:rPr>
                <w:b/>
              </w:rPr>
              <w:t>Sekcja 24 – Wartości wskaźników (stara metodologia)</w:t>
            </w:r>
          </w:p>
        </w:tc>
        <w:tc>
          <w:tcPr>
            <w:tcW w:w="2745" w:type="dxa"/>
            <w:tcBorders>
              <w:left w:val="nil"/>
              <w:right w:val="nil"/>
            </w:tcBorders>
            <w:noWrap/>
          </w:tcPr>
          <w:p w:rsidRPr="004431DE" w:rsidR="0065120A" w:rsidP="00BC3A1F" w:rsidRDefault="0065120A" w14:paraId="6C5DE43D" w14:textId="77777777">
            <w:pPr>
              <w:jc w:val="center"/>
              <w:rPr>
                <w:rFonts w:ascii="Arial" w:hAnsi="Arial" w:eastAsia="Times New Roman" w:cs="Arial"/>
                <w:sz w:val="20"/>
                <w:szCs w:val="20"/>
              </w:rPr>
            </w:pPr>
            <w:r w:rsidRPr="004431DE">
              <w:rPr>
                <w:b/>
              </w:rPr>
              <w:t>Wartość wskaźnika w walucie sprawozdawczej</w:t>
            </w:r>
          </w:p>
        </w:tc>
      </w:tr>
      <w:tr w:rsidRPr="004431DE" w:rsidR="0065120A" w:rsidTr="00BC3A1F" w14:paraId="247C1717"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DA3E3E1" w14:textId="77777777">
            <w:pPr>
              <w:ind w:firstLine="220" w:firstLineChars="100"/>
              <w:rPr>
                <w:rFonts w:ascii="Arial" w:hAnsi="Arial" w:eastAsia="Times New Roman" w:cs="Arial"/>
                <w:sz w:val="20"/>
                <w:szCs w:val="20"/>
              </w:rPr>
            </w:pPr>
            <w:r w:rsidRPr="004431DE">
              <w:t>a. Sekcja 2 – Wskaźnik łącznej ekspozycji</w:t>
            </w:r>
          </w:p>
        </w:tc>
        <w:tc>
          <w:tcPr>
            <w:tcW w:w="2745" w:type="dxa"/>
            <w:tcBorders>
              <w:left w:val="nil"/>
              <w:right w:val="nil"/>
            </w:tcBorders>
            <w:noWrap/>
          </w:tcPr>
          <w:p w:rsidRPr="004431DE" w:rsidR="0065120A" w:rsidP="00BC3A1F" w:rsidRDefault="0065120A" w14:paraId="5369FF83" w14:textId="77777777">
            <w:pPr>
              <w:jc w:val="right"/>
              <w:rPr>
                <w:rFonts w:ascii="Arial" w:hAnsi="Arial" w:eastAsia="Times New Roman" w:cs="Arial"/>
                <w:sz w:val="20"/>
                <w:szCs w:val="20"/>
                <w:lang w:eastAsia="en-GB"/>
              </w:rPr>
            </w:pPr>
          </w:p>
        </w:tc>
      </w:tr>
      <w:tr w:rsidRPr="004431DE" w:rsidR="0065120A" w:rsidTr="00BC3A1F" w14:paraId="7DD30FE0"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78E804E" w14:textId="77777777">
            <w:pPr>
              <w:ind w:firstLine="220" w:firstLineChars="100"/>
              <w:rPr>
                <w:rFonts w:ascii="Arial" w:hAnsi="Arial" w:eastAsia="Times New Roman" w:cs="Arial"/>
                <w:sz w:val="20"/>
                <w:szCs w:val="20"/>
              </w:rPr>
            </w:pPr>
            <w:r w:rsidRPr="004431DE">
              <w:t>b. Sekcja 18 – Wskaźnik aktywów wewnątrz systemu finansowego</w:t>
            </w:r>
          </w:p>
        </w:tc>
        <w:tc>
          <w:tcPr>
            <w:tcW w:w="2745" w:type="dxa"/>
            <w:tcBorders>
              <w:left w:val="nil"/>
              <w:right w:val="nil"/>
            </w:tcBorders>
            <w:noWrap/>
          </w:tcPr>
          <w:p w:rsidRPr="004431DE" w:rsidR="0065120A" w:rsidP="00BC3A1F" w:rsidRDefault="0065120A" w14:paraId="40DD1DF5" w14:textId="77777777">
            <w:pPr>
              <w:jc w:val="right"/>
              <w:rPr>
                <w:rFonts w:ascii="Arial" w:hAnsi="Arial" w:eastAsia="Times New Roman" w:cs="Arial"/>
                <w:sz w:val="20"/>
                <w:szCs w:val="20"/>
                <w:lang w:eastAsia="en-GB"/>
              </w:rPr>
            </w:pPr>
          </w:p>
        </w:tc>
      </w:tr>
      <w:tr w:rsidRPr="004431DE" w:rsidR="0065120A" w:rsidTr="00BC3A1F" w14:paraId="6DE2B1B8"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2514F658" w14:textId="77777777">
            <w:pPr>
              <w:ind w:firstLine="220" w:firstLineChars="100"/>
              <w:rPr>
                <w:rFonts w:ascii="Arial" w:hAnsi="Arial" w:eastAsia="Times New Roman" w:cs="Arial"/>
                <w:sz w:val="20"/>
                <w:szCs w:val="20"/>
              </w:rPr>
            </w:pPr>
            <w:r w:rsidRPr="004431DE">
              <w:t>c. Sekcja 18 – Wskaźnik zobowiązań wewnątrz systemu finansowego</w:t>
            </w:r>
          </w:p>
        </w:tc>
        <w:tc>
          <w:tcPr>
            <w:tcW w:w="2745" w:type="dxa"/>
            <w:tcBorders>
              <w:left w:val="nil"/>
              <w:right w:val="nil"/>
            </w:tcBorders>
            <w:noWrap/>
          </w:tcPr>
          <w:p w:rsidRPr="004431DE" w:rsidR="0065120A" w:rsidP="00BC3A1F" w:rsidRDefault="0065120A" w14:paraId="303B4C16" w14:textId="77777777">
            <w:pPr>
              <w:jc w:val="right"/>
              <w:rPr>
                <w:rFonts w:ascii="Arial" w:hAnsi="Arial" w:eastAsia="Times New Roman" w:cs="Arial"/>
                <w:sz w:val="20"/>
                <w:szCs w:val="20"/>
                <w:lang w:eastAsia="en-GB"/>
              </w:rPr>
            </w:pPr>
          </w:p>
        </w:tc>
      </w:tr>
      <w:tr w:rsidRPr="004431DE" w:rsidR="0065120A" w:rsidTr="00BC3A1F" w14:paraId="1C83F10A"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2CC8D5DB" w14:textId="77777777">
            <w:pPr>
              <w:ind w:firstLine="220" w:firstLineChars="100"/>
              <w:rPr>
                <w:rFonts w:ascii="Arial" w:hAnsi="Arial" w:eastAsia="Times New Roman" w:cs="Arial"/>
                <w:sz w:val="20"/>
                <w:szCs w:val="20"/>
              </w:rPr>
            </w:pPr>
            <w:r w:rsidRPr="004431DE">
              <w:t>d. Sekcja 18 – Wskaźnik wyemitowanych papierów wartościowych</w:t>
            </w:r>
          </w:p>
        </w:tc>
        <w:tc>
          <w:tcPr>
            <w:tcW w:w="2745" w:type="dxa"/>
            <w:tcBorders>
              <w:left w:val="nil"/>
              <w:right w:val="nil"/>
            </w:tcBorders>
            <w:noWrap/>
          </w:tcPr>
          <w:p w:rsidRPr="004431DE" w:rsidR="0065120A" w:rsidP="00BC3A1F" w:rsidRDefault="0065120A" w14:paraId="2FC10FB2" w14:textId="77777777">
            <w:pPr>
              <w:jc w:val="right"/>
              <w:rPr>
                <w:rFonts w:ascii="Arial" w:hAnsi="Arial" w:eastAsia="Times New Roman" w:cs="Arial"/>
                <w:sz w:val="20"/>
                <w:szCs w:val="20"/>
                <w:lang w:eastAsia="en-GB"/>
              </w:rPr>
            </w:pPr>
          </w:p>
        </w:tc>
      </w:tr>
      <w:tr w:rsidRPr="004431DE" w:rsidR="0065120A" w:rsidTr="00BC3A1F" w14:paraId="3C517C35"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0CC2CA27" w14:textId="77777777">
            <w:pPr>
              <w:ind w:firstLine="220" w:firstLineChars="100"/>
              <w:rPr>
                <w:rFonts w:ascii="Arial" w:hAnsi="Arial" w:eastAsia="Times New Roman" w:cs="Arial"/>
                <w:sz w:val="20"/>
                <w:szCs w:val="20"/>
              </w:rPr>
            </w:pPr>
            <w:r w:rsidRPr="004431DE">
              <w:t>e. Sekcja 6 – Wskaźnik działalności w zakresie płatności</w:t>
            </w:r>
          </w:p>
        </w:tc>
        <w:tc>
          <w:tcPr>
            <w:tcW w:w="2745" w:type="dxa"/>
            <w:tcBorders>
              <w:left w:val="nil"/>
              <w:right w:val="nil"/>
            </w:tcBorders>
            <w:noWrap/>
          </w:tcPr>
          <w:p w:rsidRPr="004431DE" w:rsidR="0065120A" w:rsidP="00BC3A1F" w:rsidRDefault="0065120A" w14:paraId="27D1F284" w14:textId="77777777">
            <w:pPr>
              <w:jc w:val="right"/>
              <w:rPr>
                <w:rFonts w:ascii="Arial" w:hAnsi="Arial" w:eastAsia="Times New Roman" w:cs="Arial"/>
                <w:sz w:val="20"/>
                <w:szCs w:val="20"/>
                <w:lang w:eastAsia="en-GB"/>
              </w:rPr>
            </w:pPr>
          </w:p>
        </w:tc>
      </w:tr>
      <w:tr w:rsidRPr="004431DE" w:rsidR="0065120A" w:rsidTr="00BC3A1F" w14:paraId="474B6464"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1D16D752" w14:textId="77777777">
            <w:pPr>
              <w:ind w:firstLine="220" w:firstLineChars="100"/>
              <w:rPr>
                <w:rFonts w:ascii="Arial" w:hAnsi="Arial" w:eastAsia="Times New Roman" w:cs="Arial"/>
                <w:sz w:val="20"/>
                <w:szCs w:val="20"/>
              </w:rPr>
            </w:pPr>
            <w:r w:rsidRPr="004431DE">
              <w:t>f. Sekcja 7 – Wskaźnik przechowywanych aktywów</w:t>
            </w:r>
          </w:p>
        </w:tc>
        <w:tc>
          <w:tcPr>
            <w:tcW w:w="2745" w:type="dxa"/>
            <w:tcBorders>
              <w:left w:val="nil"/>
              <w:right w:val="nil"/>
            </w:tcBorders>
            <w:noWrap/>
          </w:tcPr>
          <w:p w:rsidRPr="004431DE" w:rsidR="0065120A" w:rsidP="00BC3A1F" w:rsidRDefault="0065120A" w14:paraId="104F2501" w14:textId="77777777">
            <w:pPr>
              <w:jc w:val="right"/>
              <w:rPr>
                <w:rFonts w:ascii="Arial" w:hAnsi="Arial" w:eastAsia="Times New Roman" w:cs="Arial"/>
                <w:sz w:val="20"/>
                <w:szCs w:val="20"/>
                <w:lang w:eastAsia="en-GB"/>
              </w:rPr>
            </w:pPr>
          </w:p>
        </w:tc>
      </w:tr>
      <w:tr w:rsidRPr="004431DE" w:rsidR="0065120A" w:rsidTr="00BC3A1F" w14:paraId="34F97EF2"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32571FAE" w14:textId="77777777">
            <w:pPr>
              <w:ind w:firstLine="220" w:firstLineChars="100"/>
              <w:rPr>
                <w:rFonts w:ascii="Arial" w:hAnsi="Arial" w:eastAsia="Times New Roman" w:cs="Arial"/>
                <w:sz w:val="20"/>
                <w:szCs w:val="20"/>
              </w:rPr>
            </w:pPr>
            <w:r w:rsidRPr="004431DE">
              <w:t>g. Sekcja 8 – Wskaźnik działalności w zakresie gwarantowania emisji</w:t>
            </w:r>
          </w:p>
        </w:tc>
        <w:tc>
          <w:tcPr>
            <w:tcW w:w="2745" w:type="dxa"/>
            <w:tcBorders>
              <w:left w:val="nil"/>
              <w:right w:val="nil"/>
            </w:tcBorders>
            <w:noWrap/>
          </w:tcPr>
          <w:p w:rsidRPr="004431DE" w:rsidR="0065120A" w:rsidP="00BC3A1F" w:rsidRDefault="0065120A" w14:paraId="53671766" w14:textId="77777777">
            <w:pPr>
              <w:jc w:val="right"/>
              <w:rPr>
                <w:rFonts w:ascii="Arial" w:hAnsi="Arial" w:eastAsia="Times New Roman" w:cs="Arial"/>
                <w:sz w:val="20"/>
                <w:szCs w:val="20"/>
                <w:lang w:eastAsia="en-GB"/>
              </w:rPr>
            </w:pPr>
          </w:p>
        </w:tc>
      </w:tr>
      <w:tr w:rsidRPr="004431DE" w:rsidR="0065120A" w:rsidTr="00BC3A1F" w14:paraId="7752FBE9"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6287CA0D" w14:textId="77777777">
            <w:pPr>
              <w:ind w:firstLine="220" w:firstLineChars="100"/>
              <w:rPr>
                <w:rFonts w:ascii="Arial" w:hAnsi="Arial" w:eastAsia="Times New Roman" w:cs="Arial"/>
                <w:sz w:val="20"/>
                <w:szCs w:val="20"/>
              </w:rPr>
            </w:pPr>
            <w:r w:rsidRPr="004431DE">
              <w:t>h. Sekcja 20 – Wskaźnik instrumentów pochodnych poza rynkiem regulowanym</w:t>
            </w:r>
          </w:p>
        </w:tc>
        <w:tc>
          <w:tcPr>
            <w:tcW w:w="2745" w:type="dxa"/>
            <w:tcBorders>
              <w:left w:val="nil"/>
              <w:right w:val="nil"/>
            </w:tcBorders>
            <w:noWrap/>
          </w:tcPr>
          <w:p w:rsidRPr="004431DE" w:rsidR="0065120A" w:rsidP="00BC3A1F" w:rsidRDefault="0065120A" w14:paraId="0E5F4126" w14:textId="77777777">
            <w:pPr>
              <w:jc w:val="right"/>
              <w:rPr>
                <w:rFonts w:ascii="Arial" w:hAnsi="Arial" w:eastAsia="Times New Roman" w:cs="Arial"/>
                <w:sz w:val="20"/>
                <w:szCs w:val="20"/>
                <w:lang w:eastAsia="en-GB"/>
              </w:rPr>
            </w:pPr>
          </w:p>
        </w:tc>
      </w:tr>
      <w:tr w:rsidRPr="004431DE" w:rsidR="0065120A" w:rsidTr="00BC3A1F" w14:paraId="2D98C5A5"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59700D2" w14:textId="77777777">
            <w:pPr>
              <w:ind w:firstLine="220" w:firstLineChars="100"/>
              <w:rPr>
                <w:rFonts w:ascii="Arial" w:hAnsi="Arial" w:eastAsia="Times New Roman" w:cs="Arial"/>
                <w:sz w:val="20"/>
                <w:szCs w:val="20"/>
              </w:rPr>
            </w:pPr>
            <w:r w:rsidRPr="004431DE">
              <w:t>i. Sekcja 11 – Wskaźnik papierów wartościowych przeznaczonych do obrotu i dostępnych do sprzedaży</w:t>
            </w:r>
          </w:p>
        </w:tc>
        <w:tc>
          <w:tcPr>
            <w:tcW w:w="2745" w:type="dxa"/>
            <w:tcBorders>
              <w:left w:val="nil"/>
              <w:right w:val="nil"/>
            </w:tcBorders>
            <w:noWrap/>
          </w:tcPr>
          <w:p w:rsidRPr="004431DE" w:rsidR="0065120A" w:rsidP="00BC3A1F" w:rsidRDefault="0065120A" w14:paraId="4D0756C6" w14:textId="77777777">
            <w:pPr>
              <w:jc w:val="right"/>
              <w:rPr>
                <w:rFonts w:ascii="Arial" w:hAnsi="Arial" w:eastAsia="Times New Roman" w:cs="Arial"/>
                <w:sz w:val="20"/>
                <w:szCs w:val="20"/>
                <w:lang w:eastAsia="en-GB"/>
              </w:rPr>
            </w:pPr>
          </w:p>
        </w:tc>
      </w:tr>
      <w:tr w:rsidRPr="004431DE" w:rsidR="0065120A" w:rsidTr="00BC3A1F" w14:paraId="7CEDCB83"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58E30B01" w14:textId="77777777">
            <w:pPr>
              <w:ind w:firstLine="220" w:firstLineChars="100"/>
              <w:rPr>
                <w:rFonts w:ascii="Arial" w:hAnsi="Arial" w:eastAsia="Times New Roman" w:cs="Arial"/>
                <w:sz w:val="20"/>
                <w:szCs w:val="20"/>
              </w:rPr>
            </w:pPr>
            <w:r w:rsidRPr="004431DE">
              <w:t>j. Sekcja 20 – Wskaźnik aktywów poziomu 3</w:t>
            </w:r>
          </w:p>
        </w:tc>
        <w:tc>
          <w:tcPr>
            <w:tcW w:w="2745" w:type="dxa"/>
            <w:tcBorders>
              <w:left w:val="nil"/>
              <w:right w:val="nil"/>
            </w:tcBorders>
            <w:noWrap/>
          </w:tcPr>
          <w:p w:rsidRPr="004431DE" w:rsidR="0065120A" w:rsidP="00BC3A1F" w:rsidRDefault="0065120A" w14:paraId="192A0AD2" w14:textId="77777777">
            <w:pPr>
              <w:jc w:val="right"/>
              <w:rPr>
                <w:rFonts w:ascii="Arial" w:hAnsi="Arial" w:eastAsia="Times New Roman" w:cs="Arial"/>
                <w:sz w:val="20"/>
                <w:szCs w:val="20"/>
                <w:lang w:eastAsia="en-GB"/>
              </w:rPr>
            </w:pPr>
          </w:p>
        </w:tc>
      </w:tr>
      <w:tr w:rsidRPr="004431DE" w:rsidR="0065120A" w:rsidTr="00BC3A1F" w14:paraId="752DFA58"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49A56DC1" w14:textId="77777777">
            <w:pPr>
              <w:ind w:firstLine="220" w:firstLineChars="100"/>
              <w:rPr>
                <w:rFonts w:ascii="Arial" w:hAnsi="Arial" w:eastAsia="Times New Roman" w:cs="Arial"/>
                <w:sz w:val="20"/>
                <w:szCs w:val="20"/>
              </w:rPr>
            </w:pPr>
            <w:r w:rsidRPr="004431DE">
              <w:t>k. Sekcja 13 – Wskaźnik należności transgranicznych</w:t>
            </w:r>
          </w:p>
        </w:tc>
        <w:tc>
          <w:tcPr>
            <w:tcW w:w="2745" w:type="dxa"/>
            <w:tcBorders>
              <w:left w:val="nil"/>
              <w:right w:val="nil"/>
            </w:tcBorders>
            <w:noWrap/>
          </w:tcPr>
          <w:p w:rsidRPr="004431DE" w:rsidR="0065120A" w:rsidP="00BC3A1F" w:rsidRDefault="0065120A" w14:paraId="6A70670B" w14:textId="77777777">
            <w:pPr>
              <w:jc w:val="right"/>
              <w:rPr>
                <w:rFonts w:ascii="Arial" w:hAnsi="Arial" w:eastAsia="Times New Roman" w:cs="Arial"/>
                <w:sz w:val="20"/>
                <w:szCs w:val="20"/>
                <w:lang w:eastAsia="en-GB"/>
              </w:rPr>
            </w:pPr>
          </w:p>
        </w:tc>
      </w:tr>
      <w:tr w:rsidRPr="004431DE" w:rsidR="0065120A" w:rsidTr="00BC3A1F" w14:paraId="40A3BBB3" w14:textId="77777777">
        <w:trPr>
          <w:trHeight w:val="300"/>
        </w:trPr>
        <w:tc>
          <w:tcPr>
            <w:tcW w:w="6804" w:type="dxa"/>
            <w:gridSpan w:val="2"/>
            <w:tcBorders>
              <w:left w:val="nil"/>
              <w:bottom w:val="single" w:color="auto" w:sz="4" w:space="0"/>
              <w:right w:val="nil"/>
            </w:tcBorders>
            <w:noWrap/>
          </w:tcPr>
          <w:p w:rsidRPr="004431DE" w:rsidR="0065120A" w:rsidP="00BC3A1F" w:rsidRDefault="0065120A" w14:paraId="7FE9EAA4" w14:textId="77777777">
            <w:pPr>
              <w:ind w:firstLine="220" w:firstLineChars="100"/>
              <w:rPr>
                <w:rFonts w:ascii="Arial" w:hAnsi="Arial" w:eastAsia="Times New Roman" w:cs="Arial"/>
                <w:sz w:val="20"/>
                <w:szCs w:val="20"/>
              </w:rPr>
            </w:pPr>
            <w:r w:rsidRPr="004431DE">
              <w:t>l. Sekcja 13 – Wskaźnik zobowiązań transgranicznych</w:t>
            </w:r>
          </w:p>
        </w:tc>
        <w:tc>
          <w:tcPr>
            <w:tcW w:w="2745" w:type="dxa"/>
            <w:tcBorders>
              <w:left w:val="nil"/>
              <w:right w:val="nil"/>
            </w:tcBorders>
            <w:noWrap/>
          </w:tcPr>
          <w:p w:rsidRPr="004431DE" w:rsidR="0065120A" w:rsidP="00BC3A1F" w:rsidRDefault="0065120A" w14:paraId="4BDB8C57" w14:textId="77777777">
            <w:pPr>
              <w:jc w:val="right"/>
              <w:rPr>
                <w:rFonts w:ascii="Arial" w:hAnsi="Arial" w:eastAsia="Times New Roman" w:cs="Arial"/>
                <w:sz w:val="20"/>
                <w:szCs w:val="20"/>
                <w:lang w:eastAsia="en-GB"/>
              </w:rPr>
            </w:pPr>
          </w:p>
        </w:tc>
      </w:tr>
    </w:tbl>
    <w:p w:rsidRPr="004431DE" w:rsidR="0065120A" w:rsidP="0065120A" w:rsidRDefault="0065120A" w14:paraId="6464908D" w14:textId="77777777">
      <w:pPr>
        <w:widowControl w:val="0"/>
        <w:tabs>
          <w:tab w:val="left" w:pos="1116"/>
        </w:tabs>
        <w:autoSpaceDE w:val="0"/>
        <w:spacing w:before="10"/>
      </w:pPr>
    </w:p>
    <w:p w:rsidRPr="002F5B19" w:rsidR="00B43E07" w:rsidP="00F9329F" w:rsidRDefault="00B43E07" w14:paraId="609D9107" w14:textId="34CF2015">
      <w:pPr>
        <w:pStyle w:val="TableParagraph"/>
        <w:spacing w:before="11"/>
      </w:pPr>
    </w:p>
    <w:sectPr w:rsidRPr="002F5B19" w:rsidR="00B43E07" w:rsidSect="00904DF2">
      <w:pgSz w:w="11900" w:h="16840"/>
      <w:pgMar w:top="2268" w:right="1418" w:bottom="1134" w:left="1701" w:header="709"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0AF7" w14:textId="77777777" w:rsidR="00065FD9" w:rsidRDefault="00065FD9" w:rsidP="00A00E34">
      <w:r>
        <w:separator/>
      </w:r>
    </w:p>
    <w:p w14:paraId="6F118722" w14:textId="77777777" w:rsidR="00065FD9" w:rsidRDefault="00065FD9"/>
  </w:endnote>
  <w:endnote w:type="continuationSeparator" w:id="0">
    <w:p w14:paraId="7F764789" w14:textId="77777777" w:rsidR="00065FD9" w:rsidRDefault="00065FD9" w:rsidP="00A00E34">
      <w:r>
        <w:continuationSeparator/>
      </w:r>
    </w:p>
    <w:p w14:paraId="77A34DCC" w14:textId="77777777" w:rsidR="00065FD9" w:rsidRDefault="00065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5C0" w:rsidP="0017667F" w:rsidRDefault="00DD05C0"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DD05C0" w:rsidP="00610305" w:rsidRDefault="00DD05C0"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5B19" w:rsidR="00DD05C0" w:rsidP="00904DF2" w:rsidRDefault="00DD05C0" w14:paraId="7C3A9832" w14:textId="549C1A52">
    <w:pPr>
      <w:pStyle w:val="Footer"/>
      <w:jc w:val="right"/>
      <w:rPr>
        <w:rStyle w:val="PageNumber"/>
        <w:noProof/>
      </w:rPr>
    </w:pPr>
    <w:r w:rsidRPr="002F5B19">
      <w:rPr>
        <w:rStyle w:val="PageNumber"/>
      </w:rPr>
      <w:fldChar w:fldCharType="begin"/>
    </w:r>
    <w:r w:rsidRPr="002F5B19">
      <w:rPr>
        <w:rStyle w:val="PageNumber"/>
      </w:rPr>
      <w:instrText xml:space="preserve">PAGE  </w:instrText>
    </w:r>
    <w:r w:rsidRPr="002F5B19">
      <w:rPr>
        <w:rStyle w:val="PageNumber"/>
      </w:rPr>
      <w:fldChar w:fldCharType="separate"/>
    </w:r>
    <w:r w:rsidR="00942B48">
      <w:rPr>
        <w:rStyle w:val="PageNumber"/>
        <w:noProof/>
      </w:rPr>
      <w:t>17</w:t>
    </w:r>
    <w:r w:rsidRPr="002F5B19">
      <w:rPr>
        <w:rStyle w:val="PageNumber"/>
      </w:rPr>
      <w:fldChar w:fldCharType="end"/>
    </w:r>
  </w:p>
  <w:p w:rsidRPr="002F5B19" w:rsidR="00DD05C0" w:rsidP="00610305" w:rsidRDefault="00DD05C0" w14:paraId="6EEDA3DB" w14:textId="77777777">
    <w:pPr>
      <w:pStyle w:val="Footer"/>
      <w:ind w:right="360"/>
      <w:rPr>
        <w:noProof/>
      </w:rPr>
    </w:pPr>
    <w:r w:rsidRPr="002F5B19">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5C0" w:rsidRDefault="00DD05C0" w14:paraId="6F8E34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F793" w14:textId="77777777" w:rsidR="00065FD9" w:rsidRPr="00DB5E8F" w:rsidRDefault="00065FD9">
      <w:pPr>
        <w:rPr>
          <w:sz w:val="12"/>
          <w:szCs w:val="12"/>
        </w:rPr>
      </w:pPr>
      <w:r w:rsidRPr="00DB5E8F">
        <w:rPr>
          <w:sz w:val="12"/>
          <w:szCs w:val="12"/>
        </w:rPr>
        <w:separator/>
      </w:r>
    </w:p>
  </w:footnote>
  <w:footnote w:type="continuationSeparator" w:id="0">
    <w:p w14:paraId="701C4CE8" w14:textId="77777777" w:rsidR="00065FD9" w:rsidRDefault="00065FD9" w:rsidP="00A00E34">
      <w:r>
        <w:continuationSeparator/>
      </w:r>
    </w:p>
    <w:p w14:paraId="08BF467D" w14:textId="77777777" w:rsidR="00065FD9" w:rsidRDefault="00065FD9"/>
  </w:footnote>
  <w:footnote w:type="continuationNotice" w:id="1">
    <w:p w14:paraId="6D65522C" w14:textId="77777777" w:rsidR="00065FD9" w:rsidRDefault="00065FD9"/>
  </w:footnote>
  <w:footnote w:id="2">
    <w:p w14:paraId="2B9C6101" w14:textId="2B4968B2" w:rsidR="00DD05C0" w:rsidRPr="002F5B19" w:rsidRDefault="00DD05C0" w:rsidP="00C92B4B">
      <w:pPr>
        <w:pStyle w:val="FootnoteText"/>
        <w:rPr>
          <w:rFonts w:ascii="Calibri" w:hAnsi="Calibri" w:cs="Calibri"/>
        </w:rPr>
      </w:pPr>
      <w:r w:rsidRPr="002F5B19">
        <w:rPr>
          <w:rStyle w:val="FootnoteReference"/>
          <w:rFonts w:ascii="Calibri" w:hAnsi="Calibri" w:cs="Calibri"/>
          <w:sz w:val="18"/>
        </w:rPr>
        <w:footnoteRef/>
      </w:r>
      <w:r w:rsidRPr="002F5B19">
        <w:rPr>
          <w:rFonts w:ascii="Calibri" w:hAnsi="Calibri"/>
        </w:rPr>
        <w:t xml:space="preserve"> Rozporządzenie Parlamentu Europejskiego i Rady (UE) nr 1093/2010 z dnia 24 listopada 2010 r. w sprawie ustanowienia Europejskiego Urzędu Nadzoru (Europejskiego Urzędu Nadzoru Bankowego), zmiany decyzji nr 716/2009/WE oraz uchylenia decyzji Komisji 2009/78/WE (Dz.U. L 331 z 15.12.2010, s. 12).</w:t>
      </w:r>
    </w:p>
  </w:footnote>
  <w:footnote w:id="3">
    <w:p w14:paraId="4EFCDC8D" w14:textId="77777777" w:rsidR="002554C1" w:rsidRPr="004431DE" w:rsidRDefault="002554C1" w:rsidP="002554C1">
      <w:pPr>
        <w:pStyle w:val="FootnoteText"/>
      </w:pPr>
      <w:r w:rsidRPr="004431DE">
        <w:rPr>
          <w:rStyle w:val="FootnoteReference"/>
          <w:lang w:val="en-GB"/>
        </w:rPr>
        <w:footnoteRef/>
      </w:r>
      <w:r w:rsidRPr="004431DE">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5C0" w:rsidRDefault="00DD05C0" w14:paraId="41B1516F" w14:textId="12C57839">
    <w:pPr>
      <w:rPr>
        <w:noProof/>
      </w:rPr>
    </w:pPr>
    <w:r>
      <w:ptab w:alignment="center" w:relativeTo="margin" w:leader="none"/>
    </w:r>
    <w:r>
      <w:ptab w:alignment="right" w:relativeTo="margin" w:leader="none"/>
    </w:r>
  </w:p>
  <w:p w:rsidR="00DD05C0" w:rsidRDefault="00DD05C0"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5B19" w:rsidR="00DD05C0" w:rsidP="002215B5" w:rsidRDefault="00DD05C0" w14:paraId="233A6472" w14:textId="42F4713B">
    <w:pPr>
      <w:pStyle w:val="Runningtitle"/>
      <w:rPr>
        <w:noProof/>
      </w:rPr>
    </w:pPr>
    <w:r w:rsidRPr="002F5B19">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rsidRPr="002F5B19">
      <w:t>KOŃCOWY raport dotyczący wytycznych EUNB w sprawie określania i ujawniania</w:t>
    </w:r>
  </w:p>
  <w:p w:rsidRPr="002F5B19" w:rsidR="00DD05C0" w:rsidP="002215B5" w:rsidRDefault="00DD05C0" w14:paraId="122C2463" w14:textId="77777777">
    <w:pPr>
      <w:pStyle w:val="Runningtitle"/>
      <w:rPr>
        <w:noProof/>
      </w:rPr>
    </w:pPr>
    <w:r w:rsidRPr="002F5B19">
      <w:t>wskaźników znaczenia systemowego</w:t>
    </w:r>
  </w:p>
  <w:p w:rsidRPr="002F5B19" w:rsidR="00DD05C0" w:rsidP="002215B5" w:rsidRDefault="00DD05C0"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5C0" w:rsidP="00E677EF" w:rsidRDefault="00DD05C0" w14:paraId="6E4DF7C2" w14:textId="77777777">
    <w:pPr>
      <w:pStyle w:val="Runningtitle"/>
      <w:rPr>
        <w:noProof/>
      </w:rPr>
    </w:pPr>
    <w:r>
      <w:t>w tym miejscu należy umieścić skróconą wersję tytułu odpowiednią czcionką</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B79D6"/>
    <w:multiLevelType w:val="hybridMultilevel"/>
    <w:tmpl w:val="C3505D70"/>
    <w:lvl w:ilvl="0" w:tplc="0324F8F6">
      <w:start w:val="10"/>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6"/>
  </w:num>
  <w:num w:numId="5">
    <w:abstractNumId w:val="13"/>
  </w:num>
  <w:num w:numId="6">
    <w:abstractNumId w:val="1"/>
  </w:num>
  <w:num w:numId="7">
    <w:abstractNumId w:val="12"/>
  </w:num>
  <w:num w:numId="8">
    <w:abstractNumId w:val="10"/>
  </w:num>
  <w:num w:numId="9">
    <w:abstractNumId w:val="0"/>
  </w:num>
  <w:num w:numId="10">
    <w:abstractNumId w:val="14"/>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1823"/>
    <w:rsid w:val="00053913"/>
    <w:rsid w:val="00060F40"/>
    <w:rsid w:val="00062830"/>
    <w:rsid w:val="00065FD9"/>
    <w:rsid w:val="0007574B"/>
    <w:rsid w:val="000774B3"/>
    <w:rsid w:val="000843CD"/>
    <w:rsid w:val="00087EEC"/>
    <w:rsid w:val="000A1C81"/>
    <w:rsid w:val="000A3851"/>
    <w:rsid w:val="000A5345"/>
    <w:rsid w:val="000B1645"/>
    <w:rsid w:val="000B2614"/>
    <w:rsid w:val="000C2B79"/>
    <w:rsid w:val="000C5A8A"/>
    <w:rsid w:val="000C7FD8"/>
    <w:rsid w:val="000D7A44"/>
    <w:rsid w:val="000E0C27"/>
    <w:rsid w:val="000E6D15"/>
    <w:rsid w:val="000E7111"/>
    <w:rsid w:val="000F33D3"/>
    <w:rsid w:val="000F3C24"/>
    <w:rsid w:val="000F607B"/>
    <w:rsid w:val="000F6495"/>
    <w:rsid w:val="000F6FD8"/>
    <w:rsid w:val="001061FA"/>
    <w:rsid w:val="00112BF2"/>
    <w:rsid w:val="0011517F"/>
    <w:rsid w:val="00117062"/>
    <w:rsid w:val="0012173D"/>
    <w:rsid w:val="00121AD5"/>
    <w:rsid w:val="00121BB0"/>
    <w:rsid w:val="0012686C"/>
    <w:rsid w:val="0013090C"/>
    <w:rsid w:val="00131C5D"/>
    <w:rsid w:val="00132059"/>
    <w:rsid w:val="00132F74"/>
    <w:rsid w:val="001355EC"/>
    <w:rsid w:val="0014310A"/>
    <w:rsid w:val="00143427"/>
    <w:rsid w:val="00145D24"/>
    <w:rsid w:val="00145E0A"/>
    <w:rsid w:val="00150607"/>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1A97"/>
    <w:rsid w:val="001B2C0D"/>
    <w:rsid w:val="001B3341"/>
    <w:rsid w:val="001B6017"/>
    <w:rsid w:val="001B7A0B"/>
    <w:rsid w:val="001B7EB3"/>
    <w:rsid w:val="001C1FD9"/>
    <w:rsid w:val="001C5BC2"/>
    <w:rsid w:val="001D0179"/>
    <w:rsid w:val="001E0B2E"/>
    <w:rsid w:val="001E1188"/>
    <w:rsid w:val="001E3599"/>
    <w:rsid w:val="001E5269"/>
    <w:rsid w:val="001F1CB9"/>
    <w:rsid w:val="001F7501"/>
    <w:rsid w:val="0020381F"/>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554C1"/>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2F5B19"/>
    <w:rsid w:val="00300924"/>
    <w:rsid w:val="003025A8"/>
    <w:rsid w:val="0030425B"/>
    <w:rsid w:val="003129B6"/>
    <w:rsid w:val="00314D6E"/>
    <w:rsid w:val="00315AB3"/>
    <w:rsid w:val="00320E57"/>
    <w:rsid w:val="003221EF"/>
    <w:rsid w:val="00322C23"/>
    <w:rsid w:val="003248A2"/>
    <w:rsid w:val="00352A51"/>
    <w:rsid w:val="0035477B"/>
    <w:rsid w:val="00355E53"/>
    <w:rsid w:val="003604AA"/>
    <w:rsid w:val="00362309"/>
    <w:rsid w:val="00363390"/>
    <w:rsid w:val="00364468"/>
    <w:rsid w:val="0036783B"/>
    <w:rsid w:val="00370D44"/>
    <w:rsid w:val="00372BEC"/>
    <w:rsid w:val="00392385"/>
    <w:rsid w:val="0039516E"/>
    <w:rsid w:val="003953B5"/>
    <w:rsid w:val="003A2221"/>
    <w:rsid w:val="003B7E06"/>
    <w:rsid w:val="003C34A3"/>
    <w:rsid w:val="003C3DE8"/>
    <w:rsid w:val="003D7A72"/>
    <w:rsid w:val="003E318D"/>
    <w:rsid w:val="003F3AA3"/>
    <w:rsid w:val="00400B40"/>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28C7"/>
    <w:rsid w:val="004955E7"/>
    <w:rsid w:val="004A5D8B"/>
    <w:rsid w:val="004A76C6"/>
    <w:rsid w:val="004B2FC0"/>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410AB"/>
    <w:rsid w:val="00543A44"/>
    <w:rsid w:val="005574DA"/>
    <w:rsid w:val="00565691"/>
    <w:rsid w:val="005706A6"/>
    <w:rsid w:val="00571BB6"/>
    <w:rsid w:val="00574B26"/>
    <w:rsid w:val="00575BA7"/>
    <w:rsid w:val="00582AA7"/>
    <w:rsid w:val="0058477C"/>
    <w:rsid w:val="0058568F"/>
    <w:rsid w:val="005A11A7"/>
    <w:rsid w:val="005A153E"/>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120A"/>
    <w:rsid w:val="00655112"/>
    <w:rsid w:val="00663B0A"/>
    <w:rsid w:val="006641F8"/>
    <w:rsid w:val="0066422C"/>
    <w:rsid w:val="00670254"/>
    <w:rsid w:val="00675E42"/>
    <w:rsid w:val="0068039C"/>
    <w:rsid w:val="00683BFB"/>
    <w:rsid w:val="006915A4"/>
    <w:rsid w:val="00692AB7"/>
    <w:rsid w:val="00692AD8"/>
    <w:rsid w:val="006973AC"/>
    <w:rsid w:val="006C186D"/>
    <w:rsid w:val="006C6D8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0D"/>
    <w:rsid w:val="00821B9D"/>
    <w:rsid w:val="0084468C"/>
    <w:rsid w:val="008552A0"/>
    <w:rsid w:val="008651AA"/>
    <w:rsid w:val="00865492"/>
    <w:rsid w:val="00865A3C"/>
    <w:rsid w:val="00867CB4"/>
    <w:rsid w:val="008708AB"/>
    <w:rsid w:val="00870A33"/>
    <w:rsid w:val="00871962"/>
    <w:rsid w:val="008725EC"/>
    <w:rsid w:val="00874ED5"/>
    <w:rsid w:val="008A4100"/>
    <w:rsid w:val="008A7288"/>
    <w:rsid w:val="008B6155"/>
    <w:rsid w:val="008C1A94"/>
    <w:rsid w:val="008C567C"/>
    <w:rsid w:val="008C5B82"/>
    <w:rsid w:val="008E297F"/>
    <w:rsid w:val="008F3908"/>
    <w:rsid w:val="009014B6"/>
    <w:rsid w:val="009041D9"/>
    <w:rsid w:val="00904DF2"/>
    <w:rsid w:val="00907439"/>
    <w:rsid w:val="00907D57"/>
    <w:rsid w:val="00911860"/>
    <w:rsid w:val="0091231C"/>
    <w:rsid w:val="00912882"/>
    <w:rsid w:val="00912895"/>
    <w:rsid w:val="00913422"/>
    <w:rsid w:val="00914CB2"/>
    <w:rsid w:val="009210DE"/>
    <w:rsid w:val="009257BE"/>
    <w:rsid w:val="00942B48"/>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4A7"/>
    <w:rsid w:val="00A00E34"/>
    <w:rsid w:val="00A02BBA"/>
    <w:rsid w:val="00A062C7"/>
    <w:rsid w:val="00A10257"/>
    <w:rsid w:val="00A13558"/>
    <w:rsid w:val="00A14332"/>
    <w:rsid w:val="00A2290D"/>
    <w:rsid w:val="00A23608"/>
    <w:rsid w:val="00A23D22"/>
    <w:rsid w:val="00A25403"/>
    <w:rsid w:val="00A27B9D"/>
    <w:rsid w:val="00A27D88"/>
    <w:rsid w:val="00A304D0"/>
    <w:rsid w:val="00A37EF7"/>
    <w:rsid w:val="00A41338"/>
    <w:rsid w:val="00A4361D"/>
    <w:rsid w:val="00A44695"/>
    <w:rsid w:val="00A4607D"/>
    <w:rsid w:val="00A53EC9"/>
    <w:rsid w:val="00A6517B"/>
    <w:rsid w:val="00A725D6"/>
    <w:rsid w:val="00A72C7D"/>
    <w:rsid w:val="00A81586"/>
    <w:rsid w:val="00A92440"/>
    <w:rsid w:val="00AA435E"/>
    <w:rsid w:val="00AA796D"/>
    <w:rsid w:val="00AB104D"/>
    <w:rsid w:val="00AB21B0"/>
    <w:rsid w:val="00AB2476"/>
    <w:rsid w:val="00AB4403"/>
    <w:rsid w:val="00AB4B80"/>
    <w:rsid w:val="00AC2312"/>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296F"/>
    <w:rsid w:val="00B55FAB"/>
    <w:rsid w:val="00B56F17"/>
    <w:rsid w:val="00B60182"/>
    <w:rsid w:val="00B6734E"/>
    <w:rsid w:val="00B76198"/>
    <w:rsid w:val="00B77DC8"/>
    <w:rsid w:val="00B77F65"/>
    <w:rsid w:val="00B82515"/>
    <w:rsid w:val="00B83D9D"/>
    <w:rsid w:val="00B84529"/>
    <w:rsid w:val="00B954E5"/>
    <w:rsid w:val="00B96F7F"/>
    <w:rsid w:val="00BB2111"/>
    <w:rsid w:val="00BC1D4B"/>
    <w:rsid w:val="00BC3450"/>
    <w:rsid w:val="00BC7FD2"/>
    <w:rsid w:val="00BD10EA"/>
    <w:rsid w:val="00BD1538"/>
    <w:rsid w:val="00BD1DD9"/>
    <w:rsid w:val="00BE2989"/>
    <w:rsid w:val="00BF4906"/>
    <w:rsid w:val="00BF4EC0"/>
    <w:rsid w:val="00BF78EE"/>
    <w:rsid w:val="00C03AE7"/>
    <w:rsid w:val="00C05D9D"/>
    <w:rsid w:val="00C12FA8"/>
    <w:rsid w:val="00C21D94"/>
    <w:rsid w:val="00C35592"/>
    <w:rsid w:val="00C356AF"/>
    <w:rsid w:val="00C41927"/>
    <w:rsid w:val="00C439D6"/>
    <w:rsid w:val="00C43FD9"/>
    <w:rsid w:val="00C44EB2"/>
    <w:rsid w:val="00C47E8F"/>
    <w:rsid w:val="00C57BC4"/>
    <w:rsid w:val="00C60915"/>
    <w:rsid w:val="00C60EEB"/>
    <w:rsid w:val="00C64E27"/>
    <w:rsid w:val="00C70355"/>
    <w:rsid w:val="00C84497"/>
    <w:rsid w:val="00C91A9F"/>
    <w:rsid w:val="00C92B4B"/>
    <w:rsid w:val="00C94126"/>
    <w:rsid w:val="00C95F54"/>
    <w:rsid w:val="00C964B8"/>
    <w:rsid w:val="00CA1DF9"/>
    <w:rsid w:val="00CA7638"/>
    <w:rsid w:val="00CB6121"/>
    <w:rsid w:val="00CB6EBB"/>
    <w:rsid w:val="00CD4AF7"/>
    <w:rsid w:val="00CE3517"/>
    <w:rsid w:val="00CE3F04"/>
    <w:rsid w:val="00CF15C6"/>
    <w:rsid w:val="00CF4ED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9AB"/>
    <w:rsid w:val="00D90F63"/>
    <w:rsid w:val="00D96B0F"/>
    <w:rsid w:val="00DA6122"/>
    <w:rsid w:val="00DB249C"/>
    <w:rsid w:val="00DB4809"/>
    <w:rsid w:val="00DB4C3A"/>
    <w:rsid w:val="00DB5E8F"/>
    <w:rsid w:val="00DC2ED9"/>
    <w:rsid w:val="00DC3E99"/>
    <w:rsid w:val="00DC5214"/>
    <w:rsid w:val="00DC7C3E"/>
    <w:rsid w:val="00DD05C0"/>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E4759"/>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4F3A"/>
    <w:rsid w:val="00F56DC4"/>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2982"/>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18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pl-PL"/>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pl-PL"/>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pl-PL"/>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paragraph" w:styleId="BodyText">
    <w:name w:val="Body Text"/>
    <w:basedOn w:val="Normal"/>
    <w:link w:val="BodyTextChar"/>
    <w:uiPriority w:val="1"/>
    <w:qFormat/>
    <w:rsid w:val="00CF4ED6"/>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CF4ED6"/>
    <w:rPr>
      <w:rFonts w:ascii="Calibri" w:eastAsia="Calibri" w:hAnsi="Calibri" w:cs="Calibri"/>
      <w:sz w:val="22"/>
      <w:szCs w:val="22"/>
      <w:lang w:val="en-US"/>
    </w:rPr>
  </w:style>
  <w:style w:type="table" w:customStyle="1" w:styleId="TableGrid1">
    <w:name w:val="Table Grid1"/>
    <w:basedOn w:val="TableNormal"/>
    <w:next w:val="TableGrid"/>
    <w:uiPriority w:val="39"/>
    <w:rsid w:val="0065120A"/>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5833">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56606480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50D1-F566-4DF4-BF11-B112F60E67A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3683</ap:Words>
  <ap:Characters>26818</ap:Characters>
  <ap:Application>Microsoft Office Word</ap:Application>
  <ap:DocSecurity>0</ap:DocSecurity>
  <ap:Lines>223</ap:Lines>
  <ap:Paragraphs>60</ap:Paragraphs>
  <ap:ScaleCrop>false</ap:ScaleCrop>
  <ap:HeadingPairs>
    <vt:vector baseType="variant" size="2">
      <vt:variant>
        <vt:lpstr>Title</vt:lpstr>
      </vt:variant>
      <vt:variant>
        <vt:i4>1</vt:i4>
      </vt:variant>
    </vt:vector>
  </ap:HeadingPairs>
  <ap:TitlesOfParts>
    <vt:vector baseType="lpstr" size="1">
      <vt:lpstr/>
    </vt:vector>
  </ap:TitlesOfParts>
  <ap:Manager/>
  <ap:Company>CDT</ap:Company>
  <ap:LinksUpToDate>false</ap:LinksUpToDate>
  <ap:CharactersWithSpaces>30441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revision>
  <dcterms:created xsi:type="dcterms:W3CDTF">2020-12-08T10:22:00.0000000Z</dcterms:created>
  <dcterms:modified xsi:type="dcterms:W3CDTF">2024-04-22T07:26:00.0000000Z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fdd24b99-f730-4089-8fce-ac6900effe05</vt:lpwstr>
  </property>
</Properties>
</file>